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08EB5F" w14:textId="77777777" w:rsidR="0054247F" w:rsidRDefault="0054247F" w:rsidP="00B90788">
      <w:pPr>
        <w:tabs>
          <w:tab w:val="left" w:pos="6496"/>
        </w:tabs>
        <w:ind w:right="-1"/>
        <w:rPr>
          <w:rFonts w:asciiTheme="majorHAnsi" w:eastAsiaTheme="majorEastAsia" w:hAnsiTheme="majorHAnsi" w:cstheme="majorBidi"/>
          <w:b/>
          <w:spacing w:val="5"/>
          <w:sz w:val="50"/>
          <w:szCs w:val="50"/>
        </w:rPr>
      </w:pPr>
    </w:p>
    <w:p w14:paraId="393A810A" w14:textId="77777777" w:rsidR="0054247F" w:rsidRDefault="0054247F" w:rsidP="00B90788">
      <w:pPr>
        <w:tabs>
          <w:tab w:val="left" w:pos="6496"/>
        </w:tabs>
        <w:ind w:right="-1"/>
        <w:rPr>
          <w:rFonts w:asciiTheme="majorHAnsi" w:eastAsiaTheme="majorEastAsia" w:hAnsiTheme="majorHAnsi" w:cstheme="majorBidi"/>
          <w:b/>
          <w:spacing w:val="5"/>
          <w:sz w:val="50"/>
          <w:szCs w:val="50"/>
        </w:rPr>
      </w:pPr>
    </w:p>
    <w:p w14:paraId="7A7051AC" w14:textId="77777777" w:rsidR="0003622E" w:rsidRPr="009A539C" w:rsidRDefault="0003622E" w:rsidP="00B90788">
      <w:pPr>
        <w:tabs>
          <w:tab w:val="left" w:pos="6496"/>
        </w:tabs>
        <w:ind w:right="-1"/>
        <w:rPr>
          <w:rFonts w:asciiTheme="majorHAnsi" w:eastAsiaTheme="majorEastAsia" w:hAnsiTheme="majorHAnsi" w:cstheme="majorBidi"/>
          <w:b/>
          <w:spacing w:val="5"/>
          <w:sz w:val="50"/>
          <w:szCs w:val="50"/>
        </w:rPr>
      </w:pPr>
      <w:r w:rsidRPr="009A539C">
        <w:rPr>
          <w:rFonts w:cs="Times New Roman"/>
          <w:noProof/>
          <w:lang w:eastAsia="pt-PT"/>
        </w:rPr>
        <w:drawing>
          <wp:anchor distT="0" distB="0" distL="114300" distR="114300" simplePos="0" relativeHeight="251656704" behindDoc="1" locked="0" layoutInCell="1" allowOverlap="1" wp14:anchorId="423C1C5A" wp14:editId="410CCA56">
            <wp:simplePos x="0" y="0"/>
            <wp:positionH relativeFrom="page">
              <wp:posOffset>2540</wp:posOffset>
            </wp:positionH>
            <wp:positionV relativeFrom="page">
              <wp:posOffset>3436</wp:posOffset>
            </wp:positionV>
            <wp:extent cx="7550592" cy="10678602"/>
            <wp:effectExtent l="0" t="0" r="0" b="8890"/>
            <wp:wrapNone/>
            <wp:docPr id="1" name="Imagem 30" descr="CRL_Capa_A4_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0" descr="CRL_Capa_A4_af"/>
                    <pic:cNvPicPr>
                      <a:picLocks noChangeAspect="1" noChangeArrowheads="1"/>
                    </pic:cNvPicPr>
                  </pic:nvPicPr>
                  <pic:blipFill>
                    <a:blip r:embed="rId9" cstate="print"/>
                    <a:stretch>
                      <a:fillRect/>
                    </a:stretch>
                  </pic:blipFill>
                  <pic:spPr bwMode="auto">
                    <a:xfrm>
                      <a:off x="0" y="0"/>
                      <a:ext cx="7550592" cy="10678602"/>
                    </a:xfrm>
                    <a:prstGeom prst="rect">
                      <a:avLst/>
                    </a:prstGeom>
                  </pic:spPr>
                </pic:pic>
              </a:graphicData>
            </a:graphic>
          </wp:anchor>
        </w:drawing>
      </w:r>
      <w:r w:rsidRPr="009A539C">
        <w:rPr>
          <w:rFonts w:asciiTheme="majorHAnsi" w:eastAsiaTheme="majorEastAsia" w:hAnsiTheme="majorHAnsi" w:cstheme="majorBidi"/>
          <w:b/>
          <w:spacing w:val="5"/>
          <w:sz w:val="50"/>
          <w:szCs w:val="50"/>
        </w:rPr>
        <w:t xml:space="preserve"> </w:t>
      </w:r>
    </w:p>
    <w:p w14:paraId="41FA33D6" w14:textId="77777777" w:rsidR="0003622E" w:rsidRPr="009A539C" w:rsidRDefault="0003622E" w:rsidP="00B90788">
      <w:pPr>
        <w:ind w:right="-1"/>
        <w:rPr>
          <w:rFonts w:asciiTheme="majorHAnsi" w:eastAsiaTheme="majorEastAsia" w:hAnsiTheme="majorHAnsi" w:cstheme="majorBidi"/>
          <w:b/>
          <w:spacing w:val="5"/>
          <w:sz w:val="50"/>
          <w:szCs w:val="50"/>
        </w:rPr>
      </w:pPr>
      <w:r w:rsidRPr="009A539C">
        <w:rPr>
          <w:rFonts w:asciiTheme="majorHAnsi" w:eastAsiaTheme="majorEastAsia" w:hAnsiTheme="majorHAnsi" w:cstheme="majorBidi"/>
          <w:b/>
          <w:spacing w:val="5"/>
          <w:sz w:val="50"/>
          <w:szCs w:val="50"/>
        </w:rPr>
        <w:t xml:space="preserve"> </w:t>
      </w:r>
    </w:p>
    <w:p w14:paraId="36A3786D" w14:textId="77777777" w:rsidR="0003622E" w:rsidRPr="009A539C" w:rsidRDefault="0003622E" w:rsidP="00B90788">
      <w:pPr>
        <w:ind w:right="-1"/>
        <w:rPr>
          <w:rFonts w:asciiTheme="majorHAnsi" w:eastAsiaTheme="majorEastAsia" w:hAnsiTheme="majorHAnsi" w:cstheme="majorBidi"/>
          <w:b/>
          <w:spacing w:val="5"/>
          <w:sz w:val="50"/>
          <w:szCs w:val="50"/>
        </w:rPr>
      </w:pPr>
      <w:r w:rsidRPr="009A539C">
        <w:rPr>
          <w:rFonts w:asciiTheme="majorHAnsi" w:eastAsiaTheme="majorEastAsia" w:hAnsiTheme="majorHAnsi" w:cstheme="majorBidi"/>
          <w:b/>
          <w:spacing w:val="5"/>
          <w:sz w:val="50"/>
          <w:szCs w:val="50"/>
        </w:rPr>
        <w:t xml:space="preserve"> </w:t>
      </w:r>
    </w:p>
    <w:p w14:paraId="384FC5B7" w14:textId="77777777" w:rsidR="0003622E" w:rsidRPr="009A539C" w:rsidRDefault="0003622E" w:rsidP="00B90788">
      <w:pPr>
        <w:ind w:right="-1"/>
        <w:rPr>
          <w:rFonts w:asciiTheme="majorHAnsi" w:eastAsiaTheme="majorEastAsia" w:hAnsiTheme="majorHAnsi" w:cstheme="majorBidi"/>
          <w:b/>
          <w:spacing w:val="5"/>
          <w:sz w:val="50"/>
          <w:szCs w:val="50"/>
        </w:rPr>
      </w:pPr>
    </w:p>
    <w:p w14:paraId="6760C855" w14:textId="77777777" w:rsidR="0003622E" w:rsidRPr="009A539C" w:rsidRDefault="0003622E" w:rsidP="00B90788">
      <w:pPr>
        <w:ind w:right="-1"/>
        <w:rPr>
          <w:rFonts w:asciiTheme="majorHAnsi" w:eastAsiaTheme="majorEastAsia" w:hAnsiTheme="majorHAnsi" w:cstheme="majorBidi"/>
          <w:b/>
          <w:spacing w:val="5"/>
          <w:sz w:val="50"/>
          <w:szCs w:val="50"/>
        </w:rPr>
      </w:pPr>
    </w:p>
    <w:p w14:paraId="06F25054" w14:textId="77777777" w:rsidR="0003622E" w:rsidRPr="009A539C" w:rsidRDefault="0003622E" w:rsidP="00B90788">
      <w:pPr>
        <w:tabs>
          <w:tab w:val="left" w:pos="4330"/>
        </w:tabs>
        <w:ind w:right="-1"/>
        <w:rPr>
          <w:rFonts w:asciiTheme="majorHAnsi" w:eastAsiaTheme="majorEastAsia" w:hAnsiTheme="majorHAnsi" w:cstheme="majorBidi"/>
          <w:b/>
          <w:spacing w:val="5"/>
          <w:sz w:val="42"/>
          <w:szCs w:val="42"/>
        </w:rPr>
      </w:pPr>
      <w:r w:rsidRPr="009A539C">
        <w:rPr>
          <w:rFonts w:asciiTheme="majorHAnsi" w:eastAsiaTheme="majorEastAsia" w:hAnsiTheme="majorHAnsi" w:cstheme="majorBidi"/>
          <w:b/>
          <w:spacing w:val="5"/>
          <w:sz w:val="50"/>
          <w:szCs w:val="50"/>
        </w:rPr>
        <w:t xml:space="preserve"> </w:t>
      </w:r>
      <w:r w:rsidRPr="009A539C">
        <w:rPr>
          <w:rFonts w:asciiTheme="majorHAnsi" w:eastAsiaTheme="majorEastAsia" w:hAnsiTheme="majorHAnsi" w:cstheme="majorBidi"/>
          <w:b/>
          <w:spacing w:val="5"/>
          <w:sz w:val="42"/>
          <w:szCs w:val="42"/>
        </w:rPr>
        <w:tab/>
      </w:r>
    </w:p>
    <w:p w14:paraId="19006C20" w14:textId="77777777" w:rsidR="0003622E" w:rsidRPr="009A539C" w:rsidRDefault="0003622E" w:rsidP="00B90788">
      <w:pPr>
        <w:ind w:left="1701" w:right="-1"/>
        <w:jc w:val="center"/>
        <w:rPr>
          <w:rFonts w:asciiTheme="majorHAnsi" w:eastAsiaTheme="majorEastAsia" w:hAnsiTheme="majorHAnsi" w:cstheme="majorBidi"/>
          <w:b/>
          <w:spacing w:val="5"/>
          <w:sz w:val="42"/>
          <w:szCs w:val="42"/>
        </w:rPr>
      </w:pPr>
      <w:r w:rsidRPr="009A539C">
        <w:rPr>
          <w:rFonts w:asciiTheme="majorHAnsi" w:eastAsiaTheme="majorEastAsia" w:hAnsiTheme="majorHAnsi" w:cstheme="majorBidi"/>
          <w:b/>
          <w:spacing w:val="5"/>
          <w:sz w:val="42"/>
          <w:szCs w:val="42"/>
        </w:rPr>
        <w:t>RELATÓRIO ANUAL SOBRE</w:t>
      </w:r>
    </w:p>
    <w:p w14:paraId="4040D7A6" w14:textId="77777777" w:rsidR="0003622E" w:rsidRPr="009A539C" w:rsidRDefault="0003622E" w:rsidP="00B90788">
      <w:pPr>
        <w:ind w:left="1701" w:right="-1"/>
        <w:jc w:val="center"/>
        <w:rPr>
          <w:rFonts w:asciiTheme="majorHAnsi" w:eastAsiaTheme="majorEastAsia" w:hAnsiTheme="majorHAnsi" w:cstheme="majorBidi"/>
          <w:b/>
          <w:spacing w:val="5"/>
          <w:sz w:val="42"/>
          <w:szCs w:val="42"/>
        </w:rPr>
      </w:pPr>
      <w:r w:rsidRPr="009A539C">
        <w:rPr>
          <w:rFonts w:asciiTheme="majorHAnsi" w:eastAsiaTheme="majorEastAsia" w:hAnsiTheme="majorHAnsi" w:cstheme="majorBidi"/>
          <w:b/>
          <w:spacing w:val="5"/>
          <w:sz w:val="42"/>
          <w:szCs w:val="42"/>
        </w:rPr>
        <w:t>A EVOLUÇÃO DA NEGOCIAÇÃO</w:t>
      </w:r>
    </w:p>
    <w:p w14:paraId="129DD4D9" w14:textId="77777777" w:rsidR="0003622E" w:rsidRPr="009A539C" w:rsidRDefault="0003622E" w:rsidP="00B90788">
      <w:pPr>
        <w:ind w:left="1701" w:right="-1"/>
        <w:jc w:val="center"/>
        <w:rPr>
          <w:rFonts w:asciiTheme="majorHAnsi" w:eastAsiaTheme="majorEastAsia" w:hAnsiTheme="majorHAnsi" w:cstheme="majorBidi"/>
          <w:b/>
          <w:spacing w:val="5"/>
          <w:sz w:val="42"/>
          <w:szCs w:val="42"/>
        </w:rPr>
      </w:pPr>
      <w:r w:rsidRPr="009A539C">
        <w:rPr>
          <w:rFonts w:asciiTheme="majorHAnsi" w:eastAsiaTheme="majorEastAsia" w:hAnsiTheme="majorHAnsi" w:cstheme="majorBidi"/>
          <w:b/>
          <w:spacing w:val="5"/>
          <w:sz w:val="42"/>
          <w:szCs w:val="42"/>
        </w:rPr>
        <w:t xml:space="preserve"> COLETIVA EM 2019</w:t>
      </w:r>
    </w:p>
    <w:p w14:paraId="4BFB3EA1" w14:textId="77777777" w:rsidR="0003622E" w:rsidRPr="009A539C" w:rsidRDefault="0003622E" w:rsidP="00B90788">
      <w:pPr>
        <w:ind w:left="1701" w:right="-1"/>
        <w:jc w:val="center"/>
        <w:rPr>
          <w:rFonts w:asciiTheme="majorHAnsi" w:eastAsiaTheme="majorEastAsia" w:hAnsiTheme="majorHAnsi" w:cstheme="majorBidi"/>
          <w:i/>
          <w:color w:val="17365D" w:themeColor="text2" w:themeShade="BF"/>
          <w:spacing w:val="5"/>
          <w:kern w:val="28"/>
          <w:sz w:val="32"/>
          <w:szCs w:val="32"/>
        </w:rPr>
      </w:pPr>
      <w:r w:rsidRPr="009A539C">
        <w:rPr>
          <w:rFonts w:asciiTheme="majorHAnsi" w:eastAsiaTheme="majorEastAsia" w:hAnsiTheme="majorHAnsi" w:cstheme="majorBidi"/>
          <w:i/>
          <w:color w:val="17365D" w:themeColor="text2" w:themeShade="BF"/>
          <w:spacing w:val="5"/>
          <w:kern w:val="28"/>
          <w:sz w:val="32"/>
          <w:szCs w:val="32"/>
        </w:rPr>
        <w:t xml:space="preserve"> </w:t>
      </w:r>
    </w:p>
    <w:p w14:paraId="009E905E" w14:textId="155131D9" w:rsidR="0003622E" w:rsidRPr="009A539C" w:rsidRDefault="005945C8" w:rsidP="00B90788">
      <w:pPr>
        <w:ind w:left="1701" w:right="-1"/>
        <w:jc w:val="center"/>
        <w:rPr>
          <w:rFonts w:asciiTheme="majorHAnsi" w:eastAsiaTheme="majorEastAsia" w:hAnsiTheme="majorHAnsi" w:cstheme="majorBidi"/>
          <w:i/>
          <w:color w:val="17365D" w:themeColor="text2" w:themeShade="BF"/>
          <w:spacing w:val="5"/>
          <w:kern w:val="28"/>
          <w:sz w:val="32"/>
          <w:szCs w:val="32"/>
        </w:rPr>
      </w:pPr>
      <w:r w:rsidRPr="009A539C">
        <w:rPr>
          <w:rFonts w:asciiTheme="majorHAnsi" w:eastAsiaTheme="majorEastAsia" w:hAnsiTheme="majorHAnsi" w:cstheme="majorBidi"/>
          <w:i/>
          <w:color w:val="17365D" w:themeColor="text2" w:themeShade="BF"/>
          <w:spacing w:val="5"/>
          <w:kern w:val="28"/>
          <w:sz w:val="32"/>
          <w:szCs w:val="32"/>
        </w:rPr>
        <w:t>1</w:t>
      </w:r>
      <w:r w:rsidR="000508B0" w:rsidRPr="009A539C">
        <w:rPr>
          <w:rFonts w:asciiTheme="majorHAnsi" w:eastAsiaTheme="majorEastAsia" w:hAnsiTheme="majorHAnsi" w:cstheme="majorBidi"/>
          <w:i/>
          <w:color w:val="17365D" w:themeColor="text2" w:themeShade="BF"/>
          <w:spacing w:val="5"/>
          <w:kern w:val="28"/>
          <w:sz w:val="32"/>
          <w:szCs w:val="32"/>
        </w:rPr>
        <w:t>4</w:t>
      </w:r>
      <w:r w:rsidR="00D93EEE" w:rsidRPr="009A539C">
        <w:rPr>
          <w:rFonts w:asciiTheme="majorHAnsi" w:eastAsiaTheme="majorEastAsia" w:hAnsiTheme="majorHAnsi" w:cstheme="majorBidi"/>
          <w:i/>
          <w:color w:val="17365D" w:themeColor="text2" w:themeShade="BF"/>
          <w:spacing w:val="5"/>
          <w:kern w:val="28"/>
          <w:sz w:val="32"/>
          <w:szCs w:val="32"/>
        </w:rPr>
        <w:t>.</w:t>
      </w:r>
      <w:r w:rsidR="00B67F9C" w:rsidRPr="009A539C">
        <w:rPr>
          <w:rFonts w:asciiTheme="majorHAnsi" w:eastAsiaTheme="majorEastAsia" w:hAnsiTheme="majorHAnsi" w:cstheme="majorBidi"/>
          <w:i/>
          <w:color w:val="17365D" w:themeColor="text2" w:themeShade="BF"/>
          <w:spacing w:val="5"/>
          <w:kern w:val="28"/>
          <w:sz w:val="32"/>
          <w:szCs w:val="32"/>
        </w:rPr>
        <w:t>07.20</w:t>
      </w:r>
      <w:r w:rsidR="00D93EEE" w:rsidRPr="009A539C">
        <w:rPr>
          <w:rFonts w:asciiTheme="majorHAnsi" w:eastAsiaTheme="majorEastAsia" w:hAnsiTheme="majorHAnsi" w:cstheme="majorBidi"/>
          <w:i/>
          <w:color w:val="17365D" w:themeColor="text2" w:themeShade="BF"/>
          <w:spacing w:val="5"/>
          <w:kern w:val="28"/>
          <w:sz w:val="32"/>
          <w:szCs w:val="32"/>
        </w:rPr>
        <w:t>20</w:t>
      </w:r>
      <w:r w:rsidR="00A80B96" w:rsidRPr="009A539C">
        <w:rPr>
          <w:rFonts w:asciiTheme="majorHAnsi" w:eastAsiaTheme="majorEastAsia" w:hAnsiTheme="majorHAnsi" w:cstheme="majorBidi"/>
          <w:i/>
          <w:color w:val="17365D" w:themeColor="text2" w:themeShade="BF"/>
          <w:spacing w:val="5"/>
          <w:kern w:val="28"/>
          <w:sz w:val="32"/>
          <w:szCs w:val="32"/>
        </w:rPr>
        <w:t xml:space="preserve"> </w:t>
      </w:r>
    </w:p>
    <w:p w14:paraId="5E150C83" w14:textId="77777777" w:rsidR="0003622E" w:rsidRPr="009A539C" w:rsidRDefault="0003622E" w:rsidP="00B90788">
      <w:pPr>
        <w:ind w:left="1701" w:right="-1"/>
        <w:jc w:val="center"/>
        <w:rPr>
          <w:rFonts w:asciiTheme="majorHAnsi" w:eastAsiaTheme="majorEastAsia" w:hAnsiTheme="majorHAnsi" w:cstheme="majorBidi"/>
          <w:b/>
          <w:spacing w:val="5"/>
          <w:sz w:val="42"/>
          <w:szCs w:val="42"/>
        </w:rPr>
      </w:pPr>
    </w:p>
    <w:p w14:paraId="688DD76E" w14:textId="77777777" w:rsidR="0003622E" w:rsidRPr="009A539C" w:rsidRDefault="0003622E" w:rsidP="00B90788">
      <w:pPr>
        <w:ind w:left="1701" w:right="-1"/>
        <w:jc w:val="center"/>
        <w:rPr>
          <w:rFonts w:asciiTheme="majorHAnsi" w:eastAsiaTheme="majorEastAsia" w:hAnsiTheme="majorHAnsi" w:cstheme="majorBidi"/>
          <w:i/>
          <w:color w:val="17365D" w:themeColor="text2" w:themeShade="BF"/>
          <w:spacing w:val="5"/>
          <w:kern w:val="28"/>
          <w:sz w:val="32"/>
          <w:szCs w:val="32"/>
        </w:rPr>
      </w:pPr>
      <w:r w:rsidRPr="009A539C">
        <w:rPr>
          <w:rFonts w:asciiTheme="majorHAnsi" w:eastAsiaTheme="majorEastAsia" w:hAnsiTheme="majorHAnsi" w:cstheme="majorBidi"/>
          <w:i/>
          <w:color w:val="17365D" w:themeColor="text2" w:themeShade="BF"/>
          <w:spacing w:val="5"/>
          <w:kern w:val="28"/>
          <w:sz w:val="32"/>
          <w:szCs w:val="32"/>
        </w:rPr>
        <w:t xml:space="preserve"> </w:t>
      </w:r>
    </w:p>
    <w:p w14:paraId="248E7419" w14:textId="77777777" w:rsidR="0003622E" w:rsidRPr="009A539C" w:rsidRDefault="0003622E" w:rsidP="00B90788">
      <w:pPr>
        <w:ind w:left="1701" w:right="-1"/>
        <w:jc w:val="center"/>
        <w:rPr>
          <w:rFonts w:asciiTheme="majorHAnsi" w:eastAsiaTheme="majorEastAsia" w:hAnsiTheme="majorHAnsi" w:cstheme="majorBidi"/>
          <w:i/>
          <w:spacing w:val="5"/>
          <w:sz w:val="32"/>
          <w:szCs w:val="32"/>
        </w:rPr>
      </w:pPr>
    </w:p>
    <w:p w14:paraId="0808B475" w14:textId="77777777" w:rsidR="0003622E" w:rsidRPr="009A539C" w:rsidRDefault="0003622E" w:rsidP="00B90788">
      <w:pPr>
        <w:ind w:left="1701" w:right="-1"/>
        <w:jc w:val="center"/>
        <w:rPr>
          <w:rFonts w:asciiTheme="majorHAnsi" w:eastAsiaTheme="majorEastAsia" w:hAnsiTheme="majorHAnsi" w:cstheme="majorBidi"/>
          <w:i/>
          <w:spacing w:val="5"/>
          <w:sz w:val="32"/>
          <w:szCs w:val="32"/>
        </w:rPr>
      </w:pPr>
    </w:p>
    <w:p w14:paraId="50FFAA05" w14:textId="77777777" w:rsidR="0003622E" w:rsidRPr="009A539C" w:rsidRDefault="0003622E" w:rsidP="00B90788">
      <w:pPr>
        <w:spacing w:after="0"/>
        <w:ind w:right="-1"/>
        <w:rPr>
          <w:rFonts w:asciiTheme="majorHAnsi" w:eastAsiaTheme="majorEastAsia" w:hAnsiTheme="majorHAnsi" w:cstheme="majorBidi"/>
          <w:b/>
          <w:spacing w:val="5"/>
          <w:sz w:val="36"/>
          <w:szCs w:val="36"/>
        </w:rPr>
      </w:pPr>
    </w:p>
    <w:p w14:paraId="7B2A6086" w14:textId="77777777" w:rsidR="0003622E" w:rsidRPr="009A539C" w:rsidRDefault="0003622E" w:rsidP="00B90788">
      <w:pPr>
        <w:spacing w:after="0"/>
        <w:ind w:right="-1"/>
        <w:rPr>
          <w:rFonts w:asciiTheme="majorHAnsi" w:eastAsiaTheme="majorEastAsia" w:hAnsiTheme="majorHAnsi" w:cstheme="majorBidi"/>
          <w:b/>
          <w:spacing w:val="5"/>
          <w:sz w:val="36"/>
          <w:szCs w:val="36"/>
        </w:rPr>
      </w:pPr>
    </w:p>
    <w:p w14:paraId="23C5E54D" w14:textId="77777777" w:rsidR="0003622E" w:rsidRPr="009A539C" w:rsidRDefault="0003622E" w:rsidP="00B90788">
      <w:pPr>
        <w:spacing w:after="0"/>
        <w:ind w:right="-1"/>
        <w:rPr>
          <w:rFonts w:asciiTheme="majorHAnsi" w:eastAsiaTheme="majorEastAsia" w:hAnsiTheme="majorHAnsi" w:cstheme="majorBidi"/>
          <w:b/>
          <w:spacing w:val="5"/>
          <w:sz w:val="28"/>
          <w:szCs w:val="28"/>
        </w:rPr>
      </w:pPr>
      <w:r w:rsidRPr="009A539C">
        <w:rPr>
          <w:rFonts w:asciiTheme="majorHAnsi" w:eastAsiaTheme="majorEastAsia" w:hAnsiTheme="majorHAnsi" w:cstheme="majorBidi"/>
          <w:b/>
          <w:spacing w:val="5"/>
          <w:sz w:val="30"/>
          <w:szCs w:val="30"/>
        </w:rPr>
        <w:t xml:space="preserve"> </w:t>
      </w:r>
    </w:p>
    <w:p w14:paraId="79FA6EBF" w14:textId="4DEEB07A" w:rsidR="0003622E" w:rsidRPr="009A539C" w:rsidRDefault="0003622E" w:rsidP="00B90788">
      <w:pPr>
        <w:spacing w:after="0"/>
        <w:ind w:left="1559" w:right="-1" w:firstLine="1"/>
        <w:jc w:val="center"/>
        <w:rPr>
          <w:rFonts w:asciiTheme="majorHAnsi" w:eastAsiaTheme="majorEastAsia" w:hAnsiTheme="majorHAnsi" w:cstheme="majorBidi"/>
          <w:spacing w:val="5"/>
          <w:sz w:val="48"/>
          <w:szCs w:val="52"/>
        </w:rPr>
      </w:pPr>
    </w:p>
    <w:p w14:paraId="177782EF" w14:textId="77777777" w:rsidR="0003622E" w:rsidRPr="009A539C" w:rsidRDefault="0003622E" w:rsidP="00B90788">
      <w:pPr>
        <w:ind w:right="-1"/>
        <w:jc w:val="center"/>
        <w:rPr>
          <w:b/>
          <w:sz w:val="24"/>
          <w:szCs w:val="24"/>
        </w:rPr>
      </w:pPr>
    </w:p>
    <w:p w14:paraId="5EE6D3E1" w14:textId="16185CC0" w:rsidR="0003622E" w:rsidRPr="009A539C" w:rsidRDefault="001A3565" w:rsidP="00B90788">
      <w:pPr>
        <w:ind w:right="-1"/>
        <w:jc w:val="center"/>
        <w:rPr>
          <w:b/>
          <w:sz w:val="24"/>
          <w:szCs w:val="24"/>
        </w:rPr>
      </w:pPr>
      <w:r w:rsidRPr="009A539C">
        <w:rPr>
          <w:b/>
          <w:sz w:val="24"/>
          <w:szCs w:val="24"/>
        </w:rPr>
        <w:t xml:space="preserve"> </w:t>
      </w:r>
    </w:p>
    <w:p w14:paraId="585B3C66" w14:textId="77777777" w:rsidR="0003622E" w:rsidRPr="009A539C" w:rsidRDefault="0003622E" w:rsidP="00B90788">
      <w:pPr>
        <w:ind w:right="-1"/>
        <w:jc w:val="center"/>
        <w:rPr>
          <w:b/>
          <w:sz w:val="24"/>
          <w:szCs w:val="24"/>
        </w:rPr>
      </w:pPr>
    </w:p>
    <w:p w14:paraId="3F28F0D8" w14:textId="77777777" w:rsidR="0003622E" w:rsidRPr="009A539C" w:rsidRDefault="0003622E" w:rsidP="00B90788">
      <w:pPr>
        <w:ind w:right="-1"/>
        <w:jc w:val="center"/>
        <w:rPr>
          <w:b/>
          <w:sz w:val="24"/>
          <w:szCs w:val="24"/>
        </w:rPr>
      </w:pPr>
    </w:p>
    <w:p w14:paraId="20AC5581" w14:textId="77777777" w:rsidR="0003622E" w:rsidRPr="009A539C" w:rsidRDefault="0003622E" w:rsidP="00B90788">
      <w:pPr>
        <w:ind w:right="-1"/>
        <w:jc w:val="center"/>
        <w:rPr>
          <w:b/>
          <w:sz w:val="24"/>
          <w:szCs w:val="24"/>
        </w:rPr>
      </w:pPr>
    </w:p>
    <w:p w14:paraId="0E58F0D6" w14:textId="77777777" w:rsidR="0003622E" w:rsidRPr="009A539C" w:rsidRDefault="0003622E" w:rsidP="00B90788">
      <w:pPr>
        <w:ind w:right="-1"/>
        <w:jc w:val="center"/>
        <w:rPr>
          <w:b/>
          <w:sz w:val="24"/>
          <w:szCs w:val="24"/>
        </w:rPr>
      </w:pPr>
    </w:p>
    <w:p w14:paraId="051BF359" w14:textId="77777777" w:rsidR="0003622E" w:rsidRPr="009A539C" w:rsidRDefault="0003622E" w:rsidP="00B90788">
      <w:pPr>
        <w:ind w:right="-1"/>
        <w:rPr>
          <w:b/>
          <w:sz w:val="24"/>
          <w:szCs w:val="24"/>
        </w:rPr>
      </w:pPr>
    </w:p>
    <w:p w14:paraId="7266912F" w14:textId="77777777" w:rsidR="0003622E" w:rsidRPr="009A539C" w:rsidRDefault="0003622E" w:rsidP="00B90788">
      <w:pPr>
        <w:tabs>
          <w:tab w:val="left" w:pos="3343"/>
        </w:tabs>
        <w:ind w:right="-1"/>
        <w:rPr>
          <w:b/>
          <w:sz w:val="24"/>
          <w:szCs w:val="24"/>
        </w:rPr>
      </w:pPr>
      <w:r w:rsidRPr="009A539C">
        <w:rPr>
          <w:b/>
          <w:sz w:val="24"/>
          <w:szCs w:val="24"/>
        </w:rPr>
        <w:tab/>
      </w:r>
    </w:p>
    <w:p w14:paraId="63DCB6DA" w14:textId="77777777" w:rsidR="0003622E" w:rsidRPr="009A539C" w:rsidRDefault="0003622E" w:rsidP="00B90788">
      <w:pPr>
        <w:ind w:right="-1"/>
        <w:rPr>
          <w:b/>
          <w:sz w:val="24"/>
          <w:szCs w:val="24"/>
        </w:rPr>
      </w:pPr>
    </w:p>
    <w:p w14:paraId="255FAFED" w14:textId="2F1013C5" w:rsidR="0003622E" w:rsidRPr="009A539C" w:rsidRDefault="00D324E7" w:rsidP="00D324E7">
      <w:pPr>
        <w:tabs>
          <w:tab w:val="left" w:pos="4205"/>
        </w:tabs>
        <w:ind w:right="-1"/>
        <w:rPr>
          <w:b/>
          <w:sz w:val="24"/>
          <w:szCs w:val="24"/>
        </w:rPr>
      </w:pPr>
      <w:r w:rsidRPr="009A539C">
        <w:rPr>
          <w:b/>
          <w:sz w:val="24"/>
          <w:szCs w:val="24"/>
        </w:rPr>
        <w:tab/>
      </w:r>
    </w:p>
    <w:p w14:paraId="62ECCBB2" w14:textId="77777777" w:rsidR="0003622E" w:rsidRPr="009A539C" w:rsidRDefault="0003622E" w:rsidP="00B90788">
      <w:pPr>
        <w:ind w:right="-1"/>
        <w:rPr>
          <w:b/>
          <w:i/>
          <w:szCs w:val="24"/>
        </w:rPr>
      </w:pPr>
      <w:r w:rsidRPr="009A539C">
        <w:rPr>
          <w:b/>
          <w:sz w:val="24"/>
          <w:szCs w:val="24"/>
        </w:rPr>
        <w:t xml:space="preserve">Título: </w:t>
      </w:r>
      <w:r w:rsidRPr="009A539C">
        <w:rPr>
          <w:i/>
          <w:szCs w:val="24"/>
        </w:rPr>
        <w:t>RELATÓRIO ANUAL SOBRE A EVOLUÇÃO DA NEGOCIAÇÃO COLETIVA EM 2019</w:t>
      </w:r>
    </w:p>
    <w:p w14:paraId="314F5923" w14:textId="77777777" w:rsidR="0003622E" w:rsidRPr="009A539C" w:rsidRDefault="0003622E" w:rsidP="00B90788">
      <w:pPr>
        <w:ind w:right="-1"/>
        <w:rPr>
          <w:b/>
          <w:sz w:val="24"/>
          <w:szCs w:val="24"/>
        </w:rPr>
      </w:pPr>
    </w:p>
    <w:p w14:paraId="4C1B55A7" w14:textId="0C53C84D" w:rsidR="0003622E" w:rsidRPr="009A539C" w:rsidRDefault="0003622E" w:rsidP="00B90788">
      <w:pPr>
        <w:ind w:right="-1"/>
        <w:rPr>
          <w:sz w:val="20"/>
          <w:szCs w:val="24"/>
        </w:rPr>
      </w:pPr>
      <w:r w:rsidRPr="009A539C">
        <w:rPr>
          <w:sz w:val="20"/>
          <w:szCs w:val="24"/>
          <w:u w:val="single"/>
        </w:rPr>
        <w:t>Data de edição</w:t>
      </w:r>
      <w:r w:rsidRPr="009A539C">
        <w:rPr>
          <w:sz w:val="20"/>
          <w:szCs w:val="24"/>
        </w:rPr>
        <w:t xml:space="preserve">: </w:t>
      </w:r>
      <w:r w:rsidR="00942C57">
        <w:rPr>
          <w:sz w:val="20"/>
          <w:szCs w:val="24"/>
        </w:rPr>
        <w:t>14</w:t>
      </w:r>
      <w:r w:rsidR="00D324E7" w:rsidRPr="009A539C">
        <w:rPr>
          <w:sz w:val="20"/>
          <w:szCs w:val="24"/>
        </w:rPr>
        <w:t xml:space="preserve"> </w:t>
      </w:r>
      <w:r w:rsidR="001266F2" w:rsidRPr="009A539C">
        <w:rPr>
          <w:sz w:val="20"/>
          <w:szCs w:val="24"/>
        </w:rPr>
        <w:t xml:space="preserve"> </w:t>
      </w:r>
      <w:r w:rsidRPr="009A539C">
        <w:rPr>
          <w:sz w:val="20"/>
          <w:szCs w:val="24"/>
        </w:rPr>
        <w:t>Ju</w:t>
      </w:r>
      <w:r w:rsidR="00D324E7" w:rsidRPr="009A539C">
        <w:rPr>
          <w:sz w:val="20"/>
          <w:szCs w:val="24"/>
        </w:rPr>
        <w:t>l</w:t>
      </w:r>
      <w:r w:rsidRPr="009A539C">
        <w:rPr>
          <w:sz w:val="20"/>
          <w:szCs w:val="24"/>
        </w:rPr>
        <w:t>ho de 2020</w:t>
      </w:r>
    </w:p>
    <w:p w14:paraId="4FB1BB83" w14:textId="77777777" w:rsidR="0003622E" w:rsidRPr="009A539C" w:rsidRDefault="0003622E" w:rsidP="00B90788">
      <w:pPr>
        <w:ind w:left="1276" w:right="-1"/>
        <w:rPr>
          <w:sz w:val="18"/>
          <w:szCs w:val="24"/>
        </w:rPr>
      </w:pPr>
    </w:p>
    <w:p w14:paraId="7073743E" w14:textId="77777777" w:rsidR="0003622E" w:rsidRPr="009A539C" w:rsidRDefault="0003622E" w:rsidP="00B90788">
      <w:pPr>
        <w:spacing w:after="0"/>
        <w:ind w:right="-1"/>
        <w:rPr>
          <w:smallCaps/>
          <w:sz w:val="20"/>
          <w:szCs w:val="24"/>
        </w:rPr>
      </w:pPr>
      <w:r w:rsidRPr="009A539C">
        <w:rPr>
          <w:smallCaps/>
          <w:sz w:val="20"/>
          <w:szCs w:val="24"/>
        </w:rPr>
        <w:t>Ministério do Trabalho, Solidariedade e Segurança Social</w:t>
      </w:r>
    </w:p>
    <w:p w14:paraId="183F5EB2" w14:textId="77777777" w:rsidR="0003622E" w:rsidRPr="009A539C" w:rsidRDefault="0003622E" w:rsidP="00B90788">
      <w:pPr>
        <w:spacing w:after="0"/>
        <w:ind w:right="-1"/>
        <w:rPr>
          <w:b/>
          <w:smallCaps/>
          <w:sz w:val="20"/>
          <w:szCs w:val="24"/>
        </w:rPr>
      </w:pPr>
      <w:r w:rsidRPr="009A539C">
        <w:rPr>
          <w:b/>
          <w:smallCaps/>
          <w:sz w:val="20"/>
          <w:szCs w:val="24"/>
        </w:rPr>
        <w:t>Centro de Relações Laborais</w:t>
      </w:r>
    </w:p>
    <w:p w14:paraId="522082FE" w14:textId="77777777" w:rsidR="0003622E" w:rsidRPr="009A539C" w:rsidRDefault="0003622E" w:rsidP="00B90788">
      <w:pPr>
        <w:spacing w:after="0"/>
        <w:ind w:left="284" w:right="-1"/>
        <w:rPr>
          <w:sz w:val="20"/>
          <w:szCs w:val="24"/>
        </w:rPr>
      </w:pPr>
      <w:r w:rsidRPr="009A539C">
        <w:rPr>
          <w:sz w:val="20"/>
          <w:szCs w:val="24"/>
        </w:rPr>
        <w:t xml:space="preserve">Praça de Londres, n.º 2 - Piso 9 </w:t>
      </w:r>
      <w:r w:rsidRPr="009A539C">
        <w:rPr>
          <w:sz w:val="20"/>
          <w:szCs w:val="24"/>
        </w:rPr>
        <w:br/>
        <w:t>1049-056 – Lisboa, Portugal</w:t>
      </w:r>
    </w:p>
    <w:p w14:paraId="444E2A2F" w14:textId="77777777" w:rsidR="0003622E" w:rsidRPr="009A539C" w:rsidRDefault="0003622E" w:rsidP="00B90788">
      <w:pPr>
        <w:spacing w:after="0"/>
        <w:ind w:left="284" w:right="-1"/>
        <w:rPr>
          <w:color w:val="000000" w:themeColor="text1"/>
          <w:sz w:val="20"/>
          <w:szCs w:val="24"/>
          <w:u w:val="single"/>
          <w:lang w:val="fr-FR"/>
        </w:rPr>
      </w:pPr>
      <w:r w:rsidRPr="009A539C">
        <w:rPr>
          <w:color w:val="000000" w:themeColor="text1"/>
          <w:sz w:val="20"/>
          <w:szCs w:val="24"/>
          <w:lang w:val="fr-FR"/>
        </w:rPr>
        <w:t xml:space="preserve">Email: </w:t>
      </w:r>
      <w:hyperlink r:id="rId10" w:history="1">
        <w:r w:rsidRPr="009A539C">
          <w:rPr>
            <w:color w:val="000000" w:themeColor="text1"/>
            <w:sz w:val="20"/>
            <w:szCs w:val="24"/>
            <w:u w:val="single"/>
            <w:lang w:val="fr-FR"/>
          </w:rPr>
          <w:t>geral@crl.mtsss.pt</w:t>
        </w:r>
      </w:hyperlink>
    </w:p>
    <w:p w14:paraId="05B513BC" w14:textId="77777777" w:rsidR="0003622E" w:rsidRPr="009A539C" w:rsidRDefault="0003622E" w:rsidP="00B90788">
      <w:pPr>
        <w:spacing w:after="0"/>
        <w:ind w:left="708" w:right="-1"/>
        <w:rPr>
          <w:color w:val="000000" w:themeColor="text1"/>
          <w:sz w:val="20"/>
          <w:szCs w:val="24"/>
          <w:lang w:val="fr-FR"/>
        </w:rPr>
      </w:pPr>
      <w:r w:rsidRPr="009A539C">
        <w:rPr>
          <w:rFonts w:cs="Times New Roman"/>
          <w:color w:val="00000A"/>
          <w:lang w:val="en-US"/>
        </w:rPr>
        <w:t xml:space="preserve">  </w:t>
      </w:r>
      <w:hyperlink r:id="rId11" w:history="1">
        <w:r w:rsidRPr="009A539C">
          <w:rPr>
            <w:color w:val="000000" w:themeColor="text1"/>
            <w:sz w:val="20"/>
            <w:szCs w:val="24"/>
            <w:u w:val="single"/>
            <w:lang w:val="fr-FR"/>
          </w:rPr>
          <w:t>www.crlaborais.pt</w:t>
        </w:r>
      </w:hyperlink>
    </w:p>
    <w:p w14:paraId="0EC2D1CA" w14:textId="77777777" w:rsidR="0003622E" w:rsidRPr="009A539C" w:rsidRDefault="0003622E" w:rsidP="00B90788">
      <w:pPr>
        <w:spacing w:after="0"/>
        <w:ind w:right="-1"/>
        <w:rPr>
          <w:b/>
          <w:sz w:val="18"/>
          <w:szCs w:val="24"/>
          <w:lang w:val="fr-FR"/>
        </w:rPr>
      </w:pPr>
    </w:p>
    <w:p w14:paraId="62F6F897" w14:textId="77777777" w:rsidR="0003622E" w:rsidRPr="009A539C" w:rsidRDefault="0003622E" w:rsidP="00B90788">
      <w:pPr>
        <w:spacing w:after="0"/>
        <w:ind w:right="-1"/>
        <w:rPr>
          <w:b/>
          <w:sz w:val="18"/>
          <w:szCs w:val="24"/>
          <w:lang w:val="fr-FR"/>
        </w:rPr>
      </w:pPr>
    </w:p>
    <w:p w14:paraId="37AB9A43" w14:textId="77777777" w:rsidR="0003622E" w:rsidRPr="009A539C" w:rsidRDefault="0003622E" w:rsidP="00B90788">
      <w:pPr>
        <w:spacing w:after="0"/>
        <w:ind w:right="-1"/>
        <w:rPr>
          <w:sz w:val="18"/>
          <w:szCs w:val="24"/>
        </w:rPr>
      </w:pPr>
      <w:r w:rsidRPr="009A539C">
        <w:rPr>
          <w:b/>
          <w:sz w:val="18"/>
          <w:szCs w:val="24"/>
        </w:rPr>
        <w:t>Depósito legal</w:t>
      </w:r>
      <w:r w:rsidRPr="009A539C">
        <w:rPr>
          <w:sz w:val="18"/>
          <w:szCs w:val="24"/>
        </w:rPr>
        <w:t>: ---------------</w:t>
      </w:r>
    </w:p>
    <w:p w14:paraId="4D49DB46" w14:textId="77777777" w:rsidR="0003622E" w:rsidRPr="009A539C" w:rsidRDefault="0003622E" w:rsidP="00B90788">
      <w:pPr>
        <w:spacing w:after="0"/>
        <w:ind w:right="-1"/>
        <w:rPr>
          <w:sz w:val="18"/>
          <w:szCs w:val="24"/>
        </w:rPr>
      </w:pPr>
    </w:p>
    <w:p w14:paraId="256DEB97" w14:textId="77777777" w:rsidR="0003622E" w:rsidRPr="009A539C" w:rsidRDefault="0003622E" w:rsidP="00B90788">
      <w:pPr>
        <w:spacing w:after="0"/>
        <w:ind w:right="-1"/>
        <w:rPr>
          <w:sz w:val="18"/>
          <w:szCs w:val="24"/>
        </w:rPr>
      </w:pPr>
      <w:r w:rsidRPr="009A539C">
        <w:rPr>
          <w:b/>
          <w:sz w:val="18"/>
          <w:szCs w:val="24"/>
        </w:rPr>
        <w:t>Execução gráfica</w:t>
      </w:r>
      <w:r w:rsidRPr="009A539C">
        <w:rPr>
          <w:sz w:val="18"/>
          <w:szCs w:val="24"/>
        </w:rPr>
        <w:t>: ---------------</w:t>
      </w:r>
    </w:p>
    <w:p w14:paraId="04F3CD8F" w14:textId="77777777" w:rsidR="0003622E" w:rsidRPr="009A539C" w:rsidRDefault="0003622E" w:rsidP="00B90788">
      <w:pPr>
        <w:spacing w:after="0"/>
        <w:ind w:right="-1"/>
        <w:rPr>
          <w:sz w:val="18"/>
          <w:szCs w:val="24"/>
        </w:rPr>
      </w:pPr>
    </w:p>
    <w:p w14:paraId="1821A84A" w14:textId="77777777" w:rsidR="0003622E" w:rsidRPr="009A539C" w:rsidRDefault="0003622E" w:rsidP="00B90788">
      <w:pPr>
        <w:spacing w:after="0"/>
        <w:ind w:right="-1"/>
        <w:rPr>
          <w:sz w:val="18"/>
          <w:szCs w:val="24"/>
        </w:rPr>
      </w:pPr>
      <w:r w:rsidRPr="009A539C">
        <w:rPr>
          <w:b/>
          <w:sz w:val="18"/>
          <w:szCs w:val="24"/>
        </w:rPr>
        <w:t>Tiragem</w:t>
      </w:r>
      <w:r w:rsidRPr="009A539C">
        <w:rPr>
          <w:sz w:val="18"/>
          <w:szCs w:val="24"/>
        </w:rPr>
        <w:t>: ---------------</w:t>
      </w:r>
    </w:p>
    <w:p w14:paraId="5E41E158" w14:textId="77777777" w:rsidR="0003622E" w:rsidRPr="009A539C" w:rsidRDefault="0003622E" w:rsidP="00B90788">
      <w:pPr>
        <w:spacing w:after="0"/>
        <w:ind w:right="-1"/>
        <w:rPr>
          <w:szCs w:val="24"/>
        </w:rPr>
      </w:pPr>
    </w:p>
    <w:p w14:paraId="206ECB3B" w14:textId="77777777" w:rsidR="0003622E" w:rsidRPr="009A539C" w:rsidRDefault="0003622E" w:rsidP="00B90788">
      <w:pPr>
        <w:spacing w:after="0"/>
        <w:ind w:right="-1"/>
        <w:rPr>
          <w:szCs w:val="24"/>
        </w:rPr>
      </w:pPr>
    </w:p>
    <w:p w14:paraId="55775D3D" w14:textId="77777777" w:rsidR="0003622E" w:rsidRPr="009A539C" w:rsidRDefault="0003622E" w:rsidP="00B90788">
      <w:pPr>
        <w:spacing w:after="0"/>
        <w:ind w:right="-1"/>
        <w:rPr>
          <w:szCs w:val="24"/>
        </w:rPr>
      </w:pPr>
    </w:p>
    <w:p w14:paraId="5F40DFF3" w14:textId="77777777" w:rsidR="0003622E" w:rsidRPr="009A539C" w:rsidRDefault="0003622E" w:rsidP="00B90788">
      <w:pPr>
        <w:spacing w:after="0"/>
        <w:ind w:right="-1"/>
        <w:rPr>
          <w:b/>
          <w:sz w:val="18"/>
          <w:szCs w:val="24"/>
        </w:rPr>
        <w:sectPr w:rsidR="0003622E" w:rsidRPr="009A539C" w:rsidSect="00B90788">
          <w:headerReference w:type="default" r:id="rId12"/>
          <w:footerReference w:type="default" r:id="rId13"/>
          <w:footerReference w:type="first" r:id="rId14"/>
          <w:pgSz w:w="13890" w:h="16838"/>
          <w:pgMar w:top="1417" w:right="2691" w:bottom="1417" w:left="1701" w:header="708" w:footer="708" w:gutter="0"/>
          <w:pgNumType w:start="1"/>
          <w:cols w:space="720"/>
          <w:formProt w:val="0"/>
          <w:docGrid w:linePitch="360" w:charSpace="-2049"/>
        </w:sectPr>
      </w:pPr>
      <w:r w:rsidRPr="009A539C">
        <w:rPr>
          <w:i/>
          <w:iCs/>
          <w:sz w:val="18"/>
        </w:rPr>
        <w:t xml:space="preserve">Documento redigido segundo o Acordo Ortográfico em vigor </w:t>
      </w:r>
    </w:p>
    <w:p w14:paraId="56DC519B" w14:textId="77777777" w:rsidR="0003622E" w:rsidRPr="009A539C" w:rsidRDefault="0003622E" w:rsidP="00B90788">
      <w:pPr>
        <w:pBdr>
          <w:bottom w:val="single" w:sz="4" w:space="4" w:color="4F81BD" w:themeColor="accent1"/>
        </w:pBdr>
        <w:spacing w:before="200" w:after="280"/>
        <w:ind w:right="-1"/>
        <w:jc w:val="right"/>
        <w:rPr>
          <w:b/>
          <w:bCs/>
          <w:i/>
          <w:iCs/>
          <w:color w:val="4F81BD" w:themeColor="accent1"/>
          <w:sz w:val="28"/>
        </w:rPr>
      </w:pPr>
      <w:bookmarkStart w:id="0" w:name="_Toc415149661"/>
      <w:bookmarkStart w:id="1" w:name="_Toc415151160"/>
      <w:bookmarkStart w:id="2" w:name="_Toc415154619"/>
      <w:bookmarkStart w:id="3" w:name="_Toc415157312"/>
      <w:bookmarkStart w:id="4" w:name="_Toc415157599"/>
      <w:bookmarkStart w:id="5" w:name="_Toc415222818"/>
      <w:bookmarkStart w:id="6" w:name="_Toc415585170"/>
      <w:bookmarkStart w:id="7" w:name="_Toc415585543"/>
      <w:bookmarkStart w:id="8" w:name="_Toc415586704"/>
      <w:bookmarkStart w:id="9" w:name="_Toc415671713"/>
      <w:bookmarkStart w:id="10" w:name="_Toc417459789"/>
      <w:bookmarkStart w:id="11" w:name="_Toc417548974"/>
      <w:bookmarkStart w:id="12" w:name="_Toc417550416"/>
      <w:bookmarkStart w:id="13" w:name="_Toc417552102"/>
      <w:bookmarkStart w:id="14" w:name="_Toc417564154"/>
      <w:bookmarkStart w:id="15" w:name="_Toc417564280"/>
      <w:bookmarkStart w:id="16" w:name="_Toc417996729"/>
      <w:r w:rsidRPr="009A539C">
        <w:rPr>
          <w:b/>
          <w:bCs/>
          <w:i/>
          <w:iCs/>
          <w:color w:val="4F81BD" w:themeColor="accent1"/>
          <w:sz w:val="28"/>
        </w:rPr>
        <w:lastRenderedPageBreak/>
        <w:t>Ficha Técnica</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5D338977" w14:textId="77777777" w:rsidR="0003622E" w:rsidRPr="009A539C" w:rsidRDefault="0003622E" w:rsidP="00B90788">
      <w:pPr>
        <w:tabs>
          <w:tab w:val="left" w:pos="7513"/>
        </w:tabs>
        <w:spacing w:after="0"/>
        <w:ind w:left="1985" w:right="-1" w:hanging="1985"/>
        <w:jc w:val="both"/>
        <w:rPr>
          <w:b/>
          <w:color w:val="4F81BD" w:themeColor="accent1"/>
        </w:rPr>
      </w:pPr>
      <w:r w:rsidRPr="009A539C">
        <w:rPr>
          <w:b/>
          <w:color w:val="4F81BD" w:themeColor="accent1"/>
        </w:rPr>
        <w:t xml:space="preserve">CENTRO DE RELAÇÕES LABORAIS </w:t>
      </w:r>
    </w:p>
    <w:p w14:paraId="1D2D7220" w14:textId="77777777" w:rsidR="0003622E" w:rsidRPr="009A539C" w:rsidRDefault="0003622E" w:rsidP="00A95C56">
      <w:pPr>
        <w:numPr>
          <w:ilvl w:val="0"/>
          <w:numId w:val="7"/>
        </w:numPr>
        <w:tabs>
          <w:tab w:val="left" w:pos="284"/>
          <w:tab w:val="left" w:pos="7513"/>
        </w:tabs>
        <w:spacing w:after="0" w:line="240" w:lineRule="auto"/>
        <w:ind w:left="284" w:right="-1" w:hanging="142"/>
        <w:jc w:val="both"/>
        <w:rPr>
          <w:b/>
          <w:i/>
          <w:color w:val="4F81BD" w:themeColor="accent1"/>
          <w:sz w:val="20"/>
          <w:szCs w:val="24"/>
        </w:rPr>
      </w:pPr>
      <w:r w:rsidRPr="009A539C">
        <w:rPr>
          <w:b/>
          <w:i/>
          <w:color w:val="4F81BD" w:themeColor="accent1"/>
          <w:sz w:val="20"/>
          <w:szCs w:val="24"/>
        </w:rPr>
        <w:t xml:space="preserve"> Composição:</w:t>
      </w:r>
    </w:p>
    <w:p w14:paraId="49E17638" w14:textId="3DFA37B2" w:rsidR="0031241C" w:rsidRPr="009A539C" w:rsidRDefault="0031241C" w:rsidP="0031241C">
      <w:pPr>
        <w:tabs>
          <w:tab w:val="left" w:pos="7513"/>
        </w:tabs>
        <w:spacing w:after="0"/>
        <w:ind w:left="426" w:right="-1" w:hanging="426"/>
        <w:rPr>
          <w:rFonts w:ascii="Calibri" w:eastAsia="Calibri" w:hAnsi="Calibri" w:cs="Times New Roman"/>
          <w:sz w:val="18"/>
          <w:szCs w:val="18"/>
        </w:rPr>
      </w:pPr>
      <w:r w:rsidRPr="009A539C">
        <w:rPr>
          <w:rFonts w:ascii="Calibri" w:eastAsia="Calibri" w:hAnsi="Calibri" w:cs="Times New Roman"/>
          <w:sz w:val="20"/>
          <w:szCs w:val="20"/>
        </w:rPr>
        <w:tab/>
        <w:t>P</w:t>
      </w:r>
      <w:r w:rsidRPr="009A539C">
        <w:rPr>
          <w:rFonts w:ascii="Calibri" w:eastAsia="Calibri" w:hAnsi="Calibri" w:cs="Times New Roman"/>
          <w:sz w:val="20"/>
          <w:szCs w:val="20"/>
          <w:u w:val="single"/>
        </w:rPr>
        <w:t>residente</w:t>
      </w:r>
      <w:r w:rsidRPr="009A539C">
        <w:rPr>
          <w:rFonts w:ascii="Calibri" w:eastAsia="Calibri" w:hAnsi="Calibri"/>
          <w:b/>
          <w:sz w:val="20"/>
          <w:szCs w:val="20"/>
        </w:rPr>
        <w:t xml:space="preserve">: </w:t>
      </w:r>
      <w:r w:rsidRPr="009A539C">
        <w:rPr>
          <w:rFonts w:ascii="Calibri" w:eastAsia="Calibri" w:hAnsi="Calibri" w:cs="Times New Roman"/>
          <w:b/>
          <w:bCs/>
          <w:sz w:val="20"/>
          <w:szCs w:val="20"/>
        </w:rPr>
        <w:t xml:space="preserve">Sérgio Monteiro do Monte </w:t>
      </w:r>
      <w:r w:rsidRPr="009A539C">
        <w:rPr>
          <w:rFonts w:ascii="Calibri" w:eastAsia="Calibri" w:hAnsi="Calibri"/>
          <w:sz w:val="18"/>
          <w:szCs w:val="18"/>
        </w:rPr>
        <w:t>(Organização Sindical|</w:t>
      </w:r>
      <w:r w:rsidRPr="009A539C">
        <w:rPr>
          <w:rFonts w:ascii="Calibri" w:eastAsia="Calibri" w:hAnsi="Calibri" w:cs="Times New Roman"/>
          <w:sz w:val="18"/>
          <w:szCs w:val="18"/>
        </w:rPr>
        <w:t>UGT)</w:t>
      </w:r>
      <w:r w:rsidRPr="009A539C">
        <w:rPr>
          <w:rFonts w:ascii="Calibri" w:eastAsia="Calibri" w:hAnsi="Calibri"/>
          <w:sz w:val="18"/>
          <w:szCs w:val="18"/>
        </w:rPr>
        <w:t>/</w:t>
      </w:r>
      <w:r w:rsidRPr="009A539C">
        <w:rPr>
          <w:rFonts w:ascii="Calibri" w:eastAsia="Calibri" w:hAnsi="Calibri"/>
          <w:b/>
          <w:sz w:val="20"/>
          <w:szCs w:val="20"/>
        </w:rPr>
        <w:t xml:space="preserve"> </w:t>
      </w:r>
      <w:r w:rsidRPr="009A539C">
        <w:rPr>
          <w:rFonts w:ascii="Calibri" w:eastAsia="Calibri" w:hAnsi="Calibri" w:cs="Times New Roman"/>
          <w:b/>
          <w:sz w:val="20"/>
          <w:szCs w:val="20"/>
        </w:rPr>
        <w:t>Ana Cristina Vieira</w:t>
      </w:r>
      <w:r w:rsidRPr="009A539C">
        <w:rPr>
          <w:rFonts w:ascii="Calibri" w:eastAsia="Calibri" w:hAnsi="Calibri"/>
          <w:b/>
          <w:sz w:val="20"/>
          <w:szCs w:val="20"/>
        </w:rPr>
        <w:t xml:space="preserve"> </w:t>
      </w:r>
      <w:r w:rsidRPr="009A539C">
        <w:rPr>
          <w:rFonts w:ascii="Calibri" w:eastAsia="Calibri" w:hAnsi="Calibri" w:cs="Times New Roman"/>
          <w:sz w:val="20"/>
          <w:szCs w:val="20"/>
        </w:rPr>
        <w:t>(</w:t>
      </w:r>
      <w:r w:rsidRPr="009A539C">
        <w:rPr>
          <w:rFonts w:ascii="Calibri" w:eastAsia="Calibri" w:hAnsi="Calibri" w:cs="Times New Roman"/>
          <w:sz w:val="18"/>
          <w:szCs w:val="18"/>
        </w:rPr>
        <w:t>Organização</w:t>
      </w:r>
      <w:r w:rsidRPr="009A539C">
        <w:rPr>
          <w:rFonts w:ascii="Calibri" w:eastAsia="Calibri" w:hAnsi="Calibri"/>
          <w:sz w:val="18"/>
          <w:szCs w:val="18"/>
        </w:rPr>
        <w:t xml:space="preserve"> Empresarial</w:t>
      </w:r>
      <w:r w:rsidRPr="009A539C">
        <w:rPr>
          <w:rFonts w:ascii="Calibri" w:eastAsia="Calibri" w:hAnsi="Calibri" w:cs="Times New Roman"/>
          <w:sz w:val="18"/>
          <w:szCs w:val="18"/>
        </w:rPr>
        <w:t xml:space="preserve"> |</w:t>
      </w:r>
      <w:r w:rsidRPr="009A539C">
        <w:rPr>
          <w:rFonts w:ascii="Calibri" w:eastAsia="Calibri" w:hAnsi="Calibri"/>
          <w:sz w:val="18"/>
          <w:szCs w:val="18"/>
        </w:rPr>
        <w:t>CCP</w:t>
      </w:r>
      <w:r w:rsidRPr="009A539C">
        <w:rPr>
          <w:rFonts w:ascii="Calibri" w:eastAsia="Calibri" w:hAnsi="Calibri" w:cs="Times New Roman"/>
          <w:sz w:val="18"/>
          <w:szCs w:val="18"/>
        </w:rPr>
        <w:t>)</w:t>
      </w:r>
      <w:r w:rsidRPr="009A539C">
        <w:rPr>
          <w:rStyle w:val="Refdenotaderodap"/>
          <w:rFonts w:ascii="Calibri" w:eastAsia="Calibri" w:hAnsi="Calibri"/>
          <w:sz w:val="18"/>
          <w:szCs w:val="18"/>
        </w:rPr>
        <w:footnoteReference w:id="1"/>
      </w:r>
    </w:p>
    <w:p w14:paraId="0D7D37DA" w14:textId="77777777" w:rsidR="0003622E" w:rsidRPr="009A539C" w:rsidRDefault="0003622E" w:rsidP="00B90788">
      <w:pPr>
        <w:spacing w:after="0"/>
        <w:ind w:left="426" w:right="-1"/>
        <w:rPr>
          <w:sz w:val="20"/>
        </w:rPr>
      </w:pPr>
      <w:r w:rsidRPr="009A539C">
        <w:rPr>
          <w:sz w:val="20"/>
          <w:u w:val="single"/>
        </w:rPr>
        <w:t>Organizações Governamentais</w:t>
      </w:r>
      <w:r w:rsidRPr="009A539C">
        <w:rPr>
          <w:sz w:val="20"/>
        </w:rPr>
        <w:t>:</w:t>
      </w:r>
    </w:p>
    <w:p w14:paraId="17D46AC2" w14:textId="77777777" w:rsidR="0003622E" w:rsidRPr="009A539C" w:rsidRDefault="0003622E" w:rsidP="00A95C56">
      <w:pPr>
        <w:numPr>
          <w:ilvl w:val="0"/>
          <w:numId w:val="5"/>
        </w:numPr>
        <w:tabs>
          <w:tab w:val="left" w:pos="1560"/>
        </w:tabs>
        <w:spacing w:after="0" w:line="240" w:lineRule="auto"/>
        <w:ind w:left="993" w:right="-1" w:hanging="283"/>
        <w:rPr>
          <w:b/>
          <w:sz w:val="18"/>
          <w:szCs w:val="18"/>
        </w:rPr>
      </w:pPr>
      <w:r w:rsidRPr="009A539C">
        <w:rPr>
          <w:sz w:val="20"/>
          <w:szCs w:val="18"/>
        </w:rPr>
        <w:t xml:space="preserve">ACT </w:t>
      </w:r>
      <w:r w:rsidRPr="009A539C">
        <w:rPr>
          <w:sz w:val="20"/>
          <w:szCs w:val="20"/>
        </w:rPr>
        <w:t>-</w:t>
      </w:r>
      <w:r w:rsidRPr="009A539C">
        <w:rPr>
          <w:b/>
          <w:sz w:val="20"/>
          <w:szCs w:val="20"/>
        </w:rPr>
        <w:t xml:space="preserve"> Jorge Manuel M. Pinhal </w:t>
      </w:r>
      <w:r w:rsidR="00F56DC8" w:rsidRPr="009A539C">
        <w:rPr>
          <w:sz w:val="20"/>
          <w:szCs w:val="20"/>
        </w:rPr>
        <w:t>(efetivo)</w:t>
      </w:r>
      <w:r w:rsidRPr="009A539C">
        <w:rPr>
          <w:sz w:val="18"/>
          <w:szCs w:val="18"/>
        </w:rPr>
        <w:t xml:space="preserve">; Maria José Tiago (suplente) </w:t>
      </w:r>
    </w:p>
    <w:p w14:paraId="4B104FAB" w14:textId="77777777" w:rsidR="0003622E" w:rsidRPr="009A539C" w:rsidRDefault="0003622E" w:rsidP="00A95C56">
      <w:pPr>
        <w:numPr>
          <w:ilvl w:val="0"/>
          <w:numId w:val="5"/>
        </w:numPr>
        <w:tabs>
          <w:tab w:val="left" w:pos="1560"/>
        </w:tabs>
        <w:spacing w:after="0" w:line="240" w:lineRule="auto"/>
        <w:ind w:left="993" w:right="-1" w:hanging="283"/>
        <w:rPr>
          <w:b/>
          <w:sz w:val="18"/>
          <w:szCs w:val="18"/>
        </w:rPr>
      </w:pPr>
      <w:r w:rsidRPr="009A539C">
        <w:rPr>
          <w:sz w:val="20"/>
          <w:szCs w:val="20"/>
        </w:rPr>
        <w:t xml:space="preserve">DGERT </w:t>
      </w:r>
      <w:r w:rsidRPr="009A539C">
        <w:rPr>
          <w:bCs/>
          <w:sz w:val="20"/>
          <w:szCs w:val="20"/>
        </w:rPr>
        <w:t xml:space="preserve">- </w:t>
      </w:r>
      <w:r w:rsidRPr="009A539C">
        <w:rPr>
          <w:b/>
          <w:bCs/>
          <w:sz w:val="20"/>
          <w:szCs w:val="20"/>
        </w:rPr>
        <w:t xml:space="preserve">Sandra Ribeiro </w:t>
      </w:r>
      <w:r w:rsidR="00F56DC8" w:rsidRPr="009A539C">
        <w:rPr>
          <w:sz w:val="20"/>
          <w:szCs w:val="20"/>
        </w:rPr>
        <w:t>(efetivo</w:t>
      </w:r>
      <w:r w:rsidR="00F56DC8" w:rsidRPr="009A539C">
        <w:rPr>
          <w:sz w:val="18"/>
          <w:szCs w:val="18"/>
        </w:rPr>
        <w:t>)</w:t>
      </w:r>
      <w:r w:rsidRPr="009A539C">
        <w:rPr>
          <w:sz w:val="18"/>
          <w:szCs w:val="18"/>
        </w:rPr>
        <w:t xml:space="preserve">; </w:t>
      </w:r>
      <w:r w:rsidR="00512356" w:rsidRPr="009A539C">
        <w:rPr>
          <w:sz w:val="18"/>
          <w:szCs w:val="18"/>
        </w:rPr>
        <w:t>Rui Abreu</w:t>
      </w:r>
      <w:r w:rsidRPr="009A539C">
        <w:rPr>
          <w:strike/>
          <w:sz w:val="18"/>
          <w:szCs w:val="18"/>
        </w:rPr>
        <w:t xml:space="preserve"> </w:t>
      </w:r>
      <w:r w:rsidRPr="009A539C">
        <w:rPr>
          <w:sz w:val="18"/>
          <w:szCs w:val="18"/>
        </w:rPr>
        <w:t xml:space="preserve">(suplente) </w:t>
      </w:r>
    </w:p>
    <w:p w14:paraId="4BCD3FFE" w14:textId="77777777" w:rsidR="0003622E" w:rsidRPr="009A539C" w:rsidRDefault="0003622E" w:rsidP="00A95C56">
      <w:pPr>
        <w:numPr>
          <w:ilvl w:val="0"/>
          <w:numId w:val="5"/>
        </w:numPr>
        <w:tabs>
          <w:tab w:val="left" w:pos="1560"/>
        </w:tabs>
        <w:spacing w:after="0" w:line="240" w:lineRule="auto"/>
        <w:ind w:right="-1" w:hanging="295"/>
        <w:rPr>
          <w:b/>
          <w:sz w:val="18"/>
          <w:szCs w:val="18"/>
        </w:rPr>
      </w:pPr>
      <w:r w:rsidRPr="009A539C">
        <w:rPr>
          <w:sz w:val="20"/>
          <w:szCs w:val="20"/>
        </w:rPr>
        <w:t>GEP -</w:t>
      </w:r>
      <w:r w:rsidRPr="009A539C">
        <w:rPr>
          <w:b/>
          <w:sz w:val="20"/>
          <w:szCs w:val="20"/>
        </w:rPr>
        <w:t xml:space="preserve"> Antonieta do Rosário P. S. Ministro</w:t>
      </w:r>
      <w:r w:rsidRPr="009A539C">
        <w:rPr>
          <w:sz w:val="20"/>
          <w:szCs w:val="20"/>
        </w:rPr>
        <w:t xml:space="preserve"> (efetivo)</w:t>
      </w:r>
      <w:r w:rsidRPr="009A539C">
        <w:rPr>
          <w:sz w:val="18"/>
          <w:szCs w:val="18"/>
        </w:rPr>
        <w:t>; Maria Teresa F. Feliciano (suplente)</w:t>
      </w:r>
    </w:p>
    <w:p w14:paraId="1C1CCA31" w14:textId="77777777" w:rsidR="0003622E" w:rsidRPr="009A539C" w:rsidRDefault="0003622E" w:rsidP="00A95C56">
      <w:pPr>
        <w:numPr>
          <w:ilvl w:val="0"/>
          <w:numId w:val="5"/>
        </w:numPr>
        <w:tabs>
          <w:tab w:val="left" w:pos="1560"/>
        </w:tabs>
        <w:spacing w:after="0" w:line="240" w:lineRule="auto"/>
        <w:ind w:right="-1" w:hanging="295"/>
        <w:rPr>
          <w:b/>
          <w:sz w:val="18"/>
          <w:szCs w:val="18"/>
        </w:rPr>
      </w:pPr>
      <w:r w:rsidRPr="009A539C">
        <w:rPr>
          <w:sz w:val="20"/>
          <w:szCs w:val="18"/>
        </w:rPr>
        <w:t xml:space="preserve">IEFP </w:t>
      </w:r>
      <w:r w:rsidRPr="009A539C">
        <w:rPr>
          <w:sz w:val="18"/>
          <w:szCs w:val="18"/>
        </w:rPr>
        <w:t xml:space="preserve">- </w:t>
      </w:r>
      <w:r w:rsidRPr="009A539C">
        <w:rPr>
          <w:b/>
          <w:bCs/>
          <w:sz w:val="20"/>
          <w:szCs w:val="20"/>
        </w:rPr>
        <w:t xml:space="preserve">António Valadas da Silva </w:t>
      </w:r>
      <w:r w:rsidRPr="009A539C">
        <w:rPr>
          <w:bCs/>
          <w:sz w:val="20"/>
          <w:szCs w:val="20"/>
        </w:rPr>
        <w:t>(efetivo);</w:t>
      </w:r>
      <w:r w:rsidRPr="009A539C">
        <w:rPr>
          <w:b/>
          <w:bCs/>
          <w:sz w:val="20"/>
          <w:szCs w:val="20"/>
        </w:rPr>
        <w:t xml:space="preserve"> </w:t>
      </w:r>
      <w:r w:rsidRPr="009A539C">
        <w:rPr>
          <w:sz w:val="18"/>
          <w:szCs w:val="18"/>
        </w:rPr>
        <w:t xml:space="preserve">Catarina Campos (suplente) </w:t>
      </w:r>
    </w:p>
    <w:p w14:paraId="17858841" w14:textId="77777777" w:rsidR="0003622E" w:rsidRPr="009A539C" w:rsidRDefault="0003622E" w:rsidP="00A95C56">
      <w:pPr>
        <w:numPr>
          <w:ilvl w:val="0"/>
          <w:numId w:val="5"/>
        </w:numPr>
        <w:tabs>
          <w:tab w:val="left" w:pos="1560"/>
        </w:tabs>
        <w:spacing w:after="0" w:line="240" w:lineRule="auto"/>
        <w:ind w:right="-1" w:hanging="295"/>
        <w:rPr>
          <w:sz w:val="18"/>
          <w:szCs w:val="18"/>
        </w:rPr>
      </w:pPr>
      <w:r w:rsidRPr="009A539C">
        <w:rPr>
          <w:sz w:val="18"/>
          <w:szCs w:val="18"/>
        </w:rPr>
        <w:t xml:space="preserve"> </w:t>
      </w:r>
    </w:p>
    <w:p w14:paraId="78C8DFE8" w14:textId="77777777" w:rsidR="0003622E" w:rsidRPr="009A539C" w:rsidRDefault="0003622E" w:rsidP="00B90788">
      <w:pPr>
        <w:spacing w:after="0"/>
        <w:ind w:left="426" w:right="-1"/>
        <w:rPr>
          <w:sz w:val="20"/>
        </w:rPr>
      </w:pPr>
      <w:r w:rsidRPr="009A539C">
        <w:rPr>
          <w:sz w:val="20"/>
          <w:u w:val="single"/>
        </w:rPr>
        <w:t>Organizações Sindicais</w:t>
      </w:r>
      <w:r w:rsidRPr="009A539C">
        <w:rPr>
          <w:sz w:val="20"/>
        </w:rPr>
        <w:t>:</w:t>
      </w:r>
    </w:p>
    <w:p w14:paraId="4D42AD42" w14:textId="77777777" w:rsidR="0003622E" w:rsidRPr="009A539C" w:rsidRDefault="0003622E" w:rsidP="00A95C56">
      <w:pPr>
        <w:numPr>
          <w:ilvl w:val="0"/>
          <w:numId w:val="4"/>
        </w:numPr>
        <w:tabs>
          <w:tab w:val="left" w:pos="993"/>
        </w:tabs>
        <w:spacing w:after="0" w:line="240" w:lineRule="auto"/>
        <w:ind w:right="-1"/>
        <w:contextualSpacing/>
        <w:rPr>
          <w:sz w:val="18"/>
          <w:szCs w:val="18"/>
        </w:rPr>
      </w:pPr>
      <w:r w:rsidRPr="009A539C">
        <w:rPr>
          <w:sz w:val="20"/>
          <w:szCs w:val="20"/>
        </w:rPr>
        <w:t>CGTP-IN</w:t>
      </w:r>
      <w:r w:rsidRPr="009A539C">
        <w:rPr>
          <w:b/>
          <w:sz w:val="20"/>
          <w:szCs w:val="20"/>
        </w:rPr>
        <w:t xml:space="preserve"> </w:t>
      </w:r>
      <w:r w:rsidR="00512356" w:rsidRPr="009A539C">
        <w:rPr>
          <w:sz w:val="20"/>
          <w:szCs w:val="20"/>
        </w:rPr>
        <w:t>–</w:t>
      </w:r>
      <w:r w:rsidRPr="009A539C">
        <w:rPr>
          <w:sz w:val="20"/>
          <w:szCs w:val="20"/>
        </w:rPr>
        <w:t xml:space="preserve"> </w:t>
      </w:r>
      <w:r w:rsidR="00512356" w:rsidRPr="009A539C">
        <w:rPr>
          <w:b/>
          <w:bCs/>
          <w:sz w:val="20"/>
          <w:szCs w:val="20"/>
        </w:rPr>
        <w:t>Ana Isabel Lopes Pires</w:t>
      </w:r>
      <w:r w:rsidR="00512356" w:rsidRPr="009A539C">
        <w:rPr>
          <w:b/>
          <w:strike/>
          <w:sz w:val="20"/>
          <w:szCs w:val="20"/>
        </w:rPr>
        <w:t xml:space="preserve"> </w:t>
      </w:r>
      <w:r w:rsidRPr="009A539C">
        <w:rPr>
          <w:strike/>
          <w:sz w:val="20"/>
          <w:szCs w:val="20"/>
        </w:rPr>
        <w:t>(</w:t>
      </w:r>
      <w:r w:rsidRPr="009A539C">
        <w:rPr>
          <w:sz w:val="18"/>
          <w:szCs w:val="18"/>
        </w:rPr>
        <w:t xml:space="preserve">efetivo); </w:t>
      </w:r>
      <w:r w:rsidR="00512356" w:rsidRPr="009A539C">
        <w:rPr>
          <w:sz w:val="18"/>
          <w:szCs w:val="18"/>
        </w:rPr>
        <w:t xml:space="preserve">Fernando José Machado Gomes </w:t>
      </w:r>
      <w:r w:rsidRPr="009A539C">
        <w:rPr>
          <w:sz w:val="18"/>
          <w:szCs w:val="18"/>
        </w:rPr>
        <w:t>(suplente)</w:t>
      </w:r>
    </w:p>
    <w:p w14:paraId="11FD9F10" w14:textId="77777777" w:rsidR="0003622E" w:rsidRPr="009A539C" w:rsidRDefault="0003622E" w:rsidP="00B90788">
      <w:pPr>
        <w:tabs>
          <w:tab w:val="left" w:pos="993"/>
        </w:tabs>
        <w:ind w:left="1560" w:right="-1"/>
        <w:contextualSpacing/>
        <w:rPr>
          <w:sz w:val="18"/>
          <w:szCs w:val="18"/>
        </w:rPr>
      </w:pPr>
      <w:r w:rsidRPr="009A539C">
        <w:rPr>
          <w:b/>
          <w:bCs/>
          <w:sz w:val="20"/>
          <w:szCs w:val="20"/>
        </w:rPr>
        <w:t xml:space="preserve">José </w:t>
      </w:r>
      <w:r w:rsidR="00512356" w:rsidRPr="009A539C">
        <w:rPr>
          <w:b/>
          <w:bCs/>
          <w:sz w:val="20"/>
          <w:szCs w:val="20"/>
        </w:rPr>
        <w:t>Manuel</w:t>
      </w:r>
      <w:r w:rsidRPr="009A539C">
        <w:rPr>
          <w:b/>
          <w:bCs/>
          <w:sz w:val="20"/>
          <w:szCs w:val="20"/>
        </w:rPr>
        <w:t xml:space="preserve"> Oliveira</w:t>
      </w:r>
      <w:r w:rsidRPr="009A539C">
        <w:rPr>
          <w:sz w:val="20"/>
          <w:szCs w:val="20"/>
        </w:rPr>
        <w:t xml:space="preserve"> (efetivo)</w:t>
      </w:r>
      <w:r w:rsidRPr="009A539C">
        <w:rPr>
          <w:sz w:val="18"/>
          <w:szCs w:val="18"/>
        </w:rPr>
        <w:t>; Fernando M. Pires Marques (suplente)</w:t>
      </w:r>
    </w:p>
    <w:p w14:paraId="49CBD35F" w14:textId="77777777" w:rsidR="0003622E" w:rsidRPr="009A539C" w:rsidRDefault="0003622E" w:rsidP="00B90788">
      <w:pPr>
        <w:tabs>
          <w:tab w:val="left" w:pos="993"/>
        </w:tabs>
        <w:ind w:left="709" w:right="-1"/>
        <w:contextualSpacing/>
        <w:rPr>
          <w:sz w:val="18"/>
          <w:szCs w:val="18"/>
        </w:rPr>
      </w:pPr>
      <w:r w:rsidRPr="009A539C">
        <w:rPr>
          <w:rFonts w:ascii="Wingdings" w:hAnsi="Wingdings" w:cs="Wingdings"/>
          <w:sz w:val="18"/>
          <w:szCs w:val="18"/>
        </w:rPr>
        <w:t></w:t>
      </w:r>
      <w:r w:rsidRPr="009A539C">
        <w:rPr>
          <w:rFonts w:ascii="Wingdings" w:hAnsi="Wingdings" w:cs="Wingdings"/>
          <w:sz w:val="18"/>
          <w:szCs w:val="18"/>
        </w:rPr>
        <w:t></w:t>
      </w:r>
      <w:r w:rsidRPr="009A539C">
        <w:rPr>
          <w:rFonts w:ascii="Calibri" w:hAnsi="Calibri" w:cs="Calibri"/>
          <w:sz w:val="20"/>
          <w:szCs w:val="20"/>
        </w:rPr>
        <w:t xml:space="preserve">UGT - Luís </w:t>
      </w:r>
      <w:r w:rsidRPr="009A539C">
        <w:rPr>
          <w:rFonts w:ascii="Calibri" w:hAnsi="Calibri" w:cs="Calibri"/>
          <w:sz w:val="18"/>
          <w:szCs w:val="18"/>
        </w:rPr>
        <w:t xml:space="preserve">F. Oliveira Costa (suplente) </w:t>
      </w:r>
    </w:p>
    <w:p w14:paraId="2B78C3F2" w14:textId="77777777" w:rsidR="0003622E" w:rsidRPr="009A539C" w:rsidRDefault="0003622E" w:rsidP="00B90788">
      <w:pPr>
        <w:tabs>
          <w:tab w:val="left" w:pos="993"/>
        </w:tabs>
        <w:ind w:left="1560" w:right="-1"/>
        <w:contextualSpacing/>
        <w:rPr>
          <w:rFonts w:ascii="Calibri" w:hAnsi="Calibri" w:cs="Calibri"/>
          <w:sz w:val="18"/>
          <w:szCs w:val="18"/>
        </w:rPr>
      </w:pPr>
      <w:r w:rsidRPr="009A539C">
        <w:rPr>
          <w:rFonts w:ascii="Calibri" w:hAnsi="Calibri" w:cs="Calibri"/>
          <w:b/>
          <w:bCs/>
          <w:sz w:val="20"/>
          <w:szCs w:val="20"/>
        </w:rPr>
        <w:t xml:space="preserve">Carlos M. Anjos Alves </w:t>
      </w:r>
      <w:r w:rsidRPr="009A539C">
        <w:rPr>
          <w:rFonts w:ascii="Calibri" w:hAnsi="Calibri" w:cs="Calibri"/>
          <w:sz w:val="20"/>
          <w:szCs w:val="20"/>
        </w:rPr>
        <w:t>(efetivo)</w:t>
      </w:r>
      <w:r w:rsidRPr="009A539C">
        <w:rPr>
          <w:rFonts w:ascii="Calibri" w:hAnsi="Calibri" w:cs="Calibri"/>
          <w:sz w:val="18"/>
          <w:szCs w:val="18"/>
        </w:rPr>
        <w:t xml:space="preserve">; José M. da Luz Cordeiro (suplente) </w:t>
      </w:r>
    </w:p>
    <w:p w14:paraId="5301EBFC" w14:textId="77777777" w:rsidR="0003622E" w:rsidRPr="009A539C" w:rsidRDefault="0003622E" w:rsidP="00B90788">
      <w:pPr>
        <w:spacing w:after="0"/>
        <w:ind w:left="426" w:right="-1"/>
        <w:rPr>
          <w:sz w:val="20"/>
          <w:u w:val="single"/>
        </w:rPr>
      </w:pPr>
      <w:r w:rsidRPr="009A539C">
        <w:rPr>
          <w:sz w:val="20"/>
          <w:u w:val="single"/>
        </w:rPr>
        <w:t>Organizações Empresariais:</w:t>
      </w:r>
    </w:p>
    <w:p w14:paraId="0BC710EB" w14:textId="77777777" w:rsidR="0003622E" w:rsidRPr="009A539C" w:rsidRDefault="0003622E" w:rsidP="00A95C56">
      <w:pPr>
        <w:numPr>
          <w:ilvl w:val="0"/>
          <w:numId w:val="4"/>
        </w:numPr>
        <w:tabs>
          <w:tab w:val="left" w:pos="993"/>
        </w:tabs>
        <w:spacing w:after="0" w:line="240" w:lineRule="auto"/>
        <w:ind w:left="993" w:right="-1" w:hanging="283"/>
        <w:contextualSpacing/>
        <w:rPr>
          <w:sz w:val="18"/>
          <w:szCs w:val="18"/>
        </w:rPr>
      </w:pPr>
      <w:r w:rsidRPr="009A539C">
        <w:rPr>
          <w:sz w:val="20"/>
          <w:szCs w:val="20"/>
        </w:rPr>
        <w:t xml:space="preserve">CAP - </w:t>
      </w:r>
      <w:r w:rsidRPr="009A539C">
        <w:rPr>
          <w:b/>
          <w:sz w:val="20"/>
          <w:szCs w:val="20"/>
        </w:rPr>
        <w:t>Cristina Nagy Morais</w:t>
      </w:r>
      <w:r w:rsidRPr="009A539C">
        <w:rPr>
          <w:sz w:val="20"/>
          <w:szCs w:val="20"/>
        </w:rPr>
        <w:t xml:space="preserve"> (efetivo)</w:t>
      </w:r>
      <w:r w:rsidRPr="009A539C">
        <w:rPr>
          <w:sz w:val="18"/>
          <w:szCs w:val="18"/>
        </w:rPr>
        <w:t xml:space="preserve"> </w:t>
      </w:r>
      <w:r w:rsidRPr="009A539C">
        <w:rPr>
          <w:sz w:val="20"/>
          <w:szCs w:val="20"/>
        </w:rPr>
        <w:t>;</w:t>
      </w:r>
      <w:r w:rsidRPr="009A539C">
        <w:rPr>
          <w:sz w:val="18"/>
          <w:szCs w:val="18"/>
        </w:rPr>
        <w:t xml:space="preserve"> Pedro M. R. da Costa Pereira (suplente)</w:t>
      </w:r>
    </w:p>
    <w:p w14:paraId="6EE0D033" w14:textId="77777777" w:rsidR="0003622E" w:rsidRPr="009A539C" w:rsidRDefault="0003622E" w:rsidP="00A95C56">
      <w:pPr>
        <w:numPr>
          <w:ilvl w:val="0"/>
          <w:numId w:val="4"/>
        </w:numPr>
        <w:tabs>
          <w:tab w:val="left" w:pos="993"/>
        </w:tabs>
        <w:spacing w:after="0" w:line="240" w:lineRule="auto"/>
        <w:ind w:left="993" w:right="-1" w:hanging="283"/>
        <w:contextualSpacing/>
        <w:rPr>
          <w:sz w:val="18"/>
          <w:szCs w:val="18"/>
        </w:rPr>
      </w:pPr>
      <w:r w:rsidRPr="009A539C">
        <w:rPr>
          <w:sz w:val="20"/>
          <w:szCs w:val="20"/>
        </w:rPr>
        <w:t xml:space="preserve">CCP - </w:t>
      </w:r>
      <w:r w:rsidRPr="009A539C">
        <w:rPr>
          <w:b/>
          <w:sz w:val="20"/>
          <w:szCs w:val="20"/>
        </w:rPr>
        <w:t>Ana Cristina Vieira</w:t>
      </w:r>
      <w:r w:rsidR="00F56DC8" w:rsidRPr="009A539C">
        <w:rPr>
          <w:sz w:val="20"/>
          <w:szCs w:val="20"/>
        </w:rPr>
        <w:t xml:space="preserve"> (efetivo)</w:t>
      </w:r>
      <w:r w:rsidRPr="009A539C">
        <w:rPr>
          <w:sz w:val="20"/>
          <w:szCs w:val="20"/>
        </w:rPr>
        <w:t>;</w:t>
      </w:r>
      <w:r w:rsidRPr="009A539C">
        <w:rPr>
          <w:sz w:val="18"/>
          <w:szCs w:val="18"/>
        </w:rPr>
        <w:t xml:space="preserve"> Alberto J. Lança de Sá e Mello (suplente)</w:t>
      </w:r>
    </w:p>
    <w:p w14:paraId="41A023A5" w14:textId="77777777" w:rsidR="0003622E" w:rsidRPr="009A539C" w:rsidRDefault="0003622E" w:rsidP="00A95C56">
      <w:pPr>
        <w:numPr>
          <w:ilvl w:val="0"/>
          <w:numId w:val="4"/>
        </w:numPr>
        <w:tabs>
          <w:tab w:val="left" w:pos="993"/>
        </w:tabs>
        <w:spacing w:after="0" w:line="240" w:lineRule="auto"/>
        <w:ind w:left="993" w:right="-1" w:hanging="283"/>
        <w:contextualSpacing/>
        <w:rPr>
          <w:sz w:val="18"/>
          <w:szCs w:val="18"/>
        </w:rPr>
      </w:pPr>
      <w:r w:rsidRPr="009A539C">
        <w:rPr>
          <w:sz w:val="20"/>
          <w:szCs w:val="20"/>
        </w:rPr>
        <w:t xml:space="preserve">CIP - </w:t>
      </w:r>
      <w:r w:rsidRPr="009A539C">
        <w:rPr>
          <w:b/>
          <w:bCs/>
          <w:sz w:val="20"/>
          <w:szCs w:val="20"/>
        </w:rPr>
        <w:t xml:space="preserve">Nuno M. V. Nobre Biscaya </w:t>
      </w:r>
      <w:r w:rsidRPr="009A539C">
        <w:rPr>
          <w:sz w:val="20"/>
          <w:szCs w:val="20"/>
        </w:rPr>
        <w:t xml:space="preserve">(efetivo); </w:t>
      </w:r>
      <w:r w:rsidRPr="009A539C">
        <w:rPr>
          <w:sz w:val="18"/>
          <w:szCs w:val="18"/>
        </w:rPr>
        <w:t xml:space="preserve">Luís Henrique (suplente) </w:t>
      </w:r>
    </w:p>
    <w:p w14:paraId="3784592B" w14:textId="77777777" w:rsidR="0003622E" w:rsidRPr="009A539C" w:rsidRDefault="0003622E" w:rsidP="00A95C56">
      <w:pPr>
        <w:numPr>
          <w:ilvl w:val="0"/>
          <w:numId w:val="4"/>
        </w:numPr>
        <w:tabs>
          <w:tab w:val="left" w:pos="993"/>
        </w:tabs>
        <w:spacing w:after="0" w:line="240" w:lineRule="auto"/>
        <w:ind w:left="993" w:right="-1" w:hanging="283"/>
        <w:contextualSpacing/>
        <w:jc w:val="both"/>
        <w:rPr>
          <w:b/>
          <w:i/>
          <w:szCs w:val="24"/>
        </w:rPr>
      </w:pPr>
      <w:r w:rsidRPr="009A539C">
        <w:rPr>
          <w:sz w:val="20"/>
          <w:szCs w:val="20"/>
        </w:rPr>
        <w:t xml:space="preserve">CTP - </w:t>
      </w:r>
      <w:r w:rsidRPr="009A539C">
        <w:rPr>
          <w:b/>
          <w:sz w:val="20"/>
          <w:szCs w:val="20"/>
        </w:rPr>
        <w:t>Nuno da Silva Bernardo</w:t>
      </w:r>
      <w:r w:rsidRPr="009A539C">
        <w:rPr>
          <w:sz w:val="20"/>
          <w:szCs w:val="20"/>
        </w:rPr>
        <w:t xml:space="preserve"> (efetivo);</w:t>
      </w:r>
      <w:r w:rsidRPr="009A539C">
        <w:rPr>
          <w:sz w:val="18"/>
          <w:szCs w:val="18"/>
        </w:rPr>
        <w:t xml:space="preserve"> António A. da Cunha Abrantes (suplente)</w:t>
      </w:r>
    </w:p>
    <w:p w14:paraId="6B5D937F" w14:textId="77777777" w:rsidR="0003622E" w:rsidRPr="009A539C" w:rsidRDefault="0003622E" w:rsidP="00B90788">
      <w:pPr>
        <w:tabs>
          <w:tab w:val="left" w:pos="993"/>
        </w:tabs>
        <w:ind w:left="710" w:right="-1"/>
        <w:contextualSpacing/>
        <w:jc w:val="both"/>
        <w:rPr>
          <w:sz w:val="18"/>
          <w:szCs w:val="18"/>
        </w:rPr>
      </w:pPr>
    </w:p>
    <w:p w14:paraId="42431883" w14:textId="77777777" w:rsidR="0003622E" w:rsidRPr="009A539C" w:rsidRDefault="0003622E" w:rsidP="00AF21FB">
      <w:pPr>
        <w:tabs>
          <w:tab w:val="left" w:pos="993"/>
        </w:tabs>
        <w:ind w:right="-1"/>
        <w:contextualSpacing/>
        <w:jc w:val="both"/>
        <w:rPr>
          <w:b/>
          <w:i/>
          <w:szCs w:val="24"/>
        </w:rPr>
      </w:pPr>
    </w:p>
    <w:p w14:paraId="23103AC6" w14:textId="77777777" w:rsidR="00361AA2" w:rsidRPr="009A539C" w:rsidRDefault="00361AA2" w:rsidP="00B90788">
      <w:pPr>
        <w:tabs>
          <w:tab w:val="left" w:pos="7513"/>
        </w:tabs>
        <w:ind w:left="1985" w:right="-1" w:hanging="1985"/>
        <w:jc w:val="both"/>
        <w:rPr>
          <w:b/>
          <w:color w:val="4F81BD" w:themeColor="accent1"/>
        </w:rPr>
      </w:pPr>
      <w:r w:rsidRPr="009A539C">
        <w:rPr>
          <w:b/>
          <w:color w:val="4F81BD" w:themeColor="accent1"/>
        </w:rPr>
        <w:t xml:space="preserve">AUTORES DO RELATÓRIO </w:t>
      </w:r>
    </w:p>
    <w:p w14:paraId="40AB87F6" w14:textId="77777777" w:rsidR="00361AA2" w:rsidRPr="009A539C" w:rsidRDefault="00361AA2" w:rsidP="00A95C56">
      <w:pPr>
        <w:numPr>
          <w:ilvl w:val="0"/>
          <w:numId w:val="4"/>
        </w:numPr>
        <w:ind w:left="567" w:right="-1" w:hanging="283"/>
        <w:contextualSpacing/>
        <w:rPr>
          <w:sz w:val="20"/>
        </w:rPr>
      </w:pPr>
      <w:r w:rsidRPr="009A539C">
        <w:rPr>
          <w:b/>
          <w:sz w:val="20"/>
        </w:rPr>
        <w:t>Pedro Madeira de Brito</w:t>
      </w:r>
      <w:r w:rsidRPr="009A539C">
        <w:rPr>
          <w:sz w:val="20"/>
        </w:rPr>
        <w:t xml:space="preserve"> (Coordenação Científica – Faculdade de Direito - Universidade de Lisboa)</w:t>
      </w:r>
    </w:p>
    <w:p w14:paraId="0F8BAD87" w14:textId="77777777" w:rsidR="00361AA2" w:rsidRPr="009A539C" w:rsidRDefault="00361AA2" w:rsidP="00A95C56">
      <w:pPr>
        <w:numPr>
          <w:ilvl w:val="0"/>
          <w:numId w:val="4"/>
        </w:numPr>
        <w:ind w:left="567" w:right="-1" w:hanging="283"/>
        <w:contextualSpacing/>
        <w:rPr>
          <w:b/>
          <w:sz w:val="20"/>
        </w:rPr>
      </w:pPr>
      <w:r w:rsidRPr="009A539C">
        <w:rPr>
          <w:b/>
          <w:sz w:val="20"/>
        </w:rPr>
        <w:t xml:space="preserve">Paula Agapito </w:t>
      </w:r>
      <w:r w:rsidRPr="009A539C">
        <w:rPr>
          <w:sz w:val="20"/>
        </w:rPr>
        <w:t>(Coordenadora Executiva do CRL)</w:t>
      </w:r>
    </w:p>
    <w:p w14:paraId="7C8CE09E" w14:textId="77777777" w:rsidR="00361AA2" w:rsidRPr="009A539C" w:rsidRDefault="00361AA2" w:rsidP="00B90788">
      <w:pPr>
        <w:ind w:left="567" w:right="-1"/>
        <w:contextualSpacing/>
        <w:rPr>
          <w:sz w:val="20"/>
        </w:rPr>
      </w:pPr>
      <w:r w:rsidRPr="009A539C">
        <w:rPr>
          <w:b/>
          <w:sz w:val="20"/>
          <w:szCs w:val="20"/>
        </w:rPr>
        <w:t xml:space="preserve"> </w:t>
      </w:r>
    </w:p>
    <w:p w14:paraId="4391FFAA" w14:textId="77777777" w:rsidR="00361AA2" w:rsidRPr="009A539C" w:rsidRDefault="00361AA2" w:rsidP="00A95C56">
      <w:pPr>
        <w:numPr>
          <w:ilvl w:val="0"/>
          <w:numId w:val="7"/>
        </w:numPr>
        <w:tabs>
          <w:tab w:val="left" w:pos="7513"/>
        </w:tabs>
        <w:spacing w:before="120" w:after="0"/>
        <w:ind w:left="426" w:right="-1" w:hanging="142"/>
        <w:jc w:val="both"/>
        <w:rPr>
          <w:b/>
          <w:i/>
          <w:color w:val="4F81BD" w:themeColor="accent1"/>
          <w:sz w:val="20"/>
          <w:szCs w:val="20"/>
        </w:rPr>
      </w:pPr>
      <w:r w:rsidRPr="009A539C">
        <w:rPr>
          <w:b/>
          <w:i/>
          <w:color w:val="4F81BD" w:themeColor="accent1"/>
          <w:sz w:val="20"/>
          <w:szCs w:val="20"/>
        </w:rPr>
        <w:t xml:space="preserve"> Colaboração técnica: </w:t>
      </w:r>
    </w:p>
    <w:p w14:paraId="5309F6BF" w14:textId="77777777" w:rsidR="00361AA2" w:rsidRPr="009A539C" w:rsidRDefault="00361AA2" w:rsidP="00A95C56">
      <w:pPr>
        <w:numPr>
          <w:ilvl w:val="0"/>
          <w:numId w:val="4"/>
        </w:numPr>
        <w:ind w:left="993" w:right="-1" w:hanging="284"/>
        <w:contextualSpacing/>
        <w:rPr>
          <w:sz w:val="20"/>
          <w:szCs w:val="20"/>
        </w:rPr>
      </w:pPr>
      <w:r w:rsidRPr="009A539C">
        <w:rPr>
          <w:sz w:val="20"/>
          <w:szCs w:val="20"/>
        </w:rPr>
        <w:t xml:space="preserve">Alexandra Moreira </w:t>
      </w:r>
      <w:r w:rsidRPr="009A539C">
        <w:rPr>
          <w:i/>
          <w:sz w:val="20"/>
          <w:szCs w:val="20"/>
        </w:rPr>
        <w:t>(equipa do CRL)</w:t>
      </w:r>
    </w:p>
    <w:p w14:paraId="3969F3C9" w14:textId="6501BDE4" w:rsidR="00F3321E" w:rsidRPr="009A539C" w:rsidRDefault="00361AA2" w:rsidP="00A95C56">
      <w:pPr>
        <w:numPr>
          <w:ilvl w:val="0"/>
          <w:numId w:val="4"/>
        </w:numPr>
        <w:ind w:left="993" w:right="-1" w:hanging="284"/>
        <w:contextualSpacing/>
        <w:rPr>
          <w:sz w:val="20"/>
          <w:szCs w:val="20"/>
        </w:rPr>
      </w:pPr>
      <w:r w:rsidRPr="009A539C">
        <w:rPr>
          <w:sz w:val="20"/>
          <w:szCs w:val="20"/>
        </w:rPr>
        <w:t xml:space="preserve">Manuel Alves </w:t>
      </w:r>
      <w:r w:rsidRPr="009A539C">
        <w:rPr>
          <w:i/>
          <w:sz w:val="20"/>
          <w:szCs w:val="20"/>
        </w:rPr>
        <w:t>(equipa do CRL)</w:t>
      </w:r>
    </w:p>
    <w:p w14:paraId="0EDEC07A" w14:textId="406118C2" w:rsidR="009471BD" w:rsidRPr="009A539C" w:rsidRDefault="009471BD" w:rsidP="00A95C56">
      <w:pPr>
        <w:numPr>
          <w:ilvl w:val="0"/>
          <w:numId w:val="4"/>
        </w:numPr>
        <w:ind w:left="993" w:right="-1" w:hanging="284"/>
        <w:contextualSpacing/>
        <w:rPr>
          <w:sz w:val="20"/>
          <w:szCs w:val="20"/>
        </w:rPr>
      </w:pPr>
      <w:r w:rsidRPr="009A539C">
        <w:rPr>
          <w:sz w:val="20"/>
          <w:szCs w:val="20"/>
        </w:rPr>
        <w:t xml:space="preserve">Paulo Oliveira </w:t>
      </w:r>
      <w:r w:rsidRPr="009A539C">
        <w:rPr>
          <w:i/>
          <w:sz w:val="20"/>
          <w:szCs w:val="20"/>
        </w:rPr>
        <w:t>(equipa do CRL)</w:t>
      </w:r>
    </w:p>
    <w:p w14:paraId="67FFAE21" w14:textId="77777777" w:rsidR="009471BD" w:rsidRPr="009A539C" w:rsidRDefault="009471BD" w:rsidP="009471BD">
      <w:pPr>
        <w:ind w:left="993" w:right="-1"/>
        <w:contextualSpacing/>
        <w:rPr>
          <w:sz w:val="20"/>
          <w:szCs w:val="20"/>
        </w:rPr>
      </w:pPr>
    </w:p>
    <w:p w14:paraId="30BA34FF" w14:textId="77777777" w:rsidR="00F3321E" w:rsidRPr="009A539C" w:rsidRDefault="00F3321E" w:rsidP="00A95C56">
      <w:pPr>
        <w:numPr>
          <w:ilvl w:val="0"/>
          <w:numId w:val="7"/>
        </w:numPr>
        <w:tabs>
          <w:tab w:val="left" w:pos="7513"/>
        </w:tabs>
        <w:spacing w:before="120" w:after="0"/>
        <w:ind w:left="426" w:right="-1" w:hanging="142"/>
        <w:jc w:val="both"/>
        <w:rPr>
          <w:b/>
          <w:i/>
          <w:color w:val="4F81BD" w:themeColor="accent1"/>
          <w:sz w:val="20"/>
          <w:szCs w:val="20"/>
        </w:rPr>
      </w:pPr>
      <w:r w:rsidRPr="009A539C">
        <w:rPr>
          <w:b/>
          <w:i/>
          <w:color w:val="4F81BD" w:themeColor="accent1"/>
          <w:sz w:val="20"/>
          <w:szCs w:val="20"/>
        </w:rPr>
        <w:t xml:space="preserve"> Secretariado</w:t>
      </w:r>
    </w:p>
    <w:p w14:paraId="728FDF58" w14:textId="77777777" w:rsidR="00F3321E" w:rsidRPr="009A539C" w:rsidRDefault="00F3321E" w:rsidP="00A95C56">
      <w:pPr>
        <w:numPr>
          <w:ilvl w:val="0"/>
          <w:numId w:val="4"/>
        </w:numPr>
        <w:ind w:left="993" w:right="-1" w:hanging="284"/>
        <w:contextualSpacing/>
        <w:rPr>
          <w:sz w:val="20"/>
          <w:szCs w:val="20"/>
        </w:rPr>
      </w:pPr>
      <w:r w:rsidRPr="009A539C">
        <w:rPr>
          <w:sz w:val="20"/>
          <w:szCs w:val="20"/>
        </w:rPr>
        <w:t>Rosa Luis (equipa do CRL)</w:t>
      </w:r>
    </w:p>
    <w:p w14:paraId="14782277" w14:textId="77777777" w:rsidR="0003622E" w:rsidRPr="009A539C" w:rsidRDefault="0003622E" w:rsidP="00B90788">
      <w:pPr>
        <w:tabs>
          <w:tab w:val="left" w:pos="7513"/>
        </w:tabs>
        <w:spacing w:after="0"/>
        <w:ind w:left="1985" w:right="-1" w:hanging="1985"/>
        <w:jc w:val="both"/>
        <w:rPr>
          <w:b/>
          <w:color w:val="4F81BD" w:themeColor="accent1"/>
          <w:sz w:val="20"/>
          <w:szCs w:val="20"/>
        </w:rPr>
      </w:pPr>
    </w:p>
    <w:p w14:paraId="5FCEED7F" w14:textId="77777777" w:rsidR="00352391" w:rsidRPr="009A539C" w:rsidRDefault="00352391" w:rsidP="00B90788">
      <w:pPr>
        <w:tabs>
          <w:tab w:val="left" w:pos="7513"/>
        </w:tabs>
        <w:spacing w:after="0"/>
        <w:ind w:right="-1"/>
        <w:jc w:val="both"/>
        <w:rPr>
          <w:b/>
          <w:color w:val="4F81BD" w:themeColor="accent1"/>
          <w:sz w:val="20"/>
          <w:szCs w:val="20"/>
        </w:rPr>
      </w:pPr>
    </w:p>
    <w:p w14:paraId="2079F8CE" w14:textId="77777777" w:rsidR="0003622E" w:rsidRPr="009A539C" w:rsidRDefault="0003622E" w:rsidP="00B90788">
      <w:pPr>
        <w:tabs>
          <w:tab w:val="left" w:pos="7513"/>
        </w:tabs>
        <w:spacing w:after="0"/>
        <w:ind w:left="1985" w:right="-1" w:hanging="1985"/>
        <w:jc w:val="both"/>
        <w:rPr>
          <w:b/>
          <w:color w:val="4F81BD" w:themeColor="accent1"/>
        </w:rPr>
      </w:pPr>
      <w:r w:rsidRPr="009A539C">
        <w:rPr>
          <w:b/>
          <w:color w:val="4F81BD" w:themeColor="accent1"/>
        </w:rPr>
        <w:t xml:space="preserve">COMISSÃO CIENTÍFICA </w:t>
      </w:r>
    </w:p>
    <w:p w14:paraId="024ABE3F" w14:textId="77777777" w:rsidR="0003622E" w:rsidRPr="009A539C" w:rsidRDefault="0003622E" w:rsidP="00A95C56">
      <w:pPr>
        <w:numPr>
          <w:ilvl w:val="0"/>
          <w:numId w:val="7"/>
        </w:numPr>
        <w:tabs>
          <w:tab w:val="left" w:pos="7513"/>
        </w:tabs>
        <w:spacing w:after="0" w:line="240" w:lineRule="auto"/>
        <w:ind w:left="426" w:right="-1" w:hanging="142"/>
        <w:jc w:val="both"/>
        <w:rPr>
          <w:b/>
          <w:i/>
          <w:color w:val="4F81BD" w:themeColor="accent1"/>
          <w:sz w:val="20"/>
          <w:szCs w:val="24"/>
        </w:rPr>
      </w:pPr>
      <w:r w:rsidRPr="009A539C">
        <w:rPr>
          <w:b/>
          <w:i/>
          <w:color w:val="4F81BD" w:themeColor="accent1"/>
          <w:sz w:val="20"/>
          <w:szCs w:val="24"/>
        </w:rPr>
        <w:t xml:space="preserve"> Composição: </w:t>
      </w:r>
    </w:p>
    <w:p w14:paraId="08712E56" w14:textId="77777777" w:rsidR="0003622E" w:rsidRPr="009A539C" w:rsidRDefault="0003622E" w:rsidP="00A95C56">
      <w:pPr>
        <w:numPr>
          <w:ilvl w:val="0"/>
          <w:numId w:val="6"/>
        </w:numPr>
        <w:tabs>
          <w:tab w:val="left" w:pos="7513"/>
        </w:tabs>
        <w:spacing w:after="0" w:line="240" w:lineRule="auto"/>
        <w:ind w:right="-1" w:hanging="294"/>
        <w:jc w:val="both"/>
        <w:rPr>
          <w:sz w:val="20"/>
          <w:szCs w:val="20"/>
        </w:rPr>
      </w:pPr>
      <w:r w:rsidRPr="009A539C">
        <w:rPr>
          <w:b/>
          <w:sz w:val="20"/>
          <w:szCs w:val="20"/>
        </w:rPr>
        <w:t>António Monteiro Fernandes</w:t>
      </w:r>
      <w:r w:rsidRPr="009A539C">
        <w:rPr>
          <w:sz w:val="20"/>
          <w:szCs w:val="20"/>
        </w:rPr>
        <w:t xml:space="preserve"> (ISCTE-IUL)   </w:t>
      </w:r>
    </w:p>
    <w:p w14:paraId="790B5C9A" w14:textId="77777777" w:rsidR="0003622E" w:rsidRPr="009A539C" w:rsidRDefault="0003622E" w:rsidP="00A95C56">
      <w:pPr>
        <w:numPr>
          <w:ilvl w:val="0"/>
          <w:numId w:val="6"/>
        </w:numPr>
        <w:tabs>
          <w:tab w:val="left" w:pos="7513"/>
        </w:tabs>
        <w:spacing w:after="0" w:line="240" w:lineRule="auto"/>
        <w:ind w:left="709" w:right="-1" w:hanging="284"/>
        <w:jc w:val="both"/>
        <w:rPr>
          <w:sz w:val="20"/>
          <w:szCs w:val="20"/>
        </w:rPr>
      </w:pPr>
      <w:r w:rsidRPr="009A539C">
        <w:rPr>
          <w:b/>
          <w:sz w:val="20"/>
          <w:szCs w:val="20"/>
        </w:rPr>
        <w:t>Daniel Bessa</w:t>
      </w:r>
      <w:r w:rsidRPr="009A539C">
        <w:rPr>
          <w:sz w:val="20"/>
          <w:szCs w:val="20"/>
        </w:rPr>
        <w:t xml:space="preserve"> (Faculdade de Economia da Universidade do Porto) </w:t>
      </w:r>
    </w:p>
    <w:p w14:paraId="43EC7C18" w14:textId="77777777" w:rsidR="0003622E" w:rsidRPr="009A539C" w:rsidRDefault="0003622E" w:rsidP="00A95C56">
      <w:pPr>
        <w:numPr>
          <w:ilvl w:val="0"/>
          <w:numId w:val="6"/>
        </w:numPr>
        <w:tabs>
          <w:tab w:val="left" w:pos="7513"/>
        </w:tabs>
        <w:spacing w:after="0" w:line="240" w:lineRule="auto"/>
        <w:ind w:left="709" w:right="-1" w:hanging="284"/>
        <w:jc w:val="both"/>
        <w:rPr>
          <w:sz w:val="20"/>
          <w:szCs w:val="20"/>
        </w:rPr>
      </w:pPr>
      <w:r w:rsidRPr="009A539C">
        <w:rPr>
          <w:b/>
          <w:sz w:val="20"/>
          <w:szCs w:val="20"/>
        </w:rPr>
        <w:t>José João Abrantes</w:t>
      </w:r>
      <w:r w:rsidRPr="009A539C">
        <w:rPr>
          <w:sz w:val="20"/>
          <w:szCs w:val="20"/>
        </w:rPr>
        <w:t xml:space="preserve"> (Faculdade de Direito da Universidade Nova de Lisboa)  </w:t>
      </w:r>
    </w:p>
    <w:p w14:paraId="62616E85" w14:textId="77777777" w:rsidR="0003622E" w:rsidRPr="009A539C" w:rsidRDefault="0003622E" w:rsidP="00A95C56">
      <w:pPr>
        <w:numPr>
          <w:ilvl w:val="0"/>
          <w:numId w:val="6"/>
        </w:numPr>
        <w:tabs>
          <w:tab w:val="left" w:pos="7513"/>
        </w:tabs>
        <w:spacing w:after="0" w:line="240" w:lineRule="auto"/>
        <w:ind w:left="709" w:right="-1" w:hanging="284"/>
        <w:jc w:val="both"/>
        <w:rPr>
          <w:sz w:val="20"/>
          <w:szCs w:val="20"/>
        </w:rPr>
      </w:pPr>
      <w:r w:rsidRPr="009A539C">
        <w:rPr>
          <w:b/>
          <w:sz w:val="20"/>
          <w:szCs w:val="20"/>
        </w:rPr>
        <w:t>Luís Gonçalves da Silva</w:t>
      </w:r>
      <w:r w:rsidRPr="009A539C">
        <w:rPr>
          <w:sz w:val="20"/>
          <w:szCs w:val="20"/>
        </w:rPr>
        <w:t xml:space="preserve"> (Faculdade de Direito da Universidade de Lisboa)       </w:t>
      </w:r>
    </w:p>
    <w:p w14:paraId="4ED9E14C" w14:textId="77777777" w:rsidR="0003622E" w:rsidRPr="009A539C" w:rsidRDefault="0003622E" w:rsidP="00A95C56">
      <w:pPr>
        <w:numPr>
          <w:ilvl w:val="0"/>
          <w:numId w:val="6"/>
        </w:numPr>
        <w:tabs>
          <w:tab w:val="left" w:pos="7513"/>
        </w:tabs>
        <w:spacing w:after="0" w:line="240" w:lineRule="auto"/>
        <w:ind w:left="709" w:right="-1" w:hanging="284"/>
        <w:jc w:val="both"/>
        <w:rPr>
          <w:sz w:val="20"/>
          <w:szCs w:val="20"/>
        </w:rPr>
      </w:pPr>
      <w:r w:rsidRPr="009A539C">
        <w:rPr>
          <w:b/>
          <w:sz w:val="20"/>
          <w:szCs w:val="20"/>
        </w:rPr>
        <w:t>Maria do Rosário Palma Ramalho</w:t>
      </w:r>
      <w:r w:rsidRPr="009A539C">
        <w:rPr>
          <w:sz w:val="20"/>
          <w:szCs w:val="20"/>
        </w:rPr>
        <w:t xml:space="preserve"> (Faculdade de Direito da Universidade de Lisboa)</w:t>
      </w:r>
      <w:r w:rsidRPr="009A539C">
        <w:t xml:space="preserve">       </w:t>
      </w:r>
    </w:p>
    <w:p w14:paraId="17A4F98D" w14:textId="77777777" w:rsidR="008C777F" w:rsidRPr="009A539C" w:rsidRDefault="008C777F" w:rsidP="00B90788">
      <w:pPr>
        <w:spacing w:line="360" w:lineRule="auto"/>
        <w:ind w:right="-1"/>
        <w:rPr>
          <w:rFonts w:ascii="Bookman Old Style" w:hAnsi="Bookman Old Style"/>
        </w:rPr>
      </w:pPr>
    </w:p>
    <w:p w14:paraId="2F066101" w14:textId="77777777" w:rsidR="000A0A9D" w:rsidRPr="009A539C" w:rsidRDefault="000A0A9D" w:rsidP="00B90788">
      <w:pPr>
        <w:ind w:right="-1"/>
        <w:rPr>
          <w:rFonts w:ascii="Calibri" w:hAnsi="Calibri" w:cs="Calibri"/>
          <w:b/>
        </w:rPr>
      </w:pPr>
      <w:r w:rsidRPr="009A539C">
        <w:rPr>
          <w:rFonts w:ascii="Calibri" w:hAnsi="Calibri" w:cs="Calibri"/>
          <w:b/>
        </w:rPr>
        <w:br w:type="page"/>
      </w:r>
    </w:p>
    <w:sdt>
      <w:sdtPr>
        <w:rPr>
          <w:rFonts w:asciiTheme="minorHAnsi" w:eastAsiaTheme="minorHAnsi" w:hAnsiTheme="minorHAnsi" w:cstheme="minorBidi"/>
          <w:b w:val="0"/>
          <w:bCs w:val="0"/>
          <w:color w:val="auto"/>
          <w:sz w:val="22"/>
          <w:szCs w:val="22"/>
          <w:lang w:eastAsia="en-US"/>
        </w:rPr>
        <w:id w:val="-635793388"/>
        <w:docPartObj>
          <w:docPartGallery w:val="Table of Contents"/>
          <w:docPartUnique/>
        </w:docPartObj>
      </w:sdtPr>
      <w:sdtEndPr/>
      <w:sdtContent>
        <w:p w14:paraId="22C4217B" w14:textId="77777777" w:rsidR="000A0A9D" w:rsidRPr="009A539C" w:rsidRDefault="000A0A9D" w:rsidP="00B90788">
          <w:pPr>
            <w:pStyle w:val="Ttulodondice"/>
            <w:ind w:right="-1"/>
            <w:rPr>
              <w:rFonts w:asciiTheme="minorHAnsi" w:hAnsiTheme="minorHAnsi" w:cstheme="minorHAnsi"/>
            </w:rPr>
          </w:pPr>
          <w:r w:rsidRPr="009A539C">
            <w:rPr>
              <w:rFonts w:asciiTheme="minorHAnsi" w:hAnsiTheme="minorHAnsi" w:cstheme="minorHAnsi"/>
            </w:rPr>
            <w:t>Índice</w:t>
          </w:r>
        </w:p>
        <w:p w14:paraId="1C4AC39D" w14:textId="77777777" w:rsidR="006C3B72" w:rsidRPr="009A539C" w:rsidRDefault="00FE4D53">
          <w:pPr>
            <w:pStyle w:val="ndice1"/>
            <w:rPr>
              <w:rFonts w:eastAsiaTheme="minorEastAsia"/>
              <w:noProof/>
              <w:lang w:eastAsia="pt-PT"/>
            </w:rPr>
          </w:pPr>
          <w:r w:rsidRPr="009A539C">
            <w:rPr>
              <w:rFonts w:cstheme="minorHAnsi"/>
              <w:sz w:val="20"/>
              <w:szCs w:val="20"/>
            </w:rPr>
            <w:fldChar w:fldCharType="begin"/>
          </w:r>
          <w:r w:rsidRPr="009A539C">
            <w:rPr>
              <w:rFonts w:cstheme="minorHAnsi"/>
              <w:sz w:val="20"/>
              <w:szCs w:val="20"/>
            </w:rPr>
            <w:instrText xml:space="preserve"> TOC \o "1-5" \h \z \u </w:instrText>
          </w:r>
          <w:r w:rsidRPr="009A539C">
            <w:rPr>
              <w:rFonts w:cstheme="minorHAnsi"/>
              <w:sz w:val="20"/>
              <w:szCs w:val="20"/>
            </w:rPr>
            <w:fldChar w:fldCharType="separate"/>
          </w:r>
          <w:hyperlink w:anchor="_Toc45535676" w:history="1">
            <w:r w:rsidR="006C3B72" w:rsidRPr="009A539C">
              <w:rPr>
                <w:rStyle w:val="Hiperligao"/>
                <w:rFonts w:ascii="Calibri" w:hAnsi="Calibri" w:cs="Calibri"/>
                <w:noProof/>
              </w:rPr>
              <w:t>INTRODUÇÃO</w:t>
            </w:r>
            <w:r w:rsidR="006C3B72" w:rsidRPr="009A539C">
              <w:rPr>
                <w:noProof/>
                <w:webHidden/>
              </w:rPr>
              <w:tab/>
            </w:r>
            <w:r w:rsidR="006C3B72" w:rsidRPr="009A539C">
              <w:rPr>
                <w:noProof/>
                <w:webHidden/>
              </w:rPr>
              <w:fldChar w:fldCharType="begin"/>
            </w:r>
            <w:r w:rsidR="006C3B72" w:rsidRPr="009A539C">
              <w:rPr>
                <w:noProof/>
                <w:webHidden/>
              </w:rPr>
              <w:instrText xml:space="preserve"> PAGEREF _Toc45535676 \h </w:instrText>
            </w:r>
            <w:r w:rsidR="006C3B72" w:rsidRPr="009A539C">
              <w:rPr>
                <w:noProof/>
                <w:webHidden/>
              </w:rPr>
            </w:r>
            <w:r w:rsidR="006C3B72" w:rsidRPr="009A539C">
              <w:rPr>
                <w:noProof/>
                <w:webHidden/>
              </w:rPr>
              <w:fldChar w:fldCharType="separate"/>
            </w:r>
            <w:r w:rsidR="00D821DE">
              <w:rPr>
                <w:noProof/>
                <w:webHidden/>
              </w:rPr>
              <w:t>14</w:t>
            </w:r>
            <w:r w:rsidR="006C3B72" w:rsidRPr="009A539C">
              <w:rPr>
                <w:noProof/>
                <w:webHidden/>
              </w:rPr>
              <w:fldChar w:fldCharType="end"/>
            </w:r>
          </w:hyperlink>
        </w:p>
        <w:p w14:paraId="7B3F2E94" w14:textId="77777777" w:rsidR="006C3B72" w:rsidRPr="009A539C" w:rsidRDefault="00E742C1">
          <w:pPr>
            <w:pStyle w:val="ndice1"/>
            <w:rPr>
              <w:rFonts w:eastAsiaTheme="minorEastAsia"/>
              <w:noProof/>
              <w:lang w:eastAsia="pt-PT"/>
            </w:rPr>
          </w:pPr>
          <w:hyperlink w:anchor="_Toc45535677" w:history="1">
            <w:r w:rsidR="006C3B72" w:rsidRPr="009A539C">
              <w:rPr>
                <w:rStyle w:val="Hiperligao"/>
                <w:rFonts w:ascii="Calibri" w:hAnsi="Calibri" w:cs="Calibri"/>
                <w:noProof/>
              </w:rPr>
              <w:t>SUMÁRIO EXECUTIVO</w:t>
            </w:r>
            <w:r w:rsidR="006C3B72" w:rsidRPr="009A539C">
              <w:rPr>
                <w:noProof/>
                <w:webHidden/>
              </w:rPr>
              <w:tab/>
            </w:r>
            <w:r w:rsidR="006C3B72" w:rsidRPr="009A539C">
              <w:rPr>
                <w:noProof/>
                <w:webHidden/>
              </w:rPr>
              <w:fldChar w:fldCharType="begin"/>
            </w:r>
            <w:r w:rsidR="006C3B72" w:rsidRPr="009A539C">
              <w:rPr>
                <w:noProof/>
                <w:webHidden/>
              </w:rPr>
              <w:instrText xml:space="preserve"> PAGEREF _Toc45535677 \h </w:instrText>
            </w:r>
            <w:r w:rsidR="006C3B72" w:rsidRPr="009A539C">
              <w:rPr>
                <w:noProof/>
                <w:webHidden/>
              </w:rPr>
            </w:r>
            <w:r w:rsidR="006C3B72" w:rsidRPr="009A539C">
              <w:rPr>
                <w:noProof/>
                <w:webHidden/>
              </w:rPr>
              <w:fldChar w:fldCharType="separate"/>
            </w:r>
            <w:r w:rsidR="00D821DE">
              <w:rPr>
                <w:noProof/>
                <w:webHidden/>
              </w:rPr>
              <w:t>17</w:t>
            </w:r>
            <w:r w:rsidR="006C3B72" w:rsidRPr="009A539C">
              <w:rPr>
                <w:noProof/>
                <w:webHidden/>
              </w:rPr>
              <w:fldChar w:fldCharType="end"/>
            </w:r>
          </w:hyperlink>
        </w:p>
        <w:p w14:paraId="41EAEE15" w14:textId="77777777" w:rsidR="006C3B72" w:rsidRPr="009A539C" w:rsidRDefault="00E742C1">
          <w:pPr>
            <w:pStyle w:val="ndice1"/>
            <w:rPr>
              <w:rFonts w:eastAsiaTheme="minorEastAsia"/>
              <w:noProof/>
              <w:lang w:eastAsia="pt-PT"/>
            </w:rPr>
          </w:pPr>
          <w:hyperlink w:anchor="_Toc45535678" w:history="1">
            <w:r w:rsidR="006C3B72" w:rsidRPr="009A539C">
              <w:rPr>
                <w:rStyle w:val="Hiperligao"/>
                <w:rFonts w:ascii="Calibri" w:hAnsi="Calibri" w:cs="Calibri"/>
                <w:b/>
                <w:noProof/>
              </w:rPr>
              <w:t>I.</w:t>
            </w:r>
            <w:r w:rsidR="006C3B72" w:rsidRPr="009A539C">
              <w:rPr>
                <w:rFonts w:eastAsiaTheme="minorEastAsia"/>
                <w:noProof/>
                <w:lang w:eastAsia="pt-PT"/>
              </w:rPr>
              <w:tab/>
            </w:r>
            <w:r w:rsidR="006C3B72" w:rsidRPr="009A539C">
              <w:rPr>
                <w:rStyle w:val="Hiperligao"/>
                <w:rFonts w:ascii="Calibri" w:hAnsi="Calibri" w:cs="Calibri"/>
                <w:b/>
                <w:noProof/>
              </w:rPr>
              <w:t>Nota prévia</w:t>
            </w:r>
            <w:r w:rsidR="006C3B72" w:rsidRPr="009A539C">
              <w:rPr>
                <w:noProof/>
                <w:webHidden/>
              </w:rPr>
              <w:tab/>
            </w:r>
            <w:r w:rsidR="006C3B72" w:rsidRPr="009A539C">
              <w:rPr>
                <w:noProof/>
                <w:webHidden/>
              </w:rPr>
              <w:fldChar w:fldCharType="begin"/>
            </w:r>
            <w:r w:rsidR="006C3B72" w:rsidRPr="009A539C">
              <w:rPr>
                <w:noProof/>
                <w:webHidden/>
              </w:rPr>
              <w:instrText xml:space="preserve"> PAGEREF _Toc45535678 \h </w:instrText>
            </w:r>
            <w:r w:rsidR="006C3B72" w:rsidRPr="009A539C">
              <w:rPr>
                <w:noProof/>
                <w:webHidden/>
              </w:rPr>
            </w:r>
            <w:r w:rsidR="006C3B72" w:rsidRPr="009A539C">
              <w:rPr>
                <w:noProof/>
                <w:webHidden/>
              </w:rPr>
              <w:fldChar w:fldCharType="separate"/>
            </w:r>
            <w:r w:rsidR="00D821DE">
              <w:rPr>
                <w:noProof/>
                <w:webHidden/>
              </w:rPr>
              <w:t>30</w:t>
            </w:r>
            <w:r w:rsidR="006C3B72" w:rsidRPr="009A539C">
              <w:rPr>
                <w:noProof/>
                <w:webHidden/>
              </w:rPr>
              <w:fldChar w:fldCharType="end"/>
            </w:r>
          </w:hyperlink>
        </w:p>
        <w:p w14:paraId="6CBC8174" w14:textId="77777777" w:rsidR="006C3B72" w:rsidRPr="009A539C" w:rsidRDefault="00E742C1">
          <w:pPr>
            <w:pStyle w:val="ndice1"/>
            <w:rPr>
              <w:rFonts w:eastAsiaTheme="minorEastAsia"/>
              <w:noProof/>
              <w:lang w:eastAsia="pt-PT"/>
            </w:rPr>
          </w:pPr>
          <w:hyperlink w:anchor="_Toc45535679" w:history="1">
            <w:r w:rsidR="006C3B72" w:rsidRPr="009A539C">
              <w:rPr>
                <w:rStyle w:val="Hiperligao"/>
                <w:rFonts w:ascii="Calibri" w:hAnsi="Calibri" w:cs="Calibri"/>
                <w:b/>
                <w:noProof/>
              </w:rPr>
              <w:t>II.</w:t>
            </w:r>
            <w:r w:rsidR="006C3B72" w:rsidRPr="009A539C">
              <w:rPr>
                <w:rFonts w:eastAsiaTheme="minorEastAsia"/>
                <w:noProof/>
                <w:lang w:eastAsia="pt-PT"/>
              </w:rPr>
              <w:tab/>
            </w:r>
            <w:r w:rsidR="006C3B72" w:rsidRPr="009A539C">
              <w:rPr>
                <w:rStyle w:val="Hiperligao"/>
                <w:rFonts w:ascii="Calibri" w:hAnsi="Calibri" w:cs="Calibri"/>
                <w:b/>
                <w:noProof/>
              </w:rPr>
              <w:t>Enquadramento geral: contexto económico e normativo</w:t>
            </w:r>
            <w:r w:rsidR="006C3B72" w:rsidRPr="009A539C">
              <w:rPr>
                <w:noProof/>
                <w:webHidden/>
              </w:rPr>
              <w:tab/>
            </w:r>
            <w:r w:rsidR="006C3B72" w:rsidRPr="009A539C">
              <w:rPr>
                <w:noProof/>
                <w:webHidden/>
              </w:rPr>
              <w:fldChar w:fldCharType="begin"/>
            </w:r>
            <w:r w:rsidR="006C3B72" w:rsidRPr="009A539C">
              <w:rPr>
                <w:noProof/>
                <w:webHidden/>
              </w:rPr>
              <w:instrText xml:space="preserve"> PAGEREF _Toc45535679 \h </w:instrText>
            </w:r>
            <w:r w:rsidR="006C3B72" w:rsidRPr="009A539C">
              <w:rPr>
                <w:noProof/>
                <w:webHidden/>
              </w:rPr>
            </w:r>
            <w:r w:rsidR="006C3B72" w:rsidRPr="009A539C">
              <w:rPr>
                <w:noProof/>
                <w:webHidden/>
              </w:rPr>
              <w:fldChar w:fldCharType="separate"/>
            </w:r>
            <w:r w:rsidR="00D821DE">
              <w:rPr>
                <w:noProof/>
                <w:webHidden/>
              </w:rPr>
              <w:t>32</w:t>
            </w:r>
            <w:r w:rsidR="006C3B72" w:rsidRPr="009A539C">
              <w:rPr>
                <w:noProof/>
                <w:webHidden/>
              </w:rPr>
              <w:fldChar w:fldCharType="end"/>
            </w:r>
          </w:hyperlink>
        </w:p>
        <w:p w14:paraId="16BF3994" w14:textId="77777777" w:rsidR="006C3B72" w:rsidRPr="009A539C" w:rsidRDefault="00E742C1">
          <w:pPr>
            <w:pStyle w:val="ndice2"/>
            <w:rPr>
              <w:rFonts w:eastAsiaTheme="minorEastAsia"/>
              <w:noProof/>
              <w:lang w:eastAsia="pt-PT"/>
            </w:rPr>
          </w:pPr>
          <w:hyperlink w:anchor="_Toc45535680" w:history="1">
            <w:r w:rsidR="006C3B72" w:rsidRPr="009A539C">
              <w:rPr>
                <w:rStyle w:val="Hiperligao"/>
                <w:rFonts w:ascii="Calibri" w:hAnsi="Calibri" w:cs="Calibri"/>
                <w:b/>
                <w:noProof/>
              </w:rPr>
              <w:t>2.1</w:t>
            </w:r>
            <w:r w:rsidR="006C3B72" w:rsidRPr="009A539C">
              <w:rPr>
                <w:rFonts w:eastAsiaTheme="minorEastAsia"/>
                <w:noProof/>
                <w:lang w:eastAsia="pt-PT"/>
              </w:rPr>
              <w:tab/>
            </w:r>
            <w:r w:rsidR="006C3B72" w:rsidRPr="009A539C">
              <w:rPr>
                <w:rStyle w:val="Hiperligao"/>
                <w:rFonts w:ascii="Calibri" w:hAnsi="Calibri" w:cs="Calibri"/>
                <w:b/>
                <w:noProof/>
              </w:rPr>
              <w:t>Contexto económico</w:t>
            </w:r>
            <w:r w:rsidR="006C3B72" w:rsidRPr="009A539C">
              <w:rPr>
                <w:noProof/>
                <w:webHidden/>
              </w:rPr>
              <w:tab/>
            </w:r>
            <w:r w:rsidR="006C3B72" w:rsidRPr="009A539C">
              <w:rPr>
                <w:noProof/>
                <w:webHidden/>
              </w:rPr>
              <w:fldChar w:fldCharType="begin"/>
            </w:r>
            <w:r w:rsidR="006C3B72" w:rsidRPr="009A539C">
              <w:rPr>
                <w:noProof/>
                <w:webHidden/>
              </w:rPr>
              <w:instrText xml:space="preserve"> PAGEREF _Toc45535680 \h </w:instrText>
            </w:r>
            <w:r w:rsidR="006C3B72" w:rsidRPr="009A539C">
              <w:rPr>
                <w:noProof/>
                <w:webHidden/>
              </w:rPr>
            </w:r>
            <w:r w:rsidR="006C3B72" w:rsidRPr="009A539C">
              <w:rPr>
                <w:noProof/>
                <w:webHidden/>
              </w:rPr>
              <w:fldChar w:fldCharType="separate"/>
            </w:r>
            <w:r w:rsidR="00D821DE">
              <w:rPr>
                <w:noProof/>
                <w:webHidden/>
              </w:rPr>
              <w:t>32</w:t>
            </w:r>
            <w:r w:rsidR="006C3B72" w:rsidRPr="009A539C">
              <w:rPr>
                <w:noProof/>
                <w:webHidden/>
              </w:rPr>
              <w:fldChar w:fldCharType="end"/>
            </w:r>
          </w:hyperlink>
        </w:p>
        <w:p w14:paraId="41108EC0" w14:textId="77777777" w:rsidR="006C3B72" w:rsidRPr="009A539C" w:rsidRDefault="00E742C1">
          <w:pPr>
            <w:pStyle w:val="ndice2"/>
            <w:rPr>
              <w:rFonts w:eastAsiaTheme="minorEastAsia"/>
              <w:noProof/>
              <w:lang w:eastAsia="pt-PT"/>
            </w:rPr>
          </w:pPr>
          <w:hyperlink w:anchor="_Toc45535681" w:history="1">
            <w:r w:rsidR="006C3B72" w:rsidRPr="009A539C">
              <w:rPr>
                <w:rStyle w:val="Hiperligao"/>
                <w:rFonts w:ascii="Calibri" w:hAnsi="Calibri" w:cs="Calibri"/>
                <w:b/>
                <w:noProof/>
              </w:rPr>
              <w:t>2.2</w:t>
            </w:r>
            <w:r w:rsidR="006C3B72" w:rsidRPr="009A539C">
              <w:rPr>
                <w:rFonts w:eastAsiaTheme="minorEastAsia"/>
                <w:noProof/>
                <w:lang w:eastAsia="pt-PT"/>
              </w:rPr>
              <w:tab/>
            </w:r>
            <w:r w:rsidR="006C3B72" w:rsidRPr="009A539C">
              <w:rPr>
                <w:rStyle w:val="Hiperligao"/>
                <w:rFonts w:ascii="Calibri" w:hAnsi="Calibri" w:cs="Calibri"/>
                <w:b/>
                <w:noProof/>
              </w:rPr>
              <w:t>Contexto normativo</w:t>
            </w:r>
            <w:r w:rsidR="006C3B72" w:rsidRPr="009A539C">
              <w:rPr>
                <w:noProof/>
                <w:webHidden/>
              </w:rPr>
              <w:tab/>
            </w:r>
            <w:r w:rsidR="006C3B72" w:rsidRPr="009A539C">
              <w:rPr>
                <w:noProof/>
                <w:webHidden/>
              </w:rPr>
              <w:fldChar w:fldCharType="begin"/>
            </w:r>
            <w:r w:rsidR="006C3B72" w:rsidRPr="009A539C">
              <w:rPr>
                <w:noProof/>
                <w:webHidden/>
              </w:rPr>
              <w:instrText xml:space="preserve"> PAGEREF _Toc45535681 \h </w:instrText>
            </w:r>
            <w:r w:rsidR="006C3B72" w:rsidRPr="009A539C">
              <w:rPr>
                <w:noProof/>
                <w:webHidden/>
              </w:rPr>
            </w:r>
            <w:r w:rsidR="006C3B72" w:rsidRPr="009A539C">
              <w:rPr>
                <w:noProof/>
                <w:webHidden/>
              </w:rPr>
              <w:fldChar w:fldCharType="separate"/>
            </w:r>
            <w:r w:rsidR="00D821DE">
              <w:rPr>
                <w:noProof/>
                <w:webHidden/>
              </w:rPr>
              <w:t>38</w:t>
            </w:r>
            <w:r w:rsidR="006C3B72" w:rsidRPr="009A539C">
              <w:rPr>
                <w:noProof/>
                <w:webHidden/>
              </w:rPr>
              <w:fldChar w:fldCharType="end"/>
            </w:r>
          </w:hyperlink>
        </w:p>
        <w:p w14:paraId="33412721" w14:textId="77777777" w:rsidR="006C3B72" w:rsidRPr="009A539C" w:rsidRDefault="00E742C1">
          <w:pPr>
            <w:pStyle w:val="ndice1"/>
            <w:rPr>
              <w:rFonts w:eastAsiaTheme="minorEastAsia"/>
              <w:noProof/>
              <w:lang w:eastAsia="pt-PT"/>
            </w:rPr>
          </w:pPr>
          <w:hyperlink w:anchor="_Toc45535682" w:history="1">
            <w:r w:rsidR="006C3B72" w:rsidRPr="009A539C">
              <w:rPr>
                <w:rStyle w:val="Hiperligao"/>
                <w:rFonts w:ascii="Calibri" w:hAnsi="Calibri" w:cs="Calibri"/>
                <w:b/>
                <w:noProof/>
              </w:rPr>
              <w:t>III.</w:t>
            </w:r>
            <w:r w:rsidR="006C3B72" w:rsidRPr="009A539C">
              <w:rPr>
                <w:rFonts w:eastAsiaTheme="minorEastAsia"/>
                <w:noProof/>
                <w:lang w:eastAsia="pt-PT"/>
              </w:rPr>
              <w:tab/>
            </w:r>
            <w:r w:rsidR="006C3B72" w:rsidRPr="009A539C">
              <w:rPr>
                <w:rStyle w:val="Hiperligao"/>
                <w:rFonts w:ascii="Calibri" w:hAnsi="Calibri" w:cs="Calibri"/>
                <w:b/>
                <w:noProof/>
              </w:rPr>
              <w:t>Dados gerais sobre a negociação coletiva no ano de 2019 e sua evolução nos catorze anos anteriores</w:t>
            </w:r>
            <w:r w:rsidR="006C3B72" w:rsidRPr="009A539C">
              <w:rPr>
                <w:noProof/>
                <w:webHidden/>
              </w:rPr>
              <w:tab/>
            </w:r>
            <w:r w:rsidR="006C3B72" w:rsidRPr="009A539C">
              <w:rPr>
                <w:noProof/>
                <w:webHidden/>
              </w:rPr>
              <w:fldChar w:fldCharType="begin"/>
            </w:r>
            <w:r w:rsidR="006C3B72" w:rsidRPr="009A539C">
              <w:rPr>
                <w:noProof/>
                <w:webHidden/>
              </w:rPr>
              <w:instrText xml:space="preserve"> PAGEREF _Toc45535682 \h </w:instrText>
            </w:r>
            <w:r w:rsidR="006C3B72" w:rsidRPr="009A539C">
              <w:rPr>
                <w:noProof/>
                <w:webHidden/>
              </w:rPr>
            </w:r>
            <w:r w:rsidR="006C3B72" w:rsidRPr="009A539C">
              <w:rPr>
                <w:noProof/>
                <w:webHidden/>
              </w:rPr>
              <w:fldChar w:fldCharType="separate"/>
            </w:r>
            <w:r w:rsidR="00D821DE">
              <w:rPr>
                <w:noProof/>
                <w:webHidden/>
              </w:rPr>
              <w:t>45</w:t>
            </w:r>
            <w:r w:rsidR="006C3B72" w:rsidRPr="009A539C">
              <w:rPr>
                <w:noProof/>
                <w:webHidden/>
              </w:rPr>
              <w:fldChar w:fldCharType="end"/>
            </w:r>
          </w:hyperlink>
        </w:p>
        <w:p w14:paraId="6586EC7C" w14:textId="77777777" w:rsidR="006C3B72" w:rsidRPr="009A539C" w:rsidRDefault="00E742C1">
          <w:pPr>
            <w:pStyle w:val="ndice2"/>
            <w:rPr>
              <w:rFonts w:eastAsiaTheme="minorEastAsia"/>
              <w:noProof/>
              <w:lang w:eastAsia="pt-PT"/>
            </w:rPr>
          </w:pPr>
          <w:hyperlink w:anchor="_Toc45535683" w:history="1">
            <w:r w:rsidR="006C3B72" w:rsidRPr="009A539C">
              <w:rPr>
                <w:rStyle w:val="Hiperligao"/>
                <w:rFonts w:cs="Courier New"/>
                <w:b/>
                <w:noProof/>
              </w:rPr>
              <w:t>3.1</w:t>
            </w:r>
            <w:r w:rsidR="006C3B72" w:rsidRPr="009A539C">
              <w:rPr>
                <w:rFonts w:eastAsiaTheme="minorEastAsia"/>
                <w:noProof/>
                <w:lang w:eastAsia="pt-PT"/>
              </w:rPr>
              <w:tab/>
            </w:r>
            <w:r w:rsidR="006C3B72" w:rsidRPr="009A539C">
              <w:rPr>
                <w:rStyle w:val="Hiperligao"/>
                <w:rFonts w:cs="Courier New"/>
                <w:b/>
                <w:noProof/>
              </w:rPr>
              <w:t>Dados gerais sobre a contratação coletiva em 2019 e a evolução desde 2005</w:t>
            </w:r>
            <w:r w:rsidR="006C3B72" w:rsidRPr="009A539C">
              <w:rPr>
                <w:noProof/>
                <w:webHidden/>
              </w:rPr>
              <w:tab/>
            </w:r>
            <w:r w:rsidR="006C3B72" w:rsidRPr="009A539C">
              <w:rPr>
                <w:noProof/>
                <w:webHidden/>
              </w:rPr>
              <w:fldChar w:fldCharType="begin"/>
            </w:r>
            <w:r w:rsidR="006C3B72" w:rsidRPr="009A539C">
              <w:rPr>
                <w:noProof/>
                <w:webHidden/>
              </w:rPr>
              <w:instrText xml:space="preserve"> PAGEREF _Toc45535683 \h </w:instrText>
            </w:r>
            <w:r w:rsidR="006C3B72" w:rsidRPr="009A539C">
              <w:rPr>
                <w:noProof/>
                <w:webHidden/>
              </w:rPr>
            </w:r>
            <w:r w:rsidR="006C3B72" w:rsidRPr="009A539C">
              <w:rPr>
                <w:noProof/>
                <w:webHidden/>
              </w:rPr>
              <w:fldChar w:fldCharType="separate"/>
            </w:r>
            <w:r w:rsidR="00D821DE">
              <w:rPr>
                <w:noProof/>
                <w:webHidden/>
              </w:rPr>
              <w:t>45</w:t>
            </w:r>
            <w:r w:rsidR="006C3B72" w:rsidRPr="009A539C">
              <w:rPr>
                <w:noProof/>
                <w:webHidden/>
              </w:rPr>
              <w:fldChar w:fldCharType="end"/>
            </w:r>
          </w:hyperlink>
        </w:p>
        <w:p w14:paraId="042B468A" w14:textId="77777777" w:rsidR="006C3B72" w:rsidRPr="009A539C" w:rsidRDefault="00E742C1">
          <w:pPr>
            <w:pStyle w:val="ndice3"/>
            <w:rPr>
              <w:rFonts w:asciiTheme="minorHAnsi" w:eastAsiaTheme="minorEastAsia" w:hAnsiTheme="minorHAnsi" w:cstheme="minorBidi"/>
              <w:b w:val="0"/>
              <w:color w:val="auto"/>
              <w:lang w:eastAsia="pt-PT"/>
            </w:rPr>
          </w:pPr>
          <w:hyperlink w:anchor="_Toc45535684" w:history="1">
            <w:r w:rsidR="006C3B72" w:rsidRPr="009A539C">
              <w:rPr>
                <w:rStyle w:val="Hiperligao"/>
              </w:rPr>
              <w:t>3.1.1</w:t>
            </w:r>
            <w:r w:rsidR="006C3B72" w:rsidRPr="009A539C">
              <w:rPr>
                <w:rFonts w:asciiTheme="minorHAnsi" w:eastAsiaTheme="minorEastAsia" w:hAnsiTheme="minorHAnsi" w:cstheme="minorBidi"/>
                <w:b w:val="0"/>
                <w:color w:val="auto"/>
                <w:lang w:eastAsia="pt-PT"/>
              </w:rPr>
              <w:tab/>
            </w:r>
            <w:r w:rsidR="006C3B72" w:rsidRPr="009A539C">
              <w:rPr>
                <w:rStyle w:val="Hiperligao"/>
              </w:rPr>
              <w:t>Evolução da negociação coletiva e da cobertura por IRCT negociais</w:t>
            </w:r>
            <w:r w:rsidR="006C3B72" w:rsidRPr="009A539C">
              <w:rPr>
                <w:webHidden/>
              </w:rPr>
              <w:tab/>
            </w:r>
            <w:r w:rsidR="006C3B72" w:rsidRPr="009A539C">
              <w:rPr>
                <w:webHidden/>
              </w:rPr>
              <w:fldChar w:fldCharType="begin"/>
            </w:r>
            <w:r w:rsidR="006C3B72" w:rsidRPr="009A539C">
              <w:rPr>
                <w:webHidden/>
              </w:rPr>
              <w:instrText xml:space="preserve"> PAGEREF _Toc45535684 \h </w:instrText>
            </w:r>
            <w:r w:rsidR="006C3B72" w:rsidRPr="009A539C">
              <w:rPr>
                <w:webHidden/>
              </w:rPr>
            </w:r>
            <w:r w:rsidR="006C3B72" w:rsidRPr="009A539C">
              <w:rPr>
                <w:webHidden/>
              </w:rPr>
              <w:fldChar w:fldCharType="separate"/>
            </w:r>
            <w:r w:rsidR="00D821DE">
              <w:rPr>
                <w:webHidden/>
              </w:rPr>
              <w:t>45</w:t>
            </w:r>
            <w:r w:rsidR="006C3B72" w:rsidRPr="009A539C">
              <w:rPr>
                <w:webHidden/>
              </w:rPr>
              <w:fldChar w:fldCharType="end"/>
            </w:r>
          </w:hyperlink>
        </w:p>
        <w:p w14:paraId="0B3DC86B" w14:textId="77777777" w:rsidR="006C3B72" w:rsidRPr="009A539C" w:rsidRDefault="00E742C1">
          <w:pPr>
            <w:pStyle w:val="ndice3"/>
            <w:rPr>
              <w:rFonts w:asciiTheme="minorHAnsi" w:eastAsiaTheme="minorEastAsia" w:hAnsiTheme="minorHAnsi" w:cstheme="minorBidi"/>
              <w:b w:val="0"/>
              <w:color w:val="auto"/>
              <w:lang w:eastAsia="pt-PT"/>
            </w:rPr>
          </w:pPr>
          <w:hyperlink w:anchor="_Toc45535685" w:history="1">
            <w:r w:rsidR="006C3B72" w:rsidRPr="009A539C">
              <w:rPr>
                <w:rStyle w:val="Hiperligao"/>
              </w:rPr>
              <w:t>3.1.2</w:t>
            </w:r>
            <w:r w:rsidR="006C3B72" w:rsidRPr="009A539C">
              <w:rPr>
                <w:rFonts w:asciiTheme="minorHAnsi" w:eastAsiaTheme="minorEastAsia" w:hAnsiTheme="minorHAnsi" w:cstheme="minorBidi"/>
                <w:b w:val="0"/>
                <w:color w:val="auto"/>
                <w:lang w:eastAsia="pt-PT"/>
              </w:rPr>
              <w:tab/>
            </w:r>
            <w:r w:rsidR="006C3B72" w:rsidRPr="009A539C">
              <w:rPr>
                <w:rStyle w:val="Hiperligao"/>
              </w:rPr>
              <w:t>Remunerações</w:t>
            </w:r>
            <w:r w:rsidR="006C3B72" w:rsidRPr="009A539C">
              <w:rPr>
                <w:webHidden/>
              </w:rPr>
              <w:tab/>
            </w:r>
            <w:r w:rsidR="006C3B72" w:rsidRPr="009A539C">
              <w:rPr>
                <w:webHidden/>
              </w:rPr>
              <w:fldChar w:fldCharType="begin"/>
            </w:r>
            <w:r w:rsidR="006C3B72" w:rsidRPr="009A539C">
              <w:rPr>
                <w:webHidden/>
              </w:rPr>
              <w:instrText xml:space="preserve"> PAGEREF _Toc45535685 \h </w:instrText>
            </w:r>
            <w:r w:rsidR="006C3B72" w:rsidRPr="009A539C">
              <w:rPr>
                <w:webHidden/>
              </w:rPr>
            </w:r>
            <w:r w:rsidR="006C3B72" w:rsidRPr="009A539C">
              <w:rPr>
                <w:webHidden/>
              </w:rPr>
              <w:fldChar w:fldCharType="separate"/>
            </w:r>
            <w:r w:rsidR="00D821DE">
              <w:rPr>
                <w:webHidden/>
              </w:rPr>
              <w:t>50</w:t>
            </w:r>
            <w:r w:rsidR="006C3B72" w:rsidRPr="009A539C">
              <w:rPr>
                <w:webHidden/>
              </w:rPr>
              <w:fldChar w:fldCharType="end"/>
            </w:r>
          </w:hyperlink>
        </w:p>
        <w:p w14:paraId="5C3E71C2" w14:textId="77777777" w:rsidR="006C3B72" w:rsidRPr="009A539C" w:rsidRDefault="00E742C1">
          <w:pPr>
            <w:pStyle w:val="ndice3"/>
            <w:rPr>
              <w:rFonts w:asciiTheme="minorHAnsi" w:eastAsiaTheme="minorEastAsia" w:hAnsiTheme="minorHAnsi" w:cstheme="minorBidi"/>
              <w:b w:val="0"/>
              <w:color w:val="auto"/>
              <w:lang w:eastAsia="pt-PT"/>
            </w:rPr>
          </w:pPr>
          <w:hyperlink w:anchor="_Toc45535686" w:history="1">
            <w:r w:rsidR="006C3B72" w:rsidRPr="009A539C">
              <w:rPr>
                <w:rStyle w:val="Hiperligao"/>
              </w:rPr>
              <w:t>3.1.3</w:t>
            </w:r>
            <w:r w:rsidR="006C3B72" w:rsidRPr="009A539C">
              <w:rPr>
                <w:rFonts w:asciiTheme="minorHAnsi" w:eastAsiaTheme="minorEastAsia" w:hAnsiTheme="minorHAnsi" w:cstheme="minorBidi"/>
                <w:b w:val="0"/>
                <w:color w:val="auto"/>
                <w:lang w:eastAsia="pt-PT"/>
              </w:rPr>
              <w:tab/>
            </w:r>
            <w:r w:rsidR="006C3B72" w:rsidRPr="009A539C">
              <w:rPr>
                <w:rStyle w:val="Hiperligao"/>
              </w:rPr>
              <w:t>Alargamento do âmbito de aplicação das convenções</w:t>
            </w:r>
            <w:r w:rsidR="006C3B72" w:rsidRPr="009A539C">
              <w:rPr>
                <w:webHidden/>
              </w:rPr>
              <w:tab/>
            </w:r>
            <w:r w:rsidR="006C3B72" w:rsidRPr="009A539C">
              <w:rPr>
                <w:webHidden/>
              </w:rPr>
              <w:fldChar w:fldCharType="begin"/>
            </w:r>
            <w:r w:rsidR="006C3B72" w:rsidRPr="009A539C">
              <w:rPr>
                <w:webHidden/>
              </w:rPr>
              <w:instrText xml:space="preserve"> PAGEREF _Toc45535686 \h </w:instrText>
            </w:r>
            <w:r w:rsidR="006C3B72" w:rsidRPr="009A539C">
              <w:rPr>
                <w:webHidden/>
              </w:rPr>
            </w:r>
            <w:r w:rsidR="006C3B72" w:rsidRPr="009A539C">
              <w:rPr>
                <w:webHidden/>
              </w:rPr>
              <w:fldChar w:fldCharType="separate"/>
            </w:r>
            <w:r w:rsidR="00D821DE">
              <w:rPr>
                <w:webHidden/>
              </w:rPr>
              <w:t>54</w:t>
            </w:r>
            <w:r w:rsidR="006C3B72" w:rsidRPr="009A539C">
              <w:rPr>
                <w:webHidden/>
              </w:rPr>
              <w:fldChar w:fldCharType="end"/>
            </w:r>
          </w:hyperlink>
        </w:p>
        <w:p w14:paraId="629F04DA" w14:textId="77777777" w:rsidR="006C3B72" w:rsidRPr="009A539C" w:rsidRDefault="00E742C1">
          <w:pPr>
            <w:pStyle w:val="ndice2"/>
            <w:rPr>
              <w:rFonts w:eastAsiaTheme="minorEastAsia"/>
              <w:noProof/>
              <w:lang w:eastAsia="pt-PT"/>
            </w:rPr>
          </w:pPr>
          <w:hyperlink w:anchor="_Toc45535687" w:history="1">
            <w:r w:rsidR="006C3B72" w:rsidRPr="009A539C">
              <w:rPr>
                <w:rStyle w:val="Hiperligao"/>
                <w:rFonts w:cs="Courier New"/>
                <w:b/>
                <w:noProof/>
              </w:rPr>
              <w:t>3.2</w:t>
            </w:r>
            <w:r w:rsidR="006C3B72" w:rsidRPr="009A539C">
              <w:rPr>
                <w:rFonts w:eastAsiaTheme="minorEastAsia"/>
                <w:noProof/>
                <w:lang w:eastAsia="pt-PT"/>
              </w:rPr>
              <w:tab/>
            </w:r>
            <w:r w:rsidR="006C3B72" w:rsidRPr="009A539C">
              <w:rPr>
                <w:rStyle w:val="Hiperligao"/>
                <w:rFonts w:cs="Courier New"/>
                <w:b/>
                <w:noProof/>
              </w:rPr>
              <w:t>Resolução de conflitos coletivos e litígios sobre negociação coletiva</w:t>
            </w:r>
            <w:r w:rsidR="006C3B72" w:rsidRPr="009A539C">
              <w:rPr>
                <w:noProof/>
                <w:webHidden/>
              </w:rPr>
              <w:tab/>
            </w:r>
            <w:r w:rsidR="006C3B72" w:rsidRPr="009A539C">
              <w:rPr>
                <w:noProof/>
                <w:webHidden/>
              </w:rPr>
              <w:fldChar w:fldCharType="begin"/>
            </w:r>
            <w:r w:rsidR="006C3B72" w:rsidRPr="009A539C">
              <w:rPr>
                <w:noProof/>
                <w:webHidden/>
              </w:rPr>
              <w:instrText xml:space="preserve"> PAGEREF _Toc45535687 \h </w:instrText>
            </w:r>
            <w:r w:rsidR="006C3B72" w:rsidRPr="009A539C">
              <w:rPr>
                <w:noProof/>
                <w:webHidden/>
              </w:rPr>
            </w:r>
            <w:r w:rsidR="006C3B72" w:rsidRPr="009A539C">
              <w:rPr>
                <w:noProof/>
                <w:webHidden/>
              </w:rPr>
              <w:fldChar w:fldCharType="separate"/>
            </w:r>
            <w:r w:rsidR="00D821DE">
              <w:rPr>
                <w:noProof/>
                <w:webHidden/>
              </w:rPr>
              <w:t>60</w:t>
            </w:r>
            <w:r w:rsidR="006C3B72" w:rsidRPr="009A539C">
              <w:rPr>
                <w:noProof/>
                <w:webHidden/>
              </w:rPr>
              <w:fldChar w:fldCharType="end"/>
            </w:r>
          </w:hyperlink>
        </w:p>
        <w:p w14:paraId="098A162F" w14:textId="77777777" w:rsidR="006C3B72" w:rsidRPr="009A539C" w:rsidRDefault="00E742C1">
          <w:pPr>
            <w:pStyle w:val="ndice3"/>
            <w:rPr>
              <w:rFonts w:asciiTheme="minorHAnsi" w:eastAsiaTheme="minorEastAsia" w:hAnsiTheme="minorHAnsi" w:cstheme="minorBidi"/>
              <w:b w:val="0"/>
              <w:color w:val="auto"/>
              <w:lang w:eastAsia="pt-PT"/>
            </w:rPr>
          </w:pPr>
          <w:hyperlink w:anchor="_Toc45535688" w:history="1">
            <w:r w:rsidR="006C3B72" w:rsidRPr="009A539C">
              <w:rPr>
                <w:rStyle w:val="Hiperligao"/>
              </w:rPr>
              <w:t>3.2.1</w:t>
            </w:r>
            <w:r w:rsidR="006C3B72" w:rsidRPr="009A539C">
              <w:rPr>
                <w:rFonts w:asciiTheme="minorHAnsi" w:eastAsiaTheme="minorEastAsia" w:hAnsiTheme="minorHAnsi" w:cstheme="minorBidi"/>
                <w:b w:val="0"/>
                <w:color w:val="auto"/>
                <w:lang w:eastAsia="pt-PT"/>
              </w:rPr>
              <w:tab/>
            </w:r>
            <w:r w:rsidR="006C3B72" w:rsidRPr="009A539C">
              <w:rPr>
                <w:rStyle w:val="Hiperligao"/>
              </w:rPr>
              <w:t>Conciliação e mediação</w:t>
            </w:r>
            <w:r w:rsidR="006C3B72" w:rsidRPr="009A539C">
              <w:rPr>
                <w:webHidden/>
              </w:rPr>
              <w:tab/>
            </w:r>
            <w:r w:rsidR="006C3B72" w:rsidRPr="009A539C">
              <w:rPr>
                <w:webHidden/>
              </w:rPr>
              <w:fldChar w:fldCharType="begin"/>
            </w:r>
            <w:r w:rsidR="006C3B72" w:rsidRPr="009A539C">
              <w:rPr>
                <w:webHidden/>
              </w:rPr>
              <w:instrText xml:space="preserve"> PAGEREF _Toc45535688 \h </w:instrText>
            </w:r>
            <w:r w:rsidR="006C3B72" w:rsidRPr="009A539C">
              <w:rPr>
                <w:webHidden/>
              </w:rPr>
            </w:r>
            <w:r w:rsidR="006C3B72" w:rsidRPr="009A539C">
              <w:rPr>
                <w:webHidden/>
              </w:rPr>
              <w:fldChar w:fldCharType="separate"/>
            </w:r>
            <w:r w:rsidR="00D821DE">
              <w:rPr>
                <w:webHidden/>
              </w:rPr>
              <w:t>60</w:t>
            </w:r>
            <w:r w:rsidR="006C3B72" w:rsidRPr="009A539C">
              <w:rPr>
                <w:webHidden/>
              </w:rPr>
              <w:fldChar w:fldCharType="end"/>
            </w:r>
          </w:hyperlink>
        </w:p>
        <w:p w14:paraId="1181CDA3" w14:textId="77777777" w:rsidR="006C3B72" w:rsidRPr="009A539C" w:rsidRDefault="00E742C1">
          <w:pPr>
            <w:pStyle w:val="ndice3"/>
            <w:rPr>
              <w:rFonts w:asciiTheme="minorHAnsi" w:eastAsiaTheme="minorEastAsia" w:hAnsiTheme="minorHAnsi" w:cstheme="minorBidi"/>
              <w:b w:val="0"/>
              <w:color w:val="auto"/>
              <w:lang w:eastAsia="pt-PT"/>
            </w:rPr>
          </w:pPr>
          <w:hyperlink w:anchor="_Toc45535689" w:history="1">
            <w:r w:rsidR="006C3B72" w:rsidRPr="009A539C">
              <w:rPr>
                <w:rStyle w:val="Hiperligao"/>
              </w:rPr>
              <w:t>3.2.2</w:t>
            </w:r>
            <w:r w:rsidR="006C3B72" w:rsidRPr="009A539C">
              <w:rPr>
                <w:rFonts w:asciiTheme="minorHAnsi" w:eastAsiaTheme="minorEastAsia" w:hAnsiTheme="minorHAnsi" w:cstheme="minorBidi"/>
                <w:b w:val="0"/>
                <w:color w:val="auto"/>
                <w:lang w:eastAsia="pt-PT"/>
              </w:rPr>
              <w:tab/>
            </w:r>
            <w:r w:rsidR="006C3B72" w:rsidRPr="009A539C">
              <w:rPr>
                <w:rStyle w:val="Hiperligao"/>
              </w:rPr>
              <w:t>Arbitragem</w:t>
            </w:r>
            <w:r w:rsidR="006C3B72" w:rsidRPr="009A539C">
              <w:rPr>
                <w:webHidden/>
              </w:rPr>
              <w:tab/>
            </w:r>
            <w:r w:rsidR="006C3B72" w:rsidRPr="009A539C">
              <w:rPr>
                <w:webHidden/>
              </w:rPr>
              <w:fldChar w:fldCharType="begin"/>
            </w:r>
            <w:r w:rsidR="006C3B72" w:rsidRPr="009A539C">
              <w:rPr>
                <w:webHidden/>
              </w:rPr>
              <w:instrText xml:space="preserve"> PAGEREF _Toc45535689 \h </w:instrText>
            </w:r>
            <w:r w:rsidR="006C3B72" w:rsidRPr="009A539C">
              <w:rPr>
                <w:webHidden/>
              </w:rPr>
            </w:r>
            <w:r w:rsidR="006C3B72" w:rsidRPr="009A539C">
              <w:rPr>
                <w:webHidden/>
              </w:rPr>
              <w:fldChar w:fldCharType="separate"/>
            </w:r>
            <w:r w:rsidR="00D821DE">
              <w:rPr>
                <w:webHidden/>
              </w:rPr>
              <w:t>61</w:t>
            </w:r>
            <w:r w:rsidR="006C3B72" w:rsidRPr="009A539C">
              <w:rPr>
                <w:webHidden/>
              </w:rPr>
              <w:fldChar w:fldCharType="end"/>
            </w:r>
          </w:hyperlink>
        </w:p>
        <w:p w14:paraId="3BBAA169" w14:textId="77777777" w:rsidR="006C3B72" w:rsidRPr="009A539C" w:rsidRDefault="00E742C1">
          <w:pPr>
            <w:pStyle w:val="ndice1"/>
            <w:rPr>
              <w:rFonts w:eastAsiaTheme="minorEastAsia"/>
              <w:noProof/>
              <w:lang w:eastAsia="pt-PT"/>
            </w:rPr>
          </w:pPr>
          <w:hyperlink w:anchor="_Toc45535690" w:history="1">
            <w:r w:rsidR="006C3B72" w:rsidRPr="009A539C">
              <w:rPr>
                <w:rStyle w:val="Hiperligao"/>
                <w:rFonts w:ascii="Calibri" w:hAnsi="Calibri" w:cs="Calibri"/>
                <w:b/>
                <w:noProof/>
              </w:rPr>
              <w:t>IV.</w:t>
            </w:r>
            <w:r w:rsidR="006C3B72" w:rsidRPr="009A539C">
              <w:rPr>
                <w:rFonts w:eastAsiaTheme="minorEastAsia"/>
                <w:noProof/>
                <w:lang w:eastAsia="pt-PT"/>
              </w:rPr>
              <w:tab/>
            </w:r>
            <w:r w:rsidR="006C3B72" w:rsidRPr="009A539C">
              <w:rPr>
                <w:rStyle w:val="Hiperligao"/>
                <w:rFonts w:ascii="Calibri" w:hAnsi="Calibri" w:cs="Calibri"/>
                <w:b/>
                <w:noProof/>
              </w:rPr>
              <w:t>A negociação coletiva em 2019</w:t>
            </w:r>
            <w:r w:rsidR="006C3B72" w:rsidRPr="009A539C">
              <w:rPr>
                <w:noProof/>
                <w:webHidden/>
              </w:rPr>
              <w:tab/>
            </w:r>
            <w:r w:rsidR="006C3B72" w:rsidRPr="009A539C">
              <w:rPr>
                <w:noProof/>
                <w:webHidden/>
              </w:rPr>
              <w:fldChar w:fldCharType="begin"/>
            </w:r>
            <w:r w:rsidR="006C3B72" w:rsidRPr="009A539C">
              <w:rPr>
                <w:noProof/>
                <w:webHidden/>
              </w:rPr>
              <w:instrText xml:space="preserve"> PAGEREF _Toc45535690 \h </w:instrText>
            </w:r>
            <w:r w:rsidR="006C3B72" w:rsidRPr="009A539C">
              <w:rPr>
                <w:noProof/>
                <w:webHidden/>
              </w:rPr>
            </w:r>
            <w:r w:rsidR="006C3B72" w:rsidRPr="009A539C">
              <w:rPr>
                <w:noProof/>
                <w:webHidden/>
              </w:rPr>
              <w:fldChar w:fldCharType="separate"/>
            </w:r>
            <w:r w:rsidR="00D821DE">
              <w:rPr>
                <w:noProof/>
                <w:webHidden/>
              </w:rPr>
              <w:t>62</w:t>
            </w:r>
            <w:r w:rsidR="006C3B72" w:rsidRPr="009A539C">
              <w:rPr>
                <w:noProof/>
                <w:webHidden/>
              </w:rPr>
              <w:fldChar w:fldCharType="end"/>
            </w:r>
          </w:hyperlink>
        </w:p>
        <w:p w14:paraId="01CEFFA8" w14:textId="77777777" w:rsidR="006C3B72" w:rsidRPr="009A539C" w:rsidRDefault="00E742C1">
          <w:pPr>
            <w:pStyle w:val="ndice2"/>
            <w:rPr>
              <w:rFonts w:eastAsiaTheme="minorEastAsia"/>
              <w:noProof/>
              <w:lang w:eastAsia="pt-PT"/>
            </w:rPr>
          </w:pPr>
          <w:hyperlink w:anchor="_Toc45535691" w:history="1">
            <w:r w:rsidR="006C3B72" w:rsidRPr="009A539C">
              <w:rPr>
                <w:rStyle w:val="Hiperligao"/>
                <w:rFonts w:ascii="Calibri" w:hAnsi="Calibri" w:cs="Calibri"/>
                <w:b/>
                <w:noProof/>
              </w:rPr>
              <w:t>4.1</w:t>
            </w:r>
            <w:r w:rsidR="006C3B72" w:rsidRPr="009A539C">
              <w:rPr>
                <w:rFonts w:eastAsiaTheme="minorEastAsia"/>
                <w:noProof/>
                <w:lang w:eastAsia="pt-PT"/>
              </w:rPr>
              <w:tab/>
            </w:r>
            <w:r w:rsidR="006C3B72" w:rsidRPr="009A539C">
              <w:rPr>
                <w:rStyle w:val="Hiperligao"/>
                <w:rFonts w:ascii="Calibri" w:hAnsi="Calibri" w:cs="Calibri"/>
                <w:b/>
                <w:noProof/>
              </w:rPr>
              <w:t>Dados gerais sobre a contratação coletiva em 2019</w:t>
            </w:r>
            <w:r w:rsidR="006C3B72" w:rsidRPr="009A539C">
              <w:rPr>
                <w:noProof/>
                <w:webHidden/>
              </w:rPr>
              <w:tab/>
            </w:r>
            <w:r w:rsidR="006C3B72" w:rsidRPr="009A539C">
              <w:rPr>
                <w:noProof/>
                <w:webHidden/>
              </w:rPr>
              <w:fldChar w:fldCharType="begin"/>
            </w:r>
            <w:r w:rsidR="006C3B72" w:rsidRPr="009A539C">
              <w:rPr>
                <w:noProof/>
                <w:webHidden/>
              </w:rPr>
              <w:instrText xml:space="preserve"> PAGEREF _Toc45535691 \h </w:instrText>
            </w:r>
            <w:r w:rsidR="006C3B72" w:rsidRPr="009A539C">
              <w:rPr>
                <w:noProof/>
                <w:webHidden/>
              </w:rPr>
            </w:r>
            <w:r w:rsidR="006C3B72" w:rsidRPr="009A539C">
              <w:rPr>
                <w:noProof/>
                <w:webHidden/>
              </w:rPr>
              <w:fldChar w:fldCharType="separate"/>
            </w:r>
            <w:r w:rsidR="00D821DE">
              <w:rPr>
                <w:noProof/>
                <w:webHidden/>
              </w:rPr>
              <w:t>62</w:t>
            </w:r>
            <w:r w:rsidR="006C3B72" w:rsidRPr="009A539C">
              <w:rPr>
                <w:noProof/>
                <w:webHidden/>
              </w:rPr>
              <w:fldChar w:fldCharType="end"/>
            </w:r>
          </w:hyperlink>
        </w:p>
        <w:p w14:paraId="7D328095" w14:textId="77777777" w:rsidR="006C3B72" w:rsidRPr="009A539C" w:rsidRDefault="00E742C1">
          <w:pPr>
            <w:pStyle w:val="ndice2"/>
            <w:rPr>
              <w:rFonts w:eastAsiaTheme="minorEastAsia"/>
              <w:noProof/>
              <w:lang w:eastAsia="pt-PT"/>
            </w:rPr>
          </w:pPr>
          <w:hyperlink w:anchor="_Toc45535692" w:history="1">
            <w:r w:rsidR="006C3B72" w:rsidRPr="009A539C">
              <w:rPr>
                <w:rStyle w:val="Hiperligao"/>
                <w:rFonts w:ascii="Calibri" w:hAnsi="Calibri" w:cs="Calibri"/>
                <w:b/>
                <w:noProof/>
              </w:rPr>
              <w:t>4.2</w:t>
            </w:r>
            <w:r w:rsidR="006C3B72" w:rsidRPr="009A539C">
              <w:rPr>
                <w:rFonts w:eastAsiaTheme="minorEastAsia"/>
                <w:noProof/>
                <w:lang w:eastAsia="pt-PT"/>
              </w:rPr>
              <w:tab/>
            </w:r>
            <w:r w:rsidR="006C3B72" w:rsidRPr="009A539C">
              <w:rPr>
                <w:rStyle w:val="Hiperligao"/>
                <w:rFonts w:ascii="Calibri" w:hAnsi="Calibri" w:cs="Calibri"/>
                <w:b/>
                <w:noProof/>
              </w:rPr>
              <w:t>Alargamento do âmbito de aplicação das convenções coletivas</w:t>
            </w:r>
            <w:r w:rsidR="006C3B72" w:rsidRPr="009A539C">
              <w:rPr>
                <w:noProof/>
                <w:webHidden/>
              </w:rPr>
              <w:tab/>
            </w:r>
            <w:r w:rsidR="006C3B72" w:rsidRPr="009A539C">
              <w:rPr>
                <w:noProof/>
                <w:webHidden/>
              </w:rPr>
              <w:fldChar w:fldCharType="begin"/>
            </w:r>
            <w:r w:rsidR="006C3B72" w:rsidRPr="009A539C">
              <w:rPr>
                <w:noProof/>
                <w:webHidden/>
              </w:rPr>
              <w:instrText xml:space="preserve"> PAGEREF _Toc45535692 \h </w:instrText>
            </w:r>
            <w:r w:rsidR="006C3B72" w:rsidRPr="009A539C">
              <w:rPr>
                <w:noProof/>
                <w:webHidden/>
              </w:rPr>
            </w:r>
            <w:r w:rsidR="006C3B72" w:rsidRPr="009A539C">
              <w:rPr>
                <w:noProof/>
                <w:webHidden/>
              </w:rPr>
              <w:fldChar w:fldCharType="separate"/>
            </w:r>
            <w:r w:rsidR="00D821DE">
              <w:rPr>
                <w:noProof/>
                <w:webHidden/>
              </w:rPr>
              <w:t>68</w:t>
            </w:r>
            <w:r w:rsidR="006C3B72" w:rsidRPr="009A539C">
              <w:rPr>
                <w:noProof/>
                <w:webHidden/>
              </w:rPr>
              <w:fldChar w:fldCharType="end"/>
            </w:r>
          </w:hyperlink>
        </w:p>
        <w:p w14:paraId="157BC8F3" w14:textId="77777777" w:rsidR="006C3B72" w:rsidRPr="009A539C" w:rsidRDefault="00E742C1">
          <w:pPr>
            <w:pStyle w:val="ndice3"/>
            <w:rPr>
              <w:rFonts w:asciiTheme="minorHAnsi" w:eastAsiaTheme="minorEastAsia" w:hAnsiTheme="minorHAnsi" w:cstheme="minorBidi"/>
              <w:b w:val="0"/>
              <w:color w:val="auto"/>
              <w:lang w:eastAsia="pt-PT"/>
            </w:rPr>
          </w:pPr>
          <w:hyperlink w:anchor="_Toc45535693" w:history="1">
            <w:r w:rsidR="006C3B72" w:rsidRPr="009A539C">
              <w:rPr>
                <w:rStyle w:val="Hiperligao"/>
                <w:rFonts w:cs="Calibri"/>
              </w:rPr>
              <w:t>4.2.1</w:t>
            </w:r>
            <w:r w:rsidR="006C3B72" w:rsidRPr="009A539C">
              <w:rPr>
                <w:rFonts w:asciiTheme="minorHAnsi" w:eastAsiaTheme="minorEastAsia" w:hAnsiTheme="minorHAnsi" w:cstheme="minorBidi"/>
                <w:b w:val="0"/>
                <w:color w:val="auto"/>
                <w:lang w:eastAsia="pt-PT"/>
              </w:rPr>
              <w:tab/>
            </w:r>
            <w:r w:rsidR="006C3B72" w:rsidRPr="009A539C">
              <w:rPr>
                <w:rStyle w:val="Hiperligao"/>
                <w:rFonts w:cs="Calibri"/>
              </w:rPr>
              <w:t>Portarias de extensão emitidas em 2019</w:t>
            </w:r>
            <w:r w:rsidR="006C3B72" w:rsidRPr="009A539C">
              <w:rPr>
                <w:webHidden/>
              </w:rPr>
              <w:tab/>
            </w:r>
            <w:r w:rsidR="006C3B72" w:rsidRPr="009A539C">
              <w:rPr>
                <w:webHidden/>
              </w:rPr>
              <w:fldChar w:fldCharType="begin"/>
            </w:r>
            <w:r w:rsidR="006C3B72" w:rsidRPr="009A539C">
              <w:rPr>
                <w:webHidden/>
              </w:rPr>
              <w:instrText xml:space="preserve"> PAGEREF _Toc45535693 \h </w:instrText>
            </w:r>
            <w:r w:rsidR="006C3B72" w:rsidRPr="009A539C">
              <w:rPr>
                <w:webHidden/>
              </w:rPr>
            </w:r>
            <w:r w:rsidR="006C3B72" w:rsidRPr="009A539C">
              <w:rPr>
                <w:webHidden/>
              </w:rPr>
              <w:fldChar w:fldCharType="separate"/>
            </w:r>
            <w:r w:rsidR="00D821DE">
              <w:rPr>
                <w:webHidden/>
              </w:rPr>
              <w:t>68</w:t>
            </w:r>
            <w:r w:rsidR="006C3B72" w:rsidRPr="009A539C">
              <w:rPr>
                <w:webHidden/>
              </w:rPr>
              <w:fldChar w:fldCharType="end"/>
            </w:r>
          </w:hyperlink>
        </w:p>
        <w:p w14:paraId="48D8BD36" w14:textId="77777777" w:rsidR="006C3B72" w:rsidRPr="009A539C" w:rsidRDefault="00E742C1">
          <w:pPr>
            <w:pStyle w:val="ndice3"/>
            <w:rPr>
              <w:rFonts w:asciiTheme="minorHAnsi" w:eastAsiaTheme="minorEastAsia" w:hAnsiTheme="minorHAnsi" w:cstheme="minorBidi"/>
              <w:b w:val="0"/>
              <w:color w:val="auto"/>
              <w:lang w:eastAsia="pt-PT"/>
            </w:rPr>
          </w:pPr>
          <w:hyperlink w:anchor="_Toc45535694" w:history="1">
            <w:r w:rsidR="006C3B72" w:rsidRPr="009A539C">
              <w:rPr>
                <w:rStyle w:val="Hiperligao"/>
                <w:rFonts w:cs="Calibri"/>
              </w:rPr>
              <w:t>4.2.2</w:t>
            </w:r>
            <w:r w:rsidR="006C3B72" w:rsidRPr="009A539C">
              <w:rPr>
                <w:rFonts w:asciiTheme="minorHAnsi" w:eastAsiaTheme="minorEastAsia" w:hAnsiTheme="minorHAnsi" w:cstheme="minorBidi"/>
                <w:b w:val="0"/>
                <w:color w:val="auto"/>
                <w:lang w:eastAsia="pt-PT"/>
              </w:rPr>
              <w:tab/>
            </w:r>
            <w:r w:rsidR="006C3B72" w:rsidRPr="009A539C">
              <w:rPr>
                <w:rStyle w:val="Hiperligao"/>
                <w:rFonts w:cs="Calibri"/>
              </w:rPr>
              <w:t>Acordos de adesão publicados em 2019</w:t>
            </w:r>
            <w:r w:rsidR="006C3B72" w:rsidRPr="009A539C">
              <w:rPr>
                <w:webHidden/>
              </w:rPr>
              <w:tab/>
            </w:r>
            <w:r w:rsidR="006C3B72" w:rsidRPr="009A539C">
              <w:rPr>
                <w:webHidden/>
              </w:rPr>
              <w:fldChar w:fldCharType="begin"/>
            </w:r>
            <w:r w:rsidR="006C3B72" w:rsidRPr="009A539C">
              <w:rPr>
                <w:webHidden/>
              </w:rPr>
              <w:instrText xml:space="preserve"> PAGEREF _Toc45535694 \h </w:instrText>
            </w:r>
            <w:r w:rsidR="006C3B72" w:rsidRPr="009A539C">
              <w:rPr>
                <w:webHidden/>
              </w:rPr>
            </w:r>
            <w:r w:rsidR="006C3B72" w:rsidRPr="009A539C">
              <w:rPr>
                <w:webHidden/>
              </w:rPr>
              <w:fldChar w:fldCharType="separate"/>
            </w:r>
            <w:r w:rsidR="00D821DE">
              <w:rPr>
                <w:webHidden/>
              </w:rPr>
              <w:t>72</w:t>
            </w:r>
            <w:r w:rsidR="006C3B72" w:rsidRPr="009A539C">
              <w:rPr>
                <w:webHidden/>
              </w:rPr>
              <w:fldChar w:fldCharType="end"/>
            </w:r>
          </w:hyperlink>
        </w:p>
        <w:p w14:paraId="3DDF9D87" w14:textId="77777777" w:rsidR="006C3B72" w:rsidRPr="009A539C" w:rsidRDefault="00E742C1">
          <w:pPr>
            <w:pStyle w:val="ndice2"/>
            <w:rPr>
              <w:rFonts w:eastAsiaTheme="minorEastAsia"/>
              <w:noProof/>
              <w:lang w:eastAsia="pt-PT"/>
            </w:rPr>
          </w:pPr>
          <w:hyperlink w:anchor="_Toc45535695" w:history="1">
            <w:r w:rsidR="006C3B72" w:rsidRPr="009A539C">
              <w:rPr>
                <w:rStyle w:val="Hiperligao"/>
                <w:rFonts w:ascii="Calibri" w:hAnsi="Calibri" w:cs="Calibri"/>
                <w:b/>
                <w:noProof/>
              </w:rPr>
              <w:t>4.3</w:t>
            </w:r>
            <w:r w:rsidR="006C3B72" w:rsidRPr="009A539C">
              <w:rPr>
                <w:rFonts w:eastAsiaTheme="minorEastAsia"/>
                <w:noProof/>
                <w:lang w:eastAsia="pt-PT"/>
              </w:rPr>
              <w:tab/>
            </w:r>
            <w:r w:rsidR="006C3B72" w:rsidRPr="009A539C">
              <w:rPr>
                <w:rStyle w:val="Hiperligao"/>
                <w:rFonts w:ascii="Calibri" w:hAnsi="Calibri" w:cs="Calibri"/>
                <w:b/>
                <w:noProof/>
              </w:rPr>
              <w:t>Negociação coletiva do setor público sujeito ao Código do Trabalho</w:t>
            </w:r>
            <w:r w:rsidR="006C3B72" w:rsidRPr="009A539C">
              <w:rPr>
                <w:noProof/>
                <w:webHidden/>
              </w:rPr>
              <w:tab/>
            </w:r>
            <w:r w:rsidR="006C3B72" w:rsidRPr="009A539C">
              <w:rPr>
                <w:noProof/>
                <w:webHidden/>
              </w:rPr>
              <w:fldChar w:fldCharType="begin"/>
            </w:r>
            <w:r w:rsidR="006C3B72" w:rsidRPr="009A539C">
              <w:rPr>
                <w:noProof/>
                <w:webHidden/>
              </w:rPr>
              <w:instrText xml:space="preserve"> PAGEREF _Toc45535695 \h </w:instrText>
            </w:r>
            <w:r w:rsidR="006C3B72" w:rsidRPr="009A539C">
              <w:rPr>
                <w:noProof/>
                <w:webHidden/>
              </w:rPr>
            </w:r>
            <w:r w:rsidR="006C3B72" w:rsidRPr="009A539C">
              <w:rPr>
                <w:noProof/>
                <w:webHidden/>
              </w:rPr>
              <w:fldChar w:fldCharType="separate"/>
            </w:r>
            <w:r w:rsidR="00D821DE">
              <w:rPr>
                <w:noProof/>
                <w:webHidden/>
              </w:rPr>
              <w:t>74</w:t>
            </w:r>
            <w:r w:rsidR="006C3B72" w:rsidRPr="009A539C">
              <w:rPr>
                <w:noProof/>
                <w:webHidden/>
              </w:rPr>
              <w:fldChar w:fldCharType="end"/>
            </w:r>
          </w:hyperlink>
        </w:p>
        <w:p w14:paraId="46AB26E0" w14:textId="77777777" w:rsidR="006C3B72" w:rsidRPr="009A539C" w:rsidRDefault="00E742C1">
          <w:pPr>
            <w:pStyle w:val="ndice2"/>
            <w:rPr>
              <w:rFonts w:eastAsiaTheme="minorEastAsia"/>
              <w:noProof/>
              <w:lang w:eastAsia="pt-PT"/>
            </w:rPr>
          </w:pPr>
          <w:hyperlink w:anchor="_Toc45535696" w:history="1">
            <w:r w:rsidR="006C3B72" w:rsidRPr="009A539C">
              <w:rPr>
                <w:rStyle w:val="Hiperligao"/>
                <w:rFonts w:ascii="Calibri" w:hAnsi="Calibri" w:cs="Calibri"/>
                <w:b/>
                <w:noProof/>
              </w:rPr>
              <w:t>4.4</w:t>
            </w:r>
            <w:r w:rsidR="006C3B72" w:rsidRPr="009A539C">
              <w:rPr>
                <w:rFonts w:eastAsiaTheme="minorEastAsia"/>
                <w:noProof/>
                <w:lang w:eastAsia="pt-PT"/>
              </w:rPr>
              <w:tab/>
            </w:r>
            <w:r w:rsidR="006C3B72" w:rsidRPr="009A539C">
              <w:rPr>
                <w:rStyle w:val="Hiperligao"/>
                <w:rFonts w:ascii="Calibri" w:hAnsi="Calibri" w:cs="Calibri"/>
                <w:b/>
                <w:noProof/>
              </w:rPr>
              <w:t>Conteúdo das convenções coletivas publicadas em 2019</w:t>
            </w:r>
            <w:r w:rsidR="006C3B72" w:rsidRPr="009A539C">
              <w:rPr>
                <w:noProof/>
                <w:webHidden/>
              </w:rPr>
              <w:tab/>
            </w:r>
            <w:r w:rsidR="006C3B72" w:rsidRPr="009A539C">
              <w:rPr>
                <w:noProof/>
                <w:webHidden/>
              </w:rPr>
              <w:fldChar w:fldCharType="begin"/>
            </w:r>
            <w:r w:rsidR="006C3B72" w:rsidRPr="009A539C">
              <w:rPr>
                <w:noProof/>
                <w:webHidden/>
              </w:rPr>
              <w:instrText xml:space="preserve"> PAGEREF _Toc45535696 \h </w:instrText>
            </w:r>
            <w:r w:rsidR="006C3B72" w:rsidRPr="009A539C">
              <w:rPr>
                <w:noProof/>
                <w:webHidden/>
              </w:rPr>
            </w:r>
            <w:r w:rsidR="006C3B72" w:rsidRPr="009A539C">
              <w:rPr>
                <w:noProof/>
                <w:webHidden/>
              </w:rPr>
              <w:fldChar w:fldCharType="separate"/>
            </w:r>
            <w:r w:rsidR="00D821DE">
              <w:rPr>
                <w:noProof/>
                <w:webHidden/>
              </w:rPr>
              <w:t>79</w:t>
            </w:r>
            <w:r w:rsidR="006C3B72" w:rsidRPr="009A539C">
              <w:rPr>
                <w:noProof/>
                <w:webHidden/>
              </w:rPr>
              <w:fldChar w:fldCharType="end"/>
            </w:r>
          </w:hyperlink>
        </w:p>
        <w:p w14:paraId="2EFF2941" w14:textId="77777777" w:rsidR="006C3B72" w:rsidRPr="009A539C" w:rsidRDefault="00E742C1">
          <w:pPr>
            <w:pStyle w:val="ndice3"/>
            <w:rPr>
              <w:rFonts w:asciiTheme="minorHAnsi" w:eastAsiaTheme="minorEastAsia" w:hAnsiTheme="minorHAnsi" w:cstheme="minorBidi"/>
              <w:b w:val="0"/>
              <w:color w:val="auto"/>
              <w:lang w:eastAsia="pt-PT"/>
            </w:rPr>
          </w:pPr>
          <w:hyperlink w:anchor="_Toc45535697" w:history="1">
            <w:r w:rsidR="006C3B72" w:rsidRPr="009A539C">
              <w:rPr>
                <w:rStyle w:val="Hiperligao"/>
                <w:rFonts w:cs="Calibri"/>
              </w:rPr>
              <w:t>4.4.1</w:t>
            </w:r>
            <w:r w:rsidR="006C3B72" w:rsidRPr="009A539C">
              <w:rPr>
                <w:rFonts w:asciiTheme="minorHAnsi" w:eastAsiaTheme="minorEastAsia" w:hAnsiTheme="minorHAnsi" w:cstheme="minorBidi"/>
                <w:b w:val="0"/>
                <w:color w:val="auto"/>
                <w:lang w:eastAsia="pt-PT"/>
              </w:rPr>
              <w:tab/>
            </w:r>
            <w:r w:rsidR="006C3B72" w:rsidRPr="009A539C">
              <w:rPr>
                <w:rStyle w:val="Hiperligao"/>
                <w:rFonts w:cs="Calibri"/>
              </w:rPr>
              <w:t>Introdução</w:t>
            </w:r>
            <w:r w:rsidR="006C3B72" w:rsidRPr="009A539C">
              <w:rPr>
                <w:webHidden/>
              </w:rPr>
              <w:tab/>
            </w:r>
            <w:r w:rsidR="006C3B72" w:rsidRPr="009A539C">
              <w:rPr>
                <w:webHidden/>
              </w:rPr>
              <w:fldChar w:fldCharType="begin"/>
            </w:r>
            <w:r w:rsidR="006C3B72" w:rsidRPr="009A539C">
              <w:rPr>
                <w:webHidden/>
              </w:rPr>
              <w:instrText xml:space="preserve"> PAGEREF _Toc45535697 \h </w:instrText>
            </w:r>
            <w:r w:rsidR="006C3B72" w:rsidRPr="009A539C">
              <w:rPr>
                <w:webHidden/>
              </w:rPr>
            </w:r>
            <w:r w:rsidR="006C3B72" w:rsidRPr="009A539C">
              <w:rPr>
                <w:webHidden/>
              </w:rPr>
              <w:fldChar w:fldCharType="separate"/>
            </w:r>
            <w:r w:rsidR="00D821DE">
              <w:rPr>
                <w:webHidden/>
              </w:rPr>
              <w:t>79</w:t>
            </w:r>
            <w:r w:rsidR="006C3B72" w:rsidRPr="009A539C">
              <w:rPr>
                <w:webHidden/>
              </w:rPr>
              <w:fldChar w:fldCharType="end"/>
            </w:r>
          </w:hyperlink>
        </w:p>
        <w:p w14:paraId="0DDE8034" w14:textId="77777777" w:rsidR="006C3B72" w:rsidRPr="009A539C" w:rsidRDefault="00E742C1">
          <w:pPr>
            <w:pStyle w:val="ndice3"/>
            <w:rPr>
              <w:rFonts w:asciiTheme="minorHAnsi" w:eastAsiaTheme="minorEastAsia" w:hAnsiTheme="minorHAnsi" w:cstheme="minorBidi"/>
              <w:b w:val="0"/>
              <w:color w:val="auto"/>
              <w:lang w:eastAsia="pt-PT"/>
            </w:rPr>
          </w:pPr>
          <w:hyperlink w:anchor="_Toc45535698" w:history="1">
            <w:r w:rsidR="006C3B72" w:rsidRPr="009A539C">
              <w:rPr>
                <w:rStyle w:val="Hiperligao"/>
                <w:rFonts w:cs="Calibri"/>
              </w:rPr>
              <w:t>4.4.2</w:t>
            </w:r>
            <w:r w:rsidR="006C3B72" w:rsidRPr="009A539C">
              <w:rPr>
                <w:rFonts w:asciiTheme="minorHAnsi" w:eastAsiaTheme="minorEastAsia" w:hAnsiTheme="minorHAnsi" w:cstheme="minorBidi"/>
                <w:b w:val="0"/>
                <w:color w:val="auto"/>
                <w:lang w:eastAsia="pt-PT"/>
              </w:rPr>
              <w:tab/>
            </w:r>
            <w:r w:rsidR="006C3B72" w:rsidRPr="009A539C">
              <w:rPr>
                <w:rStyle w:val="Hiperligao"/>
                <w:rFonts w:cs="Calibri"/>
              </w:rPr>
              <w:t>Análise geral  2019</w:t>
            </w:r>
            <w:r w:rsidR="006C3B72" w:rsidRPr="009A539C">
              <w:rPr>
                <w:webHidden/>
              </w:rPr>
              <w:tab/>
            </w:r>
            <w:r w:rsidR="006C3B72" w:rsidRPr="009A539C">
              <w:rPr>
                <w:webHidden/>
              </w:rPr>
              <w:fldChar w:fldCharType="begin"/>
            </w:r>
            <w:r w:rsidR="006C3B72" w:rsidRPr="009A539C">
              <w:rPr>
                <w:webHidden/>
              </w:rPr>
              <w:instrText xml:space="preserve"> PAGEREF _Toc45535698 \h </w:instrText>
            </w:r>
            <w:r w:rsidR="006C3B72" w:rsidRPr="009A539C">
              <w:rPr>
                <w:webHidden/>
              </w:rPr>
            </w:r>
            <w:r w:rsidR="006C3B72" w:rsidRPr="009A539C">
              <w:rPr>
                <w:webHidden/>
              </w:rPr>
              <w:fldChar w:fldCharType="separate"/>
            </w:r>
            <w:r w:rsidR="00D821DE">
              <w:rPr>
                <w:webHidden/>
              </w:rPr>
              <w:t>79</w:t>
            </w:r>
            <w:r w:rsidR="006C3B72" w:rsidRPr="009A539C">
              <w:rPr>
                <w:webHidden/>
              </w:rPr>
              <w:fldChar w:fldCharType="end"/>
            </w:r>
          </w:hyperlink>
        </w:p>
        <w:p w14:paraId="2BE8F959" w14:textId="77777777" w:rsidR="006C3B72" w:rsidRPr="009A539C" w:rsidRDefault="00E742C1">
          <w:pPr>
            <w:pStyle w:val="ndice3"/>
            <w:rPr>
              <w:rFonts w:asciiTheme="minorHAnsi" w:eastAsiaTheme="minorEastAsia" w:hAnsiTheme="minorHAnsi" w:cstheme="minorBidi"/>
              <w:b w:val="0"/>
              <w:color w:val="auto"/>
              <w:lang w:eastAsia="pt-PT"/>
            </w:rPr>
          </w:pPr>
          <w:hyperlink w:anchor="_Toc45535699" w:history="1">
            <w:r w:rsidR="006C3B72" w:rsidRPr="009A539C">
              <w:rPr>
                <w:rStyle w:val="Hiperligao"/>
                <w:rFonts w:cs="Calibri"/>
              </w:rPr>
              <w:t>4.4.3</w:t>
            </w:r>
            <w:r w:rsidR="006C3B72" w:rsidRPr="009A539C">
              <w:rPr>
                <w:rFonts w:asciiTheme="minorHAnsi" w:eastAsiaTheme="minorEastAsia" w:hAnsiTheme="minorHAnsi" w:cstheme="minorBidi"/>
                <w:b w:val="0"/>
                <w:color w:val="auto"/>
                <w:lang w:eastAsia="pt-PT"/>
              </w:rPr>
              <w:tab/>
            </w:r>
            <w:r w:rsidR="006C3B72" w:rsidRPr="009A539C">
              <w:rPr>
                <w:rStyle w:val="Hiperligao"/>
                <w:rFonts w:cs="Calibri"/>
              </w:rPr>
              <w:t>Conteúdos da convenção coletiva recomendados pelo artigo 492.º do Código do Trabalho</w:t>
            </w:r>
            <w:r w:rsidR="006C3B72" w:rsidRPr="009A539C">
              <w:rPr>
                <w:webHidden/>
              </w:rPr>
              <w:tab/>
            </w:r>
            <w:r w:rsidR="006C3B72" w:rsidRPr="009A539C">
              <w:rPr>
                <w:webHidden/>
              </w:rPr>
              <w:fldChar w:fldCharType="begin"/>
            </w:r>
            <w:r w:rsidR="006C3B72" w:rsidRPr="009A539C">
              <w:rPr>
                <w:webHidden/>
              </w:rPr>
              <w:instrText xml:space="preserve"> PAGEREF _Toc45535699 \h </w:instrText>
            </w:r>
            <w:r w:rsidR="006C3B72" w:rsidRPr="009A539C">
              <w:rPr>
                <w:webHidden/>
              </w:rPr>
            </w:r>
            <w:r w:rsidR="006C3B72" w:rsidRPr="009A539C">
              <w:rPr>
                <w:webHidden/>
              </w:rPr>
              <w:fldChar w:fldCharType="separate"/>
            </w:r>
            <w:r w:rsidR="00D821DE">
              <w:rPr>
                <w:webHidden/>
              </w:rPr>
              <w:t>84</w:t>
            </w:r>
            <w:r w:rsidR="006C3B72" w:rsidRPr="009A539C">
              <w:rPr>
                <w:webHidden/>
              </w:rPr>
              <w:fldChar w:fldCharType="end"/>
            </w:r>
          </w:hyperlink>
        </w:p>
        <w:p w14:paraId="23B2967D" w14:textId="77777777" w:rsidR="006C3B72" w:rsidRPr="009A539C" w:rsidRDefault="00E742C1">
          <w:pPr>
            <w:pStyle w:val="ndice4"/>
            <w:rPr>
              <w:rFonts w:asciiTheme="minorHAnsi" w:eastAsiaTheme="minorEastAsia" w:hAnsiTheme="minorHAnsi" w:cstheme="minorBidi"/>
              <w:lang w:eastAsia="pt-PT"/>
            </w:rPr>
          </w:pPr>
          <w:hyperlink w:anchor="_Toc45535700" w:history="1">
            <w:r w:rsidR="006C3B72" w:rsidRPr="009A539C">
              <w:rPr>
                <w:rStyle w:val="Hiperligao"/>
              </w:rPr>
              <w:t>4.4.3.1</w:t>
            </w:r>
            <w:r w:rsidR="006C3B72" w:rsidRPr="009A539C">
              <w:rPr>
                <w:rFonts w:asciiTheme="minorHAnsi" w:eastAsiaTheme="minorEastAsia" w:hAnsiTheme="minorHAnsi" w:cstheme="minorBidi"/>
                <w:lang w:eastAsia="pt-PT"/>
              </w:rPr>
              <w:tab/>
            </w:r>
            <w:r w:rsidR="006C3B72" w:rsidRPr="009A539C">
              <w:rPr>
                <w:rStyle w:val="Hiperligao"/>
              </w:rPr>
              <w:t>Introdução</w:t>
            </w:r>
            <w:r w:rsidR="006C3B72" w:rsidRPr="009A539C">
              <w:rPr>
                <w:webHidden/>
              </w:rPr>
              <w:tab/>
            </w:r>
            <w:r w:rsidR="006C3B72" w:rsidRPr="009A539C">
              <w:rPr>
                <w:webHidden/>
              </w:rPr>
              <w:fldChar w:fldCharType="begin"/>
            </w:r>
            <w:r w:rsidR="006C3B72" w:rsidRPr="009A539C">
              <w:rPr>
                <w:webHidden/>
              </w:rPr>
              <w:instrText xml:space="preserve"> PAGEREF _Toc45535700 \h </w:instrText>
            </w:r>
            <w:r w:rsidR="006C3B72" w:rsidRPr="009A539C">
              <w:rPr>
                <w:webHidden/>
              </w:rPr>
            </w:r>
            <w:r w:rsidR="006C3B72" w:rsidRPr="009A539C">
              <w:rPr>
                <w:webHidden/>
              </w:rPr>
              <w:fldChar w:fldCharType="separate"/>
            </w:r>
            <w:r w:rsidR="00D821DE">
              <w:rPr>
                <w:webHidden/>
              </w:rPr>
              <w:t>84</w:t>
            </w:r>
            <w:r w:rsidR="006C3B72" w:rsidRPr="009A539C">
              <w:rPr>
                <w:webHidden/>
              </w:rPr>
              <w:fldChar w:fldCharType="end"/>
            </w:r>
          </w:hyperlink>
        </w:p>
        <w:p w14:paraId="1543F402" w14:textId="77777777" w:rsidR="006C3B72" w:rsidRPr="009A539C" w:rsidRDefault="00E742C1">
          <w:pPr>
            <w:pStyle w:val="ndice4"/>
            <w:rPr>
              <w:rFonts w:asciiTheme="minorHAnsi" w:eastAsiaTheme="minorEastAsia" w:hAnsiTheme="minorHAnsi" w:cstheme="minorBidi"/>
              <w:lang w:eastAsia="pt-PT"/>
            </w:rPr>
          </w:pPr>
          <w:hyperlink w:anchor="_Toc45535701" w:history="1">
            <w:r w:rsidR="006C3B72" w:rsidRPr="009A539C">
              <w:rPr>
                <w:rStyle w:val="Hiperligao"/>
              </w:rPr>
              <w:t>4.4.3.2</w:t>
            </w:r>
            <w:r w:rsidR="006C3B72" w:rsidRPr="009A539C">
              <w:rPr>
                <w:rFonts w:asciiTheme="minorHAnsi" w:eastAsiaTheme="minorEastAsia" w:hAnsiTheme="minorHAnsi" w:cstheme="minorBidi"/>
                <w:lang w:eastAsia="pt-PT"/>
              </w:rPr>
              <w:tab/>
            </w:r>
            <w:r w:rsidR="006C3B72" w:rsidRPr="009A539C">
              <w:rPr>
                <w:rStyle w:val="Hiperligao"/>
              </w:rPr>
              <w:t>Matérias recomendadas pelo artigo 492.º, n.ºs 2 e 3, CP</w:t>
            </w:r>
            <w:r w:rsidR="006C3B72" w:rsidRPr="009A539C">
              <w:rPr>
                <w:webHidden/>
              </w:rPr>
              <w:tab/>
            </w:r>
            <w:r w:rsidR="006C3B72" w:rsidRPr="009A539C">
              <w:rPr>
                <w:webHidden/>
              </w:rPr>
              <w:fldChar w:fldCharType="begin"/>
            </w:r>
            <w:r w:rsidR="006C3B72" w:rsidRPr="009A539C">
              <w:rPr>
                <w:webHidden/>
              </w:rPr>
              <w:instrText xml:space="preserve"> PAGEREF _Toc45535701 \h </w:instrText>
            </w:r>
            <w:r w:rsidR="006C3B72" w:rsidRPr="009A539C">
              <w:rPr>
                <w:webHidden/>
              </w:rPr>
            </w:r>
            <w:r w:rsidR="006C3B72" w:rsidRPr="009A539C">
              <w:rPr>
                <w:webHidden/>
              </w:rPr>
              <w:fldChar w:fldCharType="separate"/>
            </w:r>
            <w:r w:rsidR="00D821DE">
              <w:rPr>
                <w:webHidden/>
              </w:rPr>
              <w:t>85</w:t>
            </w:r>
            <w:r w:rsidR="006C3B72" w:rsidRPr="009A539C">
              <w:rPr>
                <w:webHidden/>
              </w:rPr>
              <w:fldChar w:fldCharType="end"/>
            </w:r>
          </w:hyperlink>
        </w:p>
        <w:p w14:paraId="6AF4A5D9" w14:textId="77777777" w:rsidR="006C3B72" w:rsidRPr="009A539C" w:rsidRDefault="00E742C1">
          <w:pPr>
            <w:pStyle w:val="ndice3"/>
            <w:rPr>
              <w:rFonts w:asciiTheme="minorHAnsi" w:eastAsiaTheme="minorEastAsia" w:hAnsiTheme="minorHAnsi" w:cstheme="minorBidi"/>
              <w:b w:val="0"/>
              <w:color w:val="auto"/>
              <w:lang w:eastAsia="pt-PT"/>
            </w:rPr>
          </w:pPr>
          <w:hyperlink w:anchor="_Toc45535702" w:history="1">
            <w:r w:rsidR="006C3B72" w:rsidRPr="009A539C">
              <w:rPr>
                <w:rStyle w:val="Hiperligao"/>
                <w:rFonts w:cs="Calibri"/>
              </w:rPr>
              <w:t>4.4.4</w:t>
            </w:r>
            <w:r w:rsidR="006C3B72" w:rsidRPr="009A539C">
              <w:rPr>
                <w:rFonts w:asciiTheme="minorHAnsi" w:eastAsiaTheme="minorEastAsia" w:hAnsiTheme="minorHAnsi" w:cstheme="minorBidi"/>
                <w:b w:val="0"/>
                <w:color w:val="auto"/>
                <w:lang w:eastAsia="pt-PT"/>
              </w:rPr>
              <w:tab/>
            </w:r>
            <w:r w:rsidR="006C3B72" w:rsidRPr="009A539C">
              <w:rPr>
                <w:rStyle w:val="Hiperligao"/>
                <w:rFonts w:cs="Calibri"/>
              </w:rPr>
              <w:t>Aplicação das convenções 2019</w:t>
            </w:r>
            <w:r w:rsidR="006C3B72" w:rsidRPr="009A539C">
              <w:rPr>
                <w:webHidden/>
              </w:rPr>
              <w:tab/>
            </w:r>
            <w:r w:rsidR="006C3B72" w:rsidRPr="009A539C">
              <w:rPr>
                <w:webHidden/>
              </w:rPr>
              <w:fldChar w:fldCharType="begin"/>
            </w:r>
            <w:r w:rsidR="006C3B72" w:rsidRPr="009A539C">
              <w:rPr>
                <w:webHidden/>
              </w:rPr>
              <w:instrText xml:space="preserve"> PAGEREF _Toc45535702 \h </w:instrText>
            </w:r>
            <w:r w:rsidR="006C3B72" w:rsidRPr="009A539C">
              <w:rPr>
                <w:webHidden/>
              </w:rPr>
            </w:r>
            <w:r w:rsidR="006C3B72" w:rsidRPr="009A539C">
              <w:rPr>
                <w:webHidden/>
              </w:rPr>
              <w:fldChar w:fldCharType="separate"/>
            </w:r>
            <w:r w:rsidR="00D821DE">
              <w:rPr>
                <w:webHidden/>
              </w:rPr>
              <w:t>97</w:t>
            </w:r>
            <w:r w:rsidR="006C3B72" w:rsidRPr="009A539C">
              <w:rPr>
                <w:webHidden/>
              </w:rPr>
              <w:fldChar w:fldCharType="end"/>
            </w:r>
          </w:hyperlink>
        </w:p>
        <w:p w14:paraId="468B6DB8" w14:textId="77777777" w:rsidR="006C3B72" w:rsidRPr="009A539C" w:rsidRDefault="00E742C1">
          <w:pPr>
            <w:pStyle w:val="ndice4"/>
            <w:rPr>
              <w:rFonts w:asciiTheme="minorHAnsi" w:eastAsiaTheme="minorEastAsia" w:hAnsiTheme="minorHAnsi" w:cstheme="minorBidi"/>
              <w:lang w:eastAsia="pt-PT"/>
            </w:rPr>
          </w:pPr>
          <w:hyperlink w:anchor="_Toc45535703" w:history="1">
            <w:r w:rsidR="006C3B72" w:rsidRPr="009A539C">
              <w:rPr>
                <w:rStyle w:val="Hiperligao"/>
              </w:rPr>
              <w:t>4.4.4.1</w:t>
            </w:r>
            <w:r w:rsidR="006C3B72" w:rsidRPr="009A539C">
              <w:rPr>
                <w:rFonts w:asciiTheme="minorHAnsi" w:eastAsiaTheme="minorEastAsia" w:hAnsiTheme="minorHAnsi" w:cstheme="minorBidi"/>
                <w:lang w:eastAsia="pt-PT"/>
              </w:rPr>
              <w:tab/>
            </w:r>
            <w:r w:rsidR="006C3B72" w:rsidRPr="009A539C">
              <w:rPr>
                <w:rStyle w:val="Hiperligao"/>
              </w:rPr>
              <w:t>Âmbito geográfico de aplicação</w:t>
            </w:r>
            <w:r w:rsidR="006C3B72" w:rsidRPr="009A539C">
              <w:rPr>
                <w:webHidden/>
              </w:rPr>
              <w:tab/>
            </w:r>
            <w:r w:rsidR="006C3B72" w:rsidRPr="009A539C">
              <w:rPr>
                <w:webHidden/>
              </w:rPr>
              <w:fldChar w:fldCharType="begin"/>
            </w:r>
            <w:r w:rsidR="006C3B72" w:rsidRPr="009A539C">
              <w:rPr>
                <w:webHidden/>
              </w:rPr>
              <w:instrText xml:space="preserve"> PAGEREF _Toc45535703 \h </w:instrText>
            </w:r>
            <w:r w:rsidR="006C3B72" w:rsidRPr="009A539C">
              <w:rPr>
                <w:webHidden/>
              </w:rPr>
            </w:r>
            <w:r w:rsidR="006C3B72" w:rsidRPr="009A539C">
              <w:rPr>
                <w:webHidden/>
              </w:rPr>
              <w:fldChar w:fldCharType="separate"/>
            </w:r>
            <w:r w:rsidR="00D821DE">
              <w:rPr>
                <w:webHidden/>
              </w:rPr>
              <w:t>97</w:t>
            </w:r>
            <w:r w:rsidR="006C3B72" w:rsidRPr="009A539C">
              <w:rPr>
                <w:webHidden/>
              </w:rPr>
              <w:fldChar w:fldCharType="end"/>
            </w:r>
          </w:hyperlink>
        </w:p>
        <w:p w14:paraId="6DFCF74B" w14:textId="77777777" w:rsidR="006C3B72" w:rsidRPr="009A539C" w:rsidRDefault="00E742C1">
          <w:pPr>
            <w:pStyle w:val="ndice4"/>
            <w:rPr>
              <w:rFonts w:asciiTheme="minorHAnsi" w:eastAsiaTheme="minorEastAsia" w:hAnsiTheme="minorHAnsi" w:cstheme="minorBidi"/>
              <w:lang w:eastAsia="pt-PT"/>
            </w:rPr>
          </w:pPr>
          <w:hyperlink w:anchor="_Toc45535704" w:history="1">
            <w:r w:rsidR="006C3B72" w:rsidRPr="009A539C">
              <w:rPr>
                <w:rStyle w:val="Hiperligao"/>
              </w:rPr>
              <w:t>4.4.4.2</w:t>
            </w:r>
            <w:r w:rsidR="006C3B72" w:rsidRPr="009A539C">
              <w:rPr>
                <w:rFonts w:asciiTheme="minorHAnsi" w:eastAsiaTheme="minorEastAsia" w:hAnsiTheme="minorHAnsi" w:cstheme="minorBidi"/>
                <w:lang w:eastAsia="pt-PT"/>
              </w:rPr>
              <w:tab/>
            </w:r>
            <w:r w:rsidR="006C3B72" w:rsidRPr="009A539C">
              <w:rPr>
                <w:rStyle w:val="Hiperligao"/>
              </w:rPr>
              <w:t>Âmbito pessoal de aplicação e cláusulas de comparticipação nos encargos da negociação</w:t>
            </w:r>
            <w:r w:rsidR="006C3B72" w:rsidRPr="009A539C">
              <w:rPr>
                <w:webHidden/>
              </w:rPr>
              <w:tab/>
            </w:r>
            <w:r w:rsidR="006C3B72" w:rsidRPr="009A539C">
              <w:rPr>
                <w:webHidden/>
              </w:rPr>
              <w:fldChar w:fldCharType="begin"/>
            </w:r>
            <w:r w:rsidR="006C3B72" w:rsidRPr="009A539C">
              <w:rPr>
                <w:webHidden/>
              </w:rPr>
              <w:instrText xml:space="preserve"> PAGEREF _Toc45535704 \h </w:instrText>
            </w:r>
            <w:r w:rsidR="006C3B72" w:rsidRPr="009A539C">
              <w:rPr>
                <w:webHidden/>
              </w:rPr>
            </w:r>
            <w:r w:rsidR="006C3B72" w:rsidRPr="009A539C">
              <w:rPr>
                <w:webHidden/>
              </w:rPr>
              <w:fldChar w:fldCharType="separate"/>
            </w:r>
            <w:r w:rsidR="00D821DE">
              <w:rPr>
                <w:webHidden/>
              </w:rPr>
              <w:t>98</w:t>
            </w:r>
            <w:r w:rsidR="006C3B72" w:rsidRPr="009A539C">
              <w:rPr>
                <w:webHidden/>
              </w:rPr>
              <w:fldChar w:fldCharType="end"/>
            </w:r>
          </w:hyperlink>
        </w:p>
        <w:p w14:paraId="1CA7F514" w14:textId="77777777" w:rsidR="006C3B72" w:rsidRPr="009A539C" w:rsidRDefault="00E742C1">
          <w:pPr>
            <w:pStyle w:val="ndice4"/>
            <w:rPr>
              <w:rFonts w:asciiTheme="minorHAnsi" w:eastAsiaTheme="minorEastAsia" w:hAnsiTheme="minorHAnsi" w:cstheme="minorBidi"/>
              <w:lang w:eastAsia="pt-PT"/>
            </w:rPr>
          </w:pPr>
          <w:hyperlink w:anchor="_Toc45535705" w:history="1">
            <w:r w:rsidR="006C3B72" w:rsidRPr="009A539C">
              <w:rPr>
                <w:rStyle w:val="Hiperligao"/>
              </w:rPr>
              <w:t>4.4.4.3</w:t>
            </w:r>
            <w:r w:rsidR="006C3B72" w:rsidRPr="009A539C">
              <w:rPr>
                <w:rFonts w:asciiTheme="minorHAnsi" w:eastAsiaTheme="minorEastAsia" w:hAnsiTheme="minorHAnsi" w:cstheme="minorBidi"/>
                <w:lang w:eastAsia="pt-PT"/>
              </w:rPr>
              <w:tab/>
            </w:r>
            <w:r w:rsidR="006C3B72" w:rsidRPr="009A539C">
              <w:rPr>
                <w:rStyle w:val="Hiperligao"/>
              </w:rPr>
              <w:t>Âmbito temporal de aplicação</w:t>
            </w:r>
            <w:r w:rsidR="006C3B72" w:rsidRPr="009A539C">
              <w:rPr>
                <w:webHidden/>
              </w:rPr>
              <w:tab/>
            </w:r>
            <w:r w:rsidR="006C3B72" w:rsidRPr="009A539C">
              <w:rPr>
                <w:webHidden/>
              </w:rPr>
              <w:fldChar w:fldCharType="begin"/>
            </w:r>
            <w:r w:rsidR="006C3B72" w:rsidRPr="009A539C">
              <w:rPr>
                <w:webHidden/>
              </w:rPr>
              <w:instrText xml:space="preserve"> PAGEREF _Toc45535705 \h </w:instrText>
            </w:r>
            <w:r w:rsidR="006C3B72" w:rsidRPr="009A539C">
              <w:rPr>
                <w:webHidden/>
              </w:rPr>
            </w:r>
            <w:r w:rsidR="006C3B72" w:rsidRPr="009A539C">
              <w:rPr>
                <w:webHidden/>
              </w:rPr>
              <w:fldChar w:fldCharType="separate"/>
            </w:r>
            <w:r w:rsidR="00D821DE">
              <w:rPr>
                <w:webHidden/>
              </w:rPr>
              <w:t>100</w:t>
            </w:r>
            <w:r w:rsidR="006C3B72" w:rsidRPr="009A539C">
              <w:rPr>
                <w:webHidden/>
              </w:rPr>
              <w:fldChar w:fldCharType="end"/>
            </w:r>
          </w:hyperlink>
        </w:p>
        <w:p w14:paraId="7271CB6A" w14:textId="77777777" w:rsidR="006C3B72" w:rsidRPr="009A539C" w:rsidRDefault="00E742C1">
          <w:pPr>
            <w:pStyle w:val="ndice4"/>
            <w:rPr>
              <w:rFonts w:asciiTheme="minorHAnsi" w:eastAsiaTheme="minorEastAsia" w:hAnsiTheme="minorHAnsi" w:cstheme="minorBidi"/>
              <w:lang w:eastAsia="pt-PT"/>
            </w:rPr>
          </w:pPr>
          <w:hyperlink w:anchor="_Toc45535706" w:history="1">
            <w:r w:rsidR="006C3B72" w:rsidRPr="009A539C">
              <w:rPr>
                <w:rStyle w:val="Hiperligao"/>
              </w:rPr>
              <w:t>4.4.4.4</w:t>
            </w:r>
            <w:r w:rsidR="006C3B72" w:rsidRPr="009A539C">
              <w:rPr>
                <w:rFonts w:asciiTheme="minorHAnsi" w:eastAsiaTheme="minorEastAsia" w:hAnsiTheme="minorHAnsi" w:cstheme="minorBidi"/>
                <w:lang w:eastAsia="pt-PT"/>
              </w:rPr>
              <w:tab/>
            </w:r>
            <w:r w:rsidR="006C3B72" w:rsidRPr="009A539C">
              <w:rPr>
                <w:rStyle w:val="Hiperligao"/>
              </w:rPr>
              <w:t>Caducidade e sobrevigência</w:t>
            </w:r>
            <w:r w:rsidR="006C3B72" w:rsidRPr="009A539C">
              <w:rPr>
                <w:webHidden/>
              </w:rPr>
              <w:tab/>
            </w:r>
            <w:r w:rsidR="006C3B72" w:rsidRPr="009A539C">
              <w:rPr>
                <w:webHidden/>
              </w:rPr>
              <w:fldChar w:fldCharType="begin"/>
            </w:r>
            <w:r w:rsidR="006C3B72" w:rsidRPr="009A539C">
              <w:rPr>
                <w:webHidden/>
              </w:rPr>
              <w:instrText xml:space="preserve"> PAGEREF _Toc45535706 \h </w:instrText>
            </w:r>
            <w:r w:rsidR="006C3B72" w:rsidRPr="009A539C">
              <w:rPr>
                <w:webHidden/>
              </w:rPr>
            </w:r>
            <w:r w:rsidR="006C3B72" w:rsidRPr="009A539C">
              <w:rPr>
                <w:webHidden/>
              </w:rPr>
              <w:fldChar w:fldCharType="separate"/>
            </w:r>
            <w:r w:rsidR="00D821DE">
              <w:rPr>
                <w:webHidden/>
              </w:rPr>
              <w:t>105</w:t>
            </w:r>
            <w:r w:rsidR="006C3B72" w:rsidRPr="009A539C">
              <w:rPr>
                <w:webHidden/>
              </w:rPr>
              <w:fldChar w:fldCharType="end"/>
            </w:r>
          </w:hyperlink>
        </w:p>
        <w:p w14:paraId="1295A8D5" w14:textId="77777777" w:rsidR="006C3B72" w:rsidRPr="009A539C" w:rsidRDefault="00E742C1">
          <w:pPr>
            <w:pStyle w:val="ndice4"/>
            <w:rPr>
              <w:rFonts w:asciiTheme="minorHAnsi" w:eastAsiaTheme="minorEastAsia" w:hAnsiTheme="minorHAnsi" w:cstheme="minorBidi"/>
              <w:lang w:eastAsia="pt-PT"/>
            </w:rPr>
          </w:pPr>
          <w:hyperlink w:anchor="_Toc45535707" w:history="1">
            <w:r w:rsidR="006C3B72" w:rsidRPr="009A539C">
              <w:rPr>
                <w:rStyle w:val="Hiperligao"/>
              </w:rPr>
              <w:t>4.4.4.5</w:t>
            </w:r>
            <w:r w:rsidR="006C3B72" w:rsidRPr="009A539C">
              <w:rPr>
                <w:rFonts w:asciiTheme="minorHAnsi" w:eastAsiaTheme="minorEastAsia" w:hAnsiTheme="minorHAnsi" w:cstheme="minorBidi"/>
                <w:lang w:eastAsia="pt-PT"/>
              </w:rPr>
              <w:tab/>
            </w:r>
            <w:r w:rsidR="006C3B72" w:rsidRPr="009A539C">
              <w:rPr>
                <w:rStyle w:val="Hiperligao"/>
              </w:rPr>
              <w:t>Aplicação de diferentes convenções - cláusulas de articulação ou conjugação de disposições de várias convenções</w:t>
            </w:r>
            <w:r w:rsidR="006C3B72" w:rsidRPr="009A539C">
              <w:rPr>
                <w:webHidden/>
              </w:rPr>
              <w:tab/>
            </w:r>
            <w:r w:rsidR="006C3B72" w:rsidRPr="009A539C">
              <w:rPr>
                <w:webHidden/>
              </w:rPr>
              <w:fldChar w:fldCharType="begin"/>
            </w:r>
            <w:r w:rsidR="006C3B72" w:rsidRPr="009A539C">
              <w:rPr>
                <w:webHidden/>
              </w:rPr>
              <w:instrText xml:space="preserve"> PAGEREF _Toc45535707 \h </w:instrText>
            </w:r>
            <w:r w:rsidR="006C3B72" w:rsidRPr="009A539C">
              <w:rPr>
                <w:webHidden/>
              </w:rPr>
            </w:r>
            <w:r w:rsidR="006C3B72" w:rsidRPr="009A539C">
              <w:rPr>
                <w:webHidden/>
              </w:rPr>
              <w:fldChar w:fldCharType="separate"/>
            </w:r>
            <w:r w:rsidR="00D821DE">
              <w:rPr>
                <w:webHidden/>
              </w:rPr>
              <w:t>110</w:t>
            </w:r>
            <w:r w:rsidR="006C3B72" w:rsidRPr="009A539C">
              <w:rPr>
                <w:webHidden/>
              </w:rPr>
              <w:fldChar w:fldCharType="end"/>
            </w:r>
          </w:hyperlink>
        </w:p>
        <w:p w14:paraId="127AA8A8" w14:textId="77777777" w:rsidR="006C3B72" w:rsidRPr="009A539C" w:rsidRDefault="00E742C1">
          <w:pPr>
            <w:pStyle w:val="ndice4"/>
            <w:rPr>
              <w:rFonts w:asciiTheme="minorHAnsi" w:eastAsiaTheme="minorEastAsia" w:hAnsiTheme="minorHAnsi" w:cstheme="minorBidi"/>
              <w:lang w:eastAsia="pt-PT"/>
            </w:rPr>
          </w:pPr>
          <w:hyperlink w:anchor="_Toc45535708" w:history="1">
            <w:r w:rsidR="006C3B72" w:rsidRPr="009A539C">
              <w:rPr>
                <w:rStyle w:val="Hiperligao"/>
              </w:rPr>
              <w:t>4.4.4.6</w:t>
            </w:r>
            <w:r w:rsidR="006C3B72" w:rsidRPr="009A539C">
              <w:rPr>
                <w:rFonts w:asciiTheme="minorHAnsi" w:eastAsiaTheme="minorEastAsia" w:hAnsiTheme="minorHAnsi" w:cstheme="minorBidi"/>
                <w:lang w:eastAsia="pt-PT"/>
              </w:rPr>
              <w:tab/>
            </w:r>
            <w:r w:rsidR="006C3B72" w:rsidRPr="009A539C">
              <w:rPr>
                <w:rStyle w:val="Hiperligao"/>
              </w:rPr>
              <w:t>Regulamentos e acordos complementares</w:t>
            </w:r>
            <w:r w:rsidR="006C3B72" w:rsidRPr="009A539C">
              <w:rPr>
                <w:webHidden/>
              </w:rPr>
              <w:tab/>
            </w:r>
            <w:r w:rsidR="006C3B72" w:rsidRPr="009A539C">
              <w:rPr>
                <w:webHidden/>
              </w:rPr>
              <w:fldChar w:fldCharType="begin"/>
            </w:r>
            <w:r w:rsidR="006C3B72" w:rsidRPr="009A539C">
              <w:rPr>
                <w:webHidden/>
              </w:rPr>
              <w:instrText xml:space="preserve"> PAGEREF _Toc45535708 \h </w:instrText>
            </w:r>
            <w:r w:rsidR="006C3B72" w:rsidRPr="009A539C">
              <w:rPr>
                <w:webHidden/>
              </w:rPr>
            </w:r>
            <w:r w:rsidR="006C3B72" w:rsidRPr="009A539C">
              <w:rPr>
                <w:webHidden/>
              </w:rPr>
              <w:fldChar w:fldCharType="separate"/>
            </w:r>
            <w:r w:rsidR="00D821DE">
              <w:rPr>
                <w:webHidden/>
              </w:rPr>
              <w:t>113</w:t>
            </w:r>
            <w:r w:rsidR="006C3B72" w:rsidRPr="009A539C">
              <w:rPr>
                <w:webHidden/>
              </w:rPr>
              <w:fldChar w:fldCharType="end"/>
            </w:r>
          </w:hyperlink>
        </w:p>
        <w:p w14:paraId="06A4EE21" w14:textId="77777777" w:rsidR="006C3B72" w:rsidRPr="009A539C" w:rsidRDefault="00E742C1">
          <w:pPr>
            <w:pStyle w:val="ndice3"/>
            <w:rPr>
              <w:rFonts w:asciiTheme="minorHAnsi" w:eastAsiaTheme="minorEastAsia" w:hAnsiTheme="minorHAnsi" w:cstheme="minorBidi"/>
              <w:b w:val="0"/>
              <w:color w:val="auto"/>
              <w:lang w:eastAsia="pt-PT"/>
            </w:rPr>
          </w:pPr>
          <w:hyperlink w:anchor="_Toc45535709" w:history="1">
            <w:r w:rsidR="006C3B72" w:rsidRPr="009A539C">
              <w:rPr>
                <w:rStyle w:val="Hiperligao"/>
                <w:rFonts w:cs="Calibri"/>
              </w:rPr>
              <w:t>4.4.5</w:t>
            </w:r>
            <w:r w:rsidR="006C3B72" w:rsidRPr="009A539C">
              <w:rPr>
                <w:rFonts w:asciiTheme="minorHAnsi" w:eastAsiaTheme="minorEastAsia" w:hAnsiTheme="minorHAnsi" w:cstheme="minorBidi"/>
                <w:b w:val="0"/>
                <w:color w:val="auto"/>
                <w:lang w:eastAsia="pt-PT"/>
              </w:rPr>
              <w:tab/>
            </w:r>
            <w:r w:rsidR="006C3B72" w:rsidRPr="009A539C">
              <w:rPr>
                <w:rStyle w:val="Hiperligao"/>
                <w:rFonts w:cs="Calibri"/>
              </w:rPr>
              <w:t>Tempo de trabalho</w:t>
            </w:r>
            <w:r w:rsidR="006C3B72" w:rsidRPr="009A539C">
              <w:rPr>
                <w:webHidden/>
              </w:rPr>
              <w:tab/>
            </w:r>
            <w:r w:rsidR="006C3B72" w:rsidRPr="009A539C">
              <w:rPr>
                <w:webHidden/>
              </w:rPr>
              <w:fldChar w:fldCharType="begin"/>
            </w:r>
            <w:r w:rsidR="006C3B72" w:rsidRPr="009A539C">
              <w:rPr>
                <w:webHidden/>
              </w:rPr>
              <w:instrText xml:space="preserve"> PAGEREF _Toc45535709 \h </w:instrText>
            </w:r>
            <w:r w:rsidR="006C3B72" w:rsidRPr="009A539C">
              <w:rPr>
                <w:webHidden/>
              </w:rPr>
            </w:r>
            <w:r w:rsidR="006C3B72" w:rsidRPr="009A539C">
              <w:rPr>
                <w:webHidden/>
              </w:rPr>
              <w:fldChar w:fldCharType="separate"/>
            </w:r>
            <w:r w:rsidR="00D821DE">
              <w:rPr>
                <w:webHidden/>
              </w:rPr>
              <w:t>116</w:t>
            </w:r>
            <w:r w:rsidR="006C3B72" w:rsidRPr="009A539C">
              <w:rPr>
                <w:webHidden/>
              </w:rPr>
              <w:fldChar w:fldCharType="end"/>
            </w:r>
          </w:hyperlink>
        </w:p>
        <w:p w14:paraId="00502B34" w14:textId="77777777" w:rsidR="006C3B72" w:rsidRPr="009A539C" w:rsidRDefault="00E742C1">
          <w:pPr>
            <w:pStyle w:val="ndice4"/>
            <w:rPr>
              <w:rFonts w:asciiTheme="minorHAnsi" w:eastAsiaTheme="minorEastAsia" w:hAnsiTheme="minorHAnsi" w:cstheme="minorBidi"/>
              <w:lang w:eastAsia="pt-PT"/>
            </w:rPr>
          </w:pPr>
          <w:hyperlink w:anchor="_Toc45535710" w:history="1">
            <w:r w:rsidR="006C3B72" w:rsidRPr="009A539C">
              <w:rPr>
                <w:rStyle w:val="Hiperligao"/>
              </w:rPr>
              <w:t>4.4.5.1</w:t>
            </w:r>
            <w:r w:rsidR="006C3B72" w:rsidRPr="009A539C">
              <w:rPr>
                <w:rFonts w:asciiTheme="minorHAnsi" w:eastAsiaTheme="minorEastAsia" w:hAnsiTheme="minorHAnsi" w:cstheme="minorBidi"/>
                <w:lang w:eastAsia="pt-PT"/>
              </w:rPr>
              <w:tab/>
            </w:r>
            <w:r w:rsidR="006C3B72" w:rsidRPr="009A539C">
              <w:rPr>
                <w:rStyle w:val="Hiperligao"/>
              </w:rPr>
              <w:t>Duração do tempo de trabalho</w:t>
            </w:r>
            <w:r w:rsidR="006C3B72" w:rsidRPr="009A539C">
              <w:rPr>
                <w:webHidden/>
              </w:rPr>
              <w:tab/>
            </w:r>
            <w:r w:rsidR="006C3B72" w:rsidRPr="009A539C">
              <w:rPr>
                <w:webHidden/>
              </w:rPr>
              <w:fldChar w:fldCharType="begin"/>
            </w:r>
            <w:r w:rsidR="006C3B72" w:rsidRPr="009A539C">
              <w:rPr>
                <w:webHidden/>
              </w:rPr>
              <w:instrText xml:space="preserve"> PAGEREF _Toc45535710 \h </w:instrText>
            </w:r>
            <w:r w:rsidR="006C3B72" w:rsidRPr="009A539C">
              <w:rPr>
                <w:webHidden/>
              </w:rPr>
            </w:r>
            <w:r w:rsidR="006C3B72" w:rsidRPr="009A539C">
              <w:rPr>
                <w:webHidden/>
              </w:rPr>
              <w:fldChar w:fldCharType="separate"/>
            </w:r>
            <w:r w:rsidR="00D821DE">
              <w:rPr>
                <w:webHidden/>
              </w:rPr>
              <w:t>116</w:t>
            </w:r>
            <w:r w:rsidR="006C3B72" w:rsidRPr="009A539C">
              <w:rPr>
                <w:webHidden/>
              </w:rPr>
              <w:fldChar w:fldCharType="end"/>
            </w:r>
          </w:hyperlink>
        </w:p>
        <w:p w14:paraId="1E961ABF" w14:textId="77777777" w:rsidR="006C3B72" w:rsidRPr="009A539C" w:rsidRDefault="00E742C1">
          <w:pPr>
            <w:pStyle w:val="ndice4"/>
            <w:rPr>
              <w:rFonts w:asciiTheme="minorHAnsi" w:eastAsiaTheme="minorEastAsia" w:hAnsiTheme="minorHAnsi" w:cstheme="minorBidi"/>
              <w:lang w:eastAsia="pt-PT"/>
            </w:rPr>
          </w:pPr>
          <w:hyperlink w:anchor="_Toc45535711" w:history="1">
            <w:r w:rsidR="006C3B72" w:rsidRPr="009A539C">
              <w:rPr>
                <w:rStyle w:val="Hiperligao"/>
                <w:rFonts w:cstheme="minorHAnsi"/>
              </w:rPr>
              <w:t>a)</w:t>
            </w:r>
            <w:r w:rsidR="006C3B72" w:rsidRPr="009A539C">
              <w:rPr>
                <w:rFonts w:asciiTheme="minorHAnsi" w:eastAsiaTheme="minorEastAsia" w:hAnsiTheme="minorHAnsi" w:cstheme="minorBidi"/>
                <w:lang w:eastAsia="pt-PT"/>
              </w:rPr>
              <w:tab/>
            </w:r>
            <w:r w:rsidR="006C3B72" w:rsidRPr="009A539C">
              <w:rPr>
                <w:rStyle w:val="Hiperligao"/>
                <w:rFonts w:cstheme="minorHAnsi"/>
              </w:rPr>
              <w:t>Limites máximos do PNT</w:t>
            </w:r>
            <w:r w:rsidR="006C3B72" w:rsidRPr="009A539C">
              <w:rPr>
                <w:webHidden/>
              </w:rPr>
              <w:tab/>
            </w:r>
            <w:r w:rsidR="006C3B72" w:rsidRPr="009A539C">
              <w:rPr>
                <w:webHidden/>
              </w:rPr>
              <w:fldChar w:fldCharType="begin"/>
            </w:r>
            <w:r w:rsidR="006C3B72" w:rsidRPr="009A539C">
              <w:rPr>
                <w:webHidden/>
              </w:rPr>
              <w:instrText xml:space="preserve"> PAGEREF _Toc45535711 \h </w:instrText>
            </w:r>
            <w:r w:rsidR="006C3B72" w:rsidRPr="009A539C">
              <w:rPr>
                <w:webHidden/>
              </w:rPr>
            </w:r>
            <w:r w:rsidR="006C3B72" w:rsidRPr="009A539C">
              <w:rPr>
                <w:webHidden/>
              </w:rPr>
              <w:fldChar w:fldCharType="separate"/>
            </w:r>
            <w:r w:rsidR="00D821DE">
              <w:rPr>
                <w:webHidden/>
              </w:rPr>
              <w:t>116</w:t>
            </w:r>
            <w:r w:rsidR="006C3B72" w:rsidRPr="009A539C">
              <w:rPr>
                <w:webHidden/>
              </w:rPr>
              <w:fldChar w:fldCharType="end"/>
            </w:r>
          </w:hyperlink>
        </w:p>
        <w:p w14:paraId="7F8CD558" w14:textId="77777777" w:rsidR="006C3B72" w:rsidRPr="009A539C" w:rsidRDefault="00E742C1">
          <w:pPr>
            <w:pStyle w:val="ndice4"/>
            <w:rPr>
              <w:rFonts w:asciiTheme="minorHAnsi" w:eastAsiaTheme="minorEastAsia" w:hAnsiTheme="minorHAnsi" w:cstheme="minorBidi"/>
              <w:lang w:eastAsia="pt-PT"/>
            </w:rPr>
          </w:pPr>
          <w:hyperlink w:anchor="_Toc45535712" w:history="1">
            <w:r w:rsidR="006C3B72" w:rsidRPr="009A539C">
              <w:rPr>
                <w:rStyle w:val="Hiperligao"/>
                <w:rFonts w:cstheme="minorHAnsi"/>
              </w:rPr>
              <w:t>b)</w:t>
            </w:r>
            <w:r w:rsidR="006C3B72" w:rsidRPr="009A539C">
              <w:rPr>
                <w:rFonts w:asciiTheme="minorHAnsi" w:eastAsiaTheme="minorEastAsia" w:hAnsiTheme="minorHAnsi" w:cstheme="minorBidi"/>
                <w:lang w:eastAsia="pt-PT"/>
              </w:rPr>
              <w:tab/>
            </w:r>
            <w:r w:rsidR="006C3B72" w:rsidRPr="009A539C">
              <w:rPr>
                <w:rStyle w:val="Hiperligao"/>
                <w:rFonts w:cstheme="minorHAnsi"/>
              </w:rPr>
              <w:t>Duração do período anual de férias</w:t>
            </w:r>
            <w:r w:rsidR="006C3B72" w:rsidRPr="009A539C">
              <w:rPr>
                <w:webHidden/>
              </w:rPr>
              <w:tab/>
            </w:r>
            <w:r w:rsidR="006C3B72" w:rsidRPr="009A539C">
              <w:rPr>
                <w:webHidden/>
              </w:rPr>
              <w:fldChar w:fldCharType="begin"/>
            </w:r>
            <w:r w:rsidR="006C3B72" w:rsidRPr="009A539C">
              <w:rPr>
                <w:webHidden/>
              </w:rPr>
              <w:instrText xml:space="preserve"> PAGEREF _Toc45535712 \h </w:instrText>
            </w:r>
            <w:r w:rsidR="006C3B72" w:rsidRPr="009A539C">
              <w:rPr>
                <w:webHidden/>
              </w:rPr>
            </w:r>
            <w:r w:rsidR="006C3B72" w:rsidRPr="009A539C">
              <w:rPr>
                <w:webHidden/>
              </w:rPr>
              <w:fldChar w:fldCharType="separate"/>
            </w:r>
            <w:r w:rsidR="00D821DE">
              <w:rPr>
                <w:webHidden/>
              </w:rPr>
              <w:t>118</w:t>
            </w:r>
            <w:r w:rsidR="006C3B72" w:rsidRPr="009A539C">
              <w:rPr>
                <w:webHidden/>
              </w:rPr>
              <w:fldChar w:fldCharType="end"/>
            </w:r>
          </w:hyperlink>
        </w:p>
        <w:p w14:paraId="58E195E4" w14:textId="77777777" w:rsidR="006C3B72" w:rsidRPr="009A539C" w:rsidRDefault="00E742C1">
          <w:pPr>
            <w:pStyle w:val="ndice4"/>
            <w:rPr>
              <w:rFonts w:asciiTheme="minorHAnsi" w:eastAsiaTheme="minorEastAsia" w:hAnsiTheme="minorHAnsi" w:cstheme="minorBidi"/>
              <w:lang w:eastAsia="pt-PT"/>
            </w:rPr>
          </w:pPr>
          <w:hyperlink w:anchor="_Toc45535713" w:history="1">
            <w:r w:rsidR="006C3B72" w:rsidRPr="009A539C">
              <w:rPr>
                <w:rStyle w:val="Hiperligao"/>
              </w:rPr>
              <w:t>4.4.5.2</w:t>
            </w:r>
            <w:r w:rsidR="006C3B72" w:rsidRPr="009A539C">
              <w:rPr>
                <w:rFonts w:asciiTheme="minorHAnsi" w:eastAsiaTheme="minorEastAsia" w:hAnsiTheme="minorHAnsi" w:cstheme="minorBidi"/>
                <w:lang w:eastAsia="pt-PT"/>
              </w:rPr>
              <w:tab/>
            </w:r>
            <w:r w:rsidR="006C3B72" w:rsidRPr="009A539C">
              <w:rPr>
                <w:rStyle w:val="Hiperligao"/>
              </w:rPr>
              <w:t>Organização dos tempos de trabalho</w:t>
            </w:r>
            <w:r w:rsidR="006C3B72" w:rsidRPr="009A539C">
              <w:rPr>
                <w:webHidden/>
              </w:rPr>
              <w:tab/>
            </w:r>
            <w:r w:rsidR="006C3B72" w:rsidRPr="009A539C">
              <w:rPr>
                <w:webHidden/>
              </w:rPr>
              <w:fldChar w:fldCharType="begin"/>
            </w:r>
            <w:r w:rsidR="006C3B72" w:rsidRPr="009A539C">
              <w:rPr>
                <w:webHidden/>
              </w:rPr>
              <w:instrText xml:space="preserve"> PAGEREF _Toc45535713 \h </w:instrText>
            </w:r>
            <w:r w:rsidR="006C3B72" w:rsidRPr="009A539C">
              <w:rPr>
                <w:webHidden/>
              </w:rPr>
            </w:r>
            <w:r w:rsidR="006C3B72" w:rsidRPr="009A539C">
              <w:rPr>
                <w:webHidden/>
              </w:rPr>
              <w:fldChar w:fldCharType="separate"/>
            </w:r>
            <w:r w:rsidR="00D821DE">
              <w:rPr>
                <w:webHidden/>
              </w:rPr>
              <w:t>121</w:t>
            </w:r>
            <w:r w:rsidR="006C3B72" w:rsidRPr="009A539C">
              <w:rPr>
                <w:webHidden/>
              </w:rPr>
              <w:fldChar w:fldCharType="end"/>
            </w:r>
          </w:hyperlink>
        </w:p>
        <w:p w14:paraId="61402EA8" w14:textId="77777777" w:rsidR="006C3B72" w:rsidRPr="009A539C" w:rsidRDefault="00E742C1">
          <w:pPr>
            <w:pStyle w:val="ndice4"/>
            <w:rPr>
              <w:rFonts w:asciiTheme="minorHAnsi" w:eastAsiaTheme="minorEastAsia" w:hAnsiTheme="minorHAnsi" w:cstheme="minorBidi"/>
              <w:lang w:eastAsia="pt-PT"/>
            </w:rPr>
          </w:pPr>
          <w:hyperlink w:anchor="_Toc45535714" w:history="1">
            <w:r w:rsidR="006C3B72" w:rsidRPr="009A539C">
              <w:rPr>
                <w:rStyle w:val="Hiperligao"/>
                <w:rFonts w:cstheme="minorHAnsi"/>
              </w:rPr>
              <w:t>a)</w:t>
            </w:r>
            <w:r w:rsidR="006C3B72" w:rsidRPr="009A539C">
              <w:rPr>
                <w:rFonts w:asciiTheme="minorHAnsi" w:eastAsiaTheme="minorEastAsia" w:hAnsiTheme="minorHAnsi" w:cstheme="minorBidi"/>
                <w:lang w:eastAsia="pt-PT"/>
              </w:rPr>
              <w:tab/>
            </w:r>
            <w:r w:rsidR="006C3B72" w:rsidRPr="009A539C">
              <w:rPr>
                <w:rStyle w:val="Hiperligao"/>
                <w:rFonts w:cstheme="minorHAnsi"/>
              </w:rPr>
              <w:t>Nota prévia</w:t>
            </w:r>
            <w:r w:rsidR="006C3B72" w:rsidRPr="009A539C">
              <w:rPr>
                <w:webHidden/>
              </w:rPr>
              <w:tab/>
            </w:r>
            <w:r w:rsidR="006C3B72" w:rsidRPr="009A539C">
              <w:rPr>
                <w:webHidden/>
              </w:rPr>
              <w:fldChar w:fldCharType="begin"/>
            </w:r>
            <w:r w:rsidR="006C3B72" w:rsidRPr="009A539C">
              <w:rPr>
                <w:webHidden/>
              </w:rPr>
              <w:instrText xml:space="preserve"> PAGEREF _Toc45535714 \h </w:instrText>
            </w:r>
            <w:r w:rsidR="006C3B72" w:rsidRPr="009A539C">
              <w:rPr>
                <w:webHidden/>
              </w:rPr>
            </w:r>
            <w:r w:rsidR="006C3B72" w:rsidRPr="009A539C">
              <w:rPr>
                <w:webHidden/>
              </w:rPr>
              <w:fldChar w:fldCharType="separate"/>
            </w:r>
            <w:r w:rsidR="00D821DE">
              <w:rPr>
                <w:webHidden/>
              </w:rPr>
              <w:t>121</w:t>
            </w:r>
            <w:r w:rsidR="006C3B72" w:rsidRPr="009A539C">
              <w:rPr>
                <w:webHidden/>
              </w:rPr>
              <w:fldChar w:fldCharType="end"/>
            </w:r>
          </w:hyperlink>
        </w:p>
        <w:p w14:paraId="764AD345" w14:textId="77777777" w:rsidR="006C3B72" w:rsidRPr="009A539C" w:rsidRDefault="00E742C1">
          <w:pPr>
            <w:pStyle w:val="ndice4"/>
            <w:rPr>
              <w:rFonts w:asciiTheme="minorHAnsi" w:eastAsiaTheme="minorEastAsia" w:hAnsiTheme="minorHAnsi" w:cstheme="minorBidi"/>
              <w:lang w:eastAsia="pt-PT"/>
            </w:rPr>
          </w:pPr>
          <w:hyperlink w:anchor="_Toc45535715" w:history="1">
            <w:r w:rsidR="006C3B72" w:rsidRPr="009A539C">
              <w:rPr>
                <w:rStyle w:val="Hiperligao"/>
                <w:rFonts w:cstheme="minorHAnsi"/>
              </w:rPr>
              <w:t>b)</w:t>
            </w:r>
            <w:r w:rsidR="006C3B72" w:rsidRPr="009A539C">
              <w:rPr>
                <w:rFonts w:asciiTheme="minorHAnsi" w:eastAsiaTheme="minorEastAsia" w:hAnsiTheme="minorHAnsi" w:cstheme="minorBidi"/>
                <w:lang w:eastAsia="pt-PT"/>
              </w:rPr>
              <w:tab/>
            </w:r>
            <w:r w:rsidR="006C3B72" w:rsidRPr="009A539C">
              <w:rPr>
                <w:rStyle w:val="Hiperligao"/>
                <w:rFonts w:cstheme="minorHAnsi"/>
              </w:rPr>
              <w:t>Previsão de diferentes regimes</w:t>
            </w:r>
            <w:r w:rsidR="006C3B72" w:rsidRPr="009A539C">
              <w:rPr>
                <w:webHidden/>
              </w:rPr>
              <w:tab/>
            </w:r>
            <w:r w:rsidR="006C3B72" w:rsidRPr="009A539C">
              <w:rPr>
                <w:webHidden/>
              </w:rPr>
              <w:fldChar w:fldCharType="begin"/>
            </w:r>
            <w:r w:rsidR="006C3B72" w:rsidRPr="009A539C">
              <w:rPr>
                <w:webHidden/>
              </w:rPr>
              <w:instrText xml:space="preserve"> PAGEREF _Toc45535715 \h </w:instrText>
            </w:r>
            <w:r w:rsidR="006C3B72" w:rsidRPr="009A539C">
              <w:rPr>
                <w:webHidden/>
              </w:rPr>
            </w:r>
            <w:r w:rsidR="006C3B72" w:rsidRPr="009A539C">
              <w:rPr>
                <w:webHidden/>
              </w:rPr>
              <w:fldChar w:fldCharType="separate"/>
            </w:r>
            <w:r w:rsidR="00D821DE">
              <w:rPr>
                <w:webHidden/>
              </w:rPr>
              <w:t>122</w:t>
            </w:r>
            <w:r w:rsidR="006C3B72" w:rsidRPr="009A539C">
              <w:rPr>
                <w:webHidden/>
              </w:rPr>
              <w:fldChar w:fldCharType="end"/>
            </w:r>
          </w:hyperlink>
        </w:p>
        <w:p w14:paraId="2F980204" w14:textId="77777777" w:rsidR="006C3B72" w:rsidRPr="009A539C" w:rsidRDefault="00E742C1">
          <w:pPr>
            <w:pStyle w:val="ndice4"/>
            <w:rPr>
              <w:rFonts w:asciiTheme="minorHAnsi" w:eastAsiaTheme="minorEastAsia" w:hAnsiTheme="minorHAnsi" w:cstheme="minorBidi"/>
              <w:lang w:eastAsia="pt-PT"/>
            </w:rPr>
          </w:pPr>
          <w:hyperlink w:anchor="_Toc45535716" w:history="1">
            <w:r w:rsidR="006C3B72" w:rsidRPr="009A539C">
              <w:rPr>
                <w:rStyle w:val="Hiperligao"/>
                <w:rFonts w:cstheme="minorHAnsi"/>
              </w:rPr>
              <w:t>c)</w:t>
            </w:r>
            <w:r w:rsidR="006C3B72" w:rsidRPr="009A539C">
              <w:rPr>
                <w:rFonts w:asciiTheme="minorHAnsi" w:eastAsiaTheme="minorEastAsia" w:hAnsiTheme="minorHAnsi" w:cstheme="minorBidi"/>
                <w:lang w:eastAsia="pt-PT"/>
              </w:rPr>
              <w:tab/>
            </w:r>
            <w:r w:rsidR="006C3B72" w:rsidRPr="009A539C">
              <w:rPr>
                <w:rStyle w:val="Hiperligao"/>
                <w:rFonts w:cstheme="minorHAnsi"/>
              </w:rPr>
              <w:t>Adaptabilidade: principais características dos regimes convencionais</w:t>
            </w:r>
            <w:r w:rsidR="006C3B72" w:rsidRPr="009A539C">
              <w:rPr>
                <w:webHidden/>
              </w:rPr>
              <w:tab/>
            </w:r>
            <w:r w:rsidR="006C3B72" w:rsidRPr="009A539C">
              <w:rPr>
                <w:webHidden/>
              </w:rPr>
              <w:fldChar w:fldCharType="begin"/>
            </w:r>
            <w:r w:rsidR="006C3B72" w:rsidRPr="009A539C">
              <w:rPr>
                <w:webHidden/>
              </w:rPr>
              <w:instrText xml:space="preserve"> PAGEREF _Toc45535716 \h </w:instrText>
            </w:r>
            <w:r w:rsidR="006C3B72" w:rsidRPr="009A539C">
              <w:rPr>
                <w:webHidden/>
              </w:rPr>
            </w:r>
            <w:r w:rsidR="006C3B72" w:rsidRPr="009A539C">
              <w:rPr>
                <w:webHidden/>
              </w:rPr>
              <w:fldChar w:fldCharType="separate"/>
            </w:r>
            <w:r w:rsidR="00D821DE">
              <w:rPr>
                <w:webHidden/>
              </w:rPr>
              <w:t>124</w:t>
            </w:r>
            <w:r w:rsidR="006C3B72" w:rsidRPr="009A539C">
              <w:rPr>
                <w:webHidden/>
              </w:rPr>
              <w:fldChar w:fldCharType="end"/>
            </w:r>
          </w:hyperlink>
        </w:p>
        <w:p w14:paraId="75922858" w14:textId="77777777" w:rsidR="006C3B72" w:rsidRPr="009A539C" w:rsidRDefault="00E742C1">
          <w:pPr>
            <w:pStyle w:val="ndice4"/>
            <w:rPr>
              <w:rFonts w:asciiTheme="minorHAnsi" w:eastAsiaTheme="minorEastAsia" w:hAnsiTheme="minorHAnsi" w:cstheme="minorBidi"/>
              <w:lang w:eastAsia="pt-PT"/>
            </w:rPr>
          </w:pPr>
          <w:hyperlink w:anchor="_Toc45535717" w:history="1">
            <w:r w:rsidR="006C3B72" w:rsidRPr="009A539C">
              <w:rPr>
                <w:rStyle w:val="Hiperligao"/>
                <w:rFonts w:cstheme="minorHAnsi"/>
              </w:rPr>
              <w:t>d)</w:t>
            </w:r>
            <w:r w:rsidR="006C3B72" w:rsidRPr="009A539C">
              <w:rPr>
                <w:rFonts w:asciiTheme="minorHAnsi" w:eastAsiaTheme="minorEastAsia" w:hAnsiTheme="minorHAnsi" w:cstheme="minorBidi"/>
                <w:lang w:eastAsia="pt-PT"/>
              </w:rPr>
              <w:tab/>
            </w:r>
            <w:r w:rsidR="006C3B72" w:rsidRPr="009A539C">
              <w:rPr>
                <w:rStyle w:val="Hiperligao"/>
                <w:rFonts w:cstheme="minorHAnsi"/>
              </w:rPr>
              <w:t>Banco de horas: principais caraterísticas dos regimes convencionais</w:t>
            </w:r>
            <w:r w:rsidR="006C3B72" w:rsidRPr="009A539C">
              <w:rPr>
                <w:webHidden/>
              </w:rPr>
              <w:tab/>
            </w:r>
            <w:r w:rsidR="006C3B72" w:rsidRPr="009A539C">
              <w:rPr>
                <w:webHidden/>
              </w:rPr>
              <w:fldChar w:fldCharType="begin"/>
            </w:r>
            <w:r w:rsidR="006C3B72" w:rsidRPr="009A539C">
              <w:rPr>
                <w:webHidden/>
              </w:rPr>
              <w:instrText xml:space="preserve"> PAGEREF _Toc45535717 \h </w:instrText>
            </w:r>
            <w:r w:rsidR="006C3B72" w:rsidRPr="009A539C">
              <w:rPr>
                <w:webHidden/>
              </w:rPr>
            </w:r>
            <w:r w:rsidR="006C3B72" w:rsidRPr="009A539C">
              <w:rPr>
                <w:webHidden/>
              </w:rPr>
              <w:fldChar w:fldCharType="separate"/>
            </w:r>
            <w:r w:rsidR="00D821DE">
              <w:rPr>
                <w:webHidden/>
              </w:rPr>
              <w:t>128</w:t>
            </w:r>
            <w:r w:rsidR="006C3B72" w:rsidRPr="009A539C">
              <w:rPr>
                <w:webHidden/>
              </w:rPr>
              <w:fldChar w:fldCharType="end"/>
            </w:r>
          </w:hyperlink>
        </w:p>
        <w:p w14:paraId="0322B075" w14:textId="77777777" w:rsidR="006C3B72" w:rsidRPr="009A539C" w:rsidRDefault="00E742C1">
          <w:pPr>
            <w:pStyle w:val="ndice4"/>
            <w:rPr>
              <w:rFonts w:asciiTheme="minorHAnsi" w:eastAsiaTheme="minorEastAsia" w:hAnsiTheme="minorHAnsi" w:cstheme="minorBidi"/>
              <w:lang w:eastAsia="pt-PT"/>
            </w:rPr>
          </w:pPr>
          <w:hyperlink w:anchor="_Toc45535718" w:history="1">
            <w:r w:rsidR="006C3B72" w:rsidRPr="009A539C">
              <w:rPr>
                <w:rStyle w:val="Hiperligao"/>
                <w:rFonts w:cstheme="minorHAnsi"/>
              </w:rPr>
              <w:t>e)</w:t>
            </w:r>
            <w:r w:rsidR="006C3B72" w:rsidRPr="009A539C">
              <w:rPr>
                <w:rFonts w:asciiTheme="minorHAnsi" w:eastAsiaTheme="minorEastAsia" w:hAnsiTheme="minorHAnsi" w:cstheme="minorBidi"/>
                <w:lang w:eastAsia="pt-PT"/>
              </w:rPr>
              <w:tab/>
            </w:r>
            <w:r w:rsidR="006C3B72" w:rsidRPr="009A539C">
              <w:rPr>
                <w:rStyle w:val="Hiperligao"/>
                <w:rFonts w:cstheme="minorHAnsi"/>
              </w:rPr>
              <w:t>Horários concentrados: principais características dos regimes convencionais</w:t>
            </w:r>
            <w:r w:rsidR="006C3B72" w:rsidRPr="009A539C">
              <w:rPr>
                <w:webHidden/>
              </w:rPr>
              <w:tab/>
            </w:r>
            <w:r w:rsidR="006C3B72" w:rsidRPr="009A539C">
              <w:rPr>
                <w:webHidden/>
              </w:rPr>
              <w:fldChar w:fldCharType="begin"/>
            </w:r>
            <w:r w:rsidR="006C3B72" w:rsidRPr="009A539C">
              <w:rPr>
                <w:webHidden/>
              </w:rPr>
              <w:instrText xml:space="preserve"> PAGEREF _Toc45535718 \h </w:instrText>
            </w:r>
            <w:r w:rsidR="006C3B72" w:rsidRPr="009A539C">
              <w:rPr>
                <w:webHidden/>
              </w:rPr>
            </w:r>
            <w:r w:rsidR="006C3B72" w:rsidRPr="009A539C">
              <w:rPr>
                <w:webHidden/>
              </w:rPr>
              <w:fldChar w:fldCharType="separate"/>
            </w:r>
            <w:r w:rsidR="00D821DE">
              <w:rPr>
                <w:webHidden/>
              </w:rPr>
              <w:t>134</w:t>
            </w:r>
            <w:r w:rsidR="006C3B72" w:rsidRPr="009A539C">
              <w:rPr>
                <w:webHidden/>
              </w:rPr>
              <w:fldChar w:fldCharType="end"/>
            </w:r>
          </w:hyperlink>
        </w:p>
        <w:p w14:paraId="64D82EFA" w14:textId="77777777" w:rsidR="006C3B72" w:rsidRPr="009A539C" w:rsidRDefault="00E742C1">
          <w:pPr>
            <w:pStyle w:val="ndice4"/>
            <w:rPr>
              <w:rFonts w:asciiTheme="minorHAnsi" w:eastAsiaTheme="minorEastAsia" w:hAnsiTheme="minorHAnsi" w:cstheme="minorBidi"/>
              <w:lang w:eastAsia="pt-PT"/>
            </w:rPr>
          </w:pPr>
          <w:hyperlink w:anchor="_Toc45535719" w:history="1">
            <w:r w:rsidR="006C3B72" w:rsidRPr="009A539C">
              <w:rPr>
                <w:rStyle w:val="Hiperligao"/>
                <w:rFonts w:cstheme="minorHAnsi"/>
              </w:rPr>
              <w:t>f)</w:t>
            </w:r>
            <w:r w:rsidR="006C3B72" w:rsidRPr="009A539C">
              <w:rPr>
                <w:rFonts w:asciiTheme="minorHAnsi" w:eastAsiaTheme="minorEastAsia" w:hAnsiTheme="minorHAnsi" w:cstheme="minorBidi"/>
                <w:lang w:eastAsia="pt-PT"/>
              </w:rPr>
              <w:tab/>
            </w:r>
            <w:r w:rsidR="006C3B72" w:rsidRPr="009A539C">
              <w:rPr>
                <w:rStyle w:val="Hiperligao"/>
                <w:rFonts w:cstheme="minorHAnsi"/>
              </w:rPr>
              <w:t>Regimes de prevenção ou disponibilidade</w:t>
            </w:r>
            <w:r w:rsidR="006C3B72" w:rsidRPr="009A539C">
              <w:rPr>
                <w:webHidden/>
              </w:rPr>
              <w:tab/>
            </w:r>
            <w:r w:rsidR="006C3B72" w:rsidRPr="009A539C">
              <w:rPr>
                <w:webHidden/>
              </w:rPr>
              <w:fldChar w:fldCharType="begin"/>
            </w:r>
            <w:r w:rsidR="006C3B72" w:rsidRPr="009A539C">
              <w:rPr>
                <w:webHidden/>
              </w:rPr>
              <w:instrText xml:space="preserve"> PAGEREF _Toc45535719 \h </w:instrText>
            </w:r>
            <w:r w:rsidR="006C3B72" w:rsidRPr="009A539C">
              <w:rPr>
                <w:webHidden/>
              </w:rPr>
            </w:r>
            <w:r w:rsidR="006C3B72" w:rsidRPr="009A539C">
              <w:rPr>
                <w:webHidden/>
              </w:rPr>
              <w:fldChar w:fldCharType="separate"/>
            </w:r>
            <w:r w:rsidR="00D821DE">
              <w:rPr>
                <w:webHidden/>
              </w:rPr>
              <w:t>134</w:t>
            </w:r>
            <w:r w:rsidR="006C3B72" w:rsidRPr="009A539C">
              <w:rPr>
                <w:webHidden/>
              </w:rPr>
              <w:fldChar w:fldCharType="end"/>
            </w:r>
          </w:hyperlink>
        </w:p>
        <w:p w14:paraId="548F08AF" w14:textId="77777777" w:rsidR="006C3B72" w:rsidRPr="009A539C" w:rsidRDefault="00E742C1">
          <w:pPr>
            <w:pStyle w:val="ndice4"/>
            <w:rPr>
              <w:rFonts w:asciiTheme="minorHAnsi" w:eastAsiaTheme="minorEastAsia" w:hAnsiTheme="minorHAnsi" w:cstheme="minorBidi"/>
              <w:lang w:eastAsia="pt-PT"/>
            </w:rPr>
          </w:pPr>
          <w:hyperlink w:anchor="_Toc45535720" w:history="1">
            <w:r w:rsidR="006C3B72" w:rsidRPr="009A539C">
              <w:rPr>
                <w:rStyle w:val="Hiperligao"/>
                <w:rFonts w:cstheme="minorHAnsi"/>
              </w:rPr>
              <w:t>g)</w:t>
            </w:r>
            <w:r w:rsidR="006C3B72" w:rsidRPr="009A539C">
              <w:rPr>
                <w:rFonts w:asciiTheme="minorHAnsi" w:eastAsiaTheme="minorEastAsia" w:hAnsiTheme="minorHAnsi" w:cstheme="minorBidi"/>
                <w:lang w:eastAsia="pt-PT"/>
              </w:rPr>
              <w:tab/>
            </w:r>
            <w:r w:rsidR="006C3B72" w:rsidRPr="009A539C">
              <w:rPr>
                <w:rStyle w:val="Hiperligao"/>
                <w:rFonts w:cstheme="minorHAnsi"/>
              </w:rPr>
              <w:t>Trabalho suplementar</w:t>
            </w:r>
            <w:r w:rsidR="006C3B72" w:rsidRPr="009A539C">
              <w:rPr>
                <w:webHidden/>
              </w:rPr>
              <w:tab/>
            </w:r>
            <w:r w:rsidR="006C3B72" w:rsidRPr="009A539C">
              <w:rPr>
                <w:webHidden/>
              </w:rPr>
              <w:fldChar w:fldCharType="begin"/>
            </w:r>
            <w:r w:rsidR="006C3B72" w:rsidRPr="009A539C">
              <w:rPr>
                <w:webHidden/>
              </w:rPr>
              <w:instrText xml:space="preserve"> PAGEREF _Toc45535720 \h </w:instrText>
            </w:r>
            <w:r w:rsidR="006C3B72" w:rsidRPr="009A539C">
              <w:rPr>
                <w:webHidden/>
              </w:rPr>
            </w:r>
            <w:r w:rsidR="006C3B72" w:rsidRPr="009A539C">
              <w:rPr>
                <w:webHidden/>
              </w:rPr>
              <w:fldChar w:fldCharType="separate"/>
            </w:r>
            <w:r w:rsidR="00D821DE">
              <w:rPr>
                <w:webHidden/>
              </w:rPr>
              <w:t>138</w:t>
            </w:r>
            <w:r w:rsidR="006C3B72" w:rsidRPr="009A539C">
              <w:rPr>
                <w:webHidden/>
              </w:rPr>
              <w:fldChar w:fldCharType="end"/>
            </w:r>
          </w:hyperlink>
        </w:p>
        <w:p w14:paraId="0E4D0695" w14:textId="77777777" w:rsidR="006C3B72" w:rsidRPr="009A539C" w:rsidRDefault="00E742C1">
          <w:pPr>
            <w:pStyle w:val="ndice4"/>
            <w:rPr>
              <w:rFonts w:asciiTheme="minorHAnsi" w:eastAsiaTheme="minorEastAsia" w:hAnsiTheme="minorHAnsi" w:cstheme="minorBidi"/>
              <w:lang w:eastAsia="pt-PT"/>
            </w:rPr>
          </w:pPr>
          <w:hyperlink w:anchor="_Toc45535721" w:history="1">
            <w:r w:rsidR="006C3B72" w:rsidRPr="009A539C">
              <w:rPr>
                <w:rStyle w:val="Hiperligao"/>
                <w:rFonts w:cstheme="minorHAnsi"/>
              </w:rPr>
              <w:t>h)</w:t>
            </w:r>
            <w:r w:rsidR="006C3B72" w:rsidRPr="009A539C">
              <w:rPr>
                <w:rFonts w:asciiTheme="minorHAnsi" w:eastAsiaTheme="minorEastAsia" w:hAnsiTheme="minorHAnsi" w:cstheme="minorBidi"/>
                <w:lang w:eastAsia="pt-PT"/>
              </w:rPr>
              <w:tab/>
            </w:r>
            <w:r w:rsidR="006C3B72" w:rsidRPr="009A539C">
              <w:rPr>
                <w:rStyle w:val="Hiperligao"/>
                <w:rFonts w:cstheme="minorHAnsi"/>
              </w:rPr>
              <w:t>Regimes de flexibilidade no interesse do trabalhador</w:t>
            </w:r>
            <w:r w:rsidR="006C3B72" w:rsidRPr="009A539C">
              <w:rPr>
                <w:webHidden/>
              </w:rPr>
              <w:tab/>
            </w:r>
            <w:r w:rsidR="006C3B72" w:rsidRPr="009A539C">
              <w:rPr>
                <w:webHidden/>
              </w:rPr>
              <w:fldChar w:fldCharType="begin"/>
            </w:r>
            <w:r w:rsidR="006C3B72" w:rsidRPr="009A539C">
              <w:rPr>
                <w:webHidden/>
              </w:rPr>
              <w:instrText xml:space="preserve"> PAGEREF _Toc45535721 \h </w:instrText>
            </w:r>
            <w:r w:rsidR="006C3B72" w:rsidRPr="009A539C">
              <w:rPr>
                <w:webHidden/>
              </w:rPr>
            </w:r>
            <w:r w:rsidR="006C3B72" w:rsidRPr="009A539C">
              <w:rPr>
                <w:webHidden/>
              </w:rPr>
              <w:fldChar w:fldCharType="separate"/>
            </w:r>
            <w:r w:rsidR="00D821DE">
              <w:rPr>
                <w:webHidden/>
              </w:rPr>
              <w:t>144</w:t>
            </w:r>
            <w:r w:rsidR="006C3B72" w:rsidRPr="009A539C">
              <w:rPr>
                <w:webHidden/>
              </w:rPr>
              <w:fldChar w:fldCharType="end"/>
            </w:r>
          </w:hyperlink>
        </w:p>
        <w:p w14:paraId="3C022FE9" w14:textId="77777777" w:rsidR="006C3B72" w:rsidRPr="009A539C" w:rsidRDefault="00E742C1">
          <w:pPr>
            <w:pStyle w:val="ndice4"/>
            <w:rPr>
              <w:rFonts w:asciiTheme="minorHAnsi" w:eastAsiaTheme="minorEastAsia" w:hAnsiTheme="minorHAnsi" w:cstheme="minorBidi"/>
              <w:lang w:eastAsia="pt-PT"/>
            </w:rPr>
          </w:pPr>
          <w:hyperlink w:anchor="_Toc45535722" w:history="1">
            <w:r w:rsidR="006C3B72" w:rsidRPr="009A539C">
              <w:rPr>
                <w:rStyle w:val="Hiperligao"/>
                <w:rFonts w:cstheme="minorHAnsi"/>
              </w:rPr>
              <w:t>i)</w:t>
            </w:r>
            <w:r w:rsidR="006C3B72" w:rsidRPr="009A539C">
              <w:rPr>
                <w:rFonts w:asciiTheme="minorHAnsi" w:eastAsiaTheme="minorEastAsia" w:hAnsiTheme="minorHAnsi" w:cstheme="minorBidi"/>
                <w:lang w:eastAsia="pt-PT"/>
              </w:rPr>
              <w:tab/>
            </w:r>
            <w:r w:rsidR="006C3B72" w:rsidRPr="009A539C">
              <w:rPr>
                <w:rStyle w:val="Hiperligao"/>
                <w:rFonts w:cstheme="minorHAnsi"/>
              </w:rPr>
              <w:t>Isenção de horário de trabalho</w:t>
            </w:r>
            <w:r w:rsidR="006C3B72" w:rsidRPr="009A539C">
              <w:rPr>
                <w:webHidden/>
              </w:rPr>
              <w:tab/>
            </w:r>
            <w:r w:rsidR="006C3B72" w:rsidRPr="009A539C">
              <w:rPr>
                <w:webHidden/>
              </w:rPr>
              <w:fldChar w:fldCharType="begin"/>
            </w:r>
            <w:r w:rsidR="006C3B72" w:rsidRPr="009A539C">
              <w:rPr>
                <w:webHidden/>
              </w:rPr>
              <w:instrText xml:space="preserve"> PAGEREF _Toc45535722 \h </w:instrText>
            </w:r>
            <w:r w:rsidR="006C3B72" w:rsidRPr="009A539C">
              <w:rPr>
                <w:webHidden/>
              </w:rPr>
            </w:r>
            <w:r w:rsidR="006C3B72" w:rsidRPr="009A539C">
              <w:rPr>
                <w:webHidden/>
              </w:rPr>
              <w:fldChar w:fldCharType="separate"/>
            </w:r>
            <w:r w:rsidR="00D821DE">
              <w:rPr>
                <w:webHidden/>
              </w:rPr>
              <w:t>146</w:t>
            </w:r>
            <w:r w:rsidR="006C3B72" w:rsidRPr="009A539C">
              <w:rPr>
                <w:webHidden/>
              </w:rPr>
              <w:fldChar w:fldCharType="end"/>
            </w:r>
          </w:hyperlink>
        </w:p>
        <w:p w14:paraId="3AF4D6CF" w14:textId="77777777" w:rsidR="006C3B72" w:rsidRPr="009A539C" w:rsidRDefault="00E742C1">
          <w:pPr>
            <w:pStyle w:val="ndice3"/>
            <w:rPr>
              <w:rFonts w:asciiTheme="minorHAnsi" w:eastAsiaTheme="minorEastAsia" w:hAnsiTheme="minorHAnsi" w:cstheme="minorBidi"/>
              <w:b w:val="0"/>
              <w:color w:val="auto"/>
              <w:lang w:eastAsia="pt-PT"/>
            </w:rPr>
          </w:pPr>
          <w:hyperlink w:anchor="_Toc45535723" w:history="1">
            <w:r w:rsidR="006C3B72" w:rsidRPr="009A539C">
              <w:rPr>
                <w:rStyle w:val="Hiperligao"/>
                <w:rFonts w:cs="Calibri"/>
              </w:rPr>
              <w:t>4.4.6.</w:t>
            </w:r>
            <w:r w:rsidR="006C3B72" w:rsidRPr="009A539C">
              <w:rPr>
                <w:rFonts w:asciiTheme="minorHAnsi" w:eastAsiaTheme="minorEastAsia" w:hAnsiTheme="minorHAnsi" w:cstheme="minorBidi"/>
                <w:b w:val="0"/>
                <w:color w:val="auto"/>
                <w:lang w:eastAsia="pt-PT"/>
              </w:rPr>
              <w:tab/>
            </w:r>
            <w:r w:rsidR="006C3B72" w:rsidRPr="009A539C">
              <w:rPr>
                <w:rStyle w:val="Hiperligao"/>
                <w:rFonts w:cs="Calibri"/>
              </w:rPr>
              <w:t>Promoção das qualificações dos trabalhadores</w:t>
            </w:r>
            <w:r w:rsidR="006C3B72" w:rsidRPr="009A539C">
              <w:rPr>
                <w:webHidden/>
              </w:rPr>
              <w:tab/>
            </w:r>
            <w:r w:rsidR="006C3B72" w:rsidRPr="009A539C">
              <w:rPr>
                <w:webHidden/>
              </w:rPr>
              <w:fldChar w:fldCharType="begin"/>
            </w:r>
            <w:r w:rsidR="006C3B72" w:rsidRPr="009A539C">
              <w:rPr>
                <w:webHidden/>
              </w:rPr>
              <w:instrText xml:space="preserve"> PAGEREF _Toc45535723 \h </w:instrText>
            </w:r>
            <w:r w:rsidR="006C3B72" w:rsidRPr="009A539C">
              <w:rPr>
                <w:webHidden/>
              </w:rPr>
            </w:r>
            <w:r w:rsidR="006C3B72" w:rsidRPr="009A539C">
              <w:rPr>
                <w:webHidden/>
              </w:rPr>
              <w:fldChar w:fldCharType="separate"/>
            </w:r>
            <w:r w:rsidR="00D821DE">
              <w:rPr>
                <w:webHidden/>
              </w:rPr>
              <w:t>150</w:t>
            </w:r>
            <w:r w:rsidR="006C3B72" w:rsidRPr="009A539C">
              <w:rPr>
                <w:webHidden/>
              </w:rPr>
              <w:fldChar w:fldCharType="end"/>
            </w:r>
          </w:hyperlink>
        </w:p>
        <w:p w14:paraId="5DE1A2E2" w14:textId="77777777" w:rsidR="006C3B72" w:rsidRPr="009A539C" w:rsidRDefault="00E742C1">
          <w:pPr>
            <w:pStyle w:val="ndice4"/>
            <w:tabs>
              <w:tab w:val="left" w:pos="2124"/>
            </w:tabs>
            <w:rPr>
              <w:rFonts w:asciiTheme="minorHAnsi" w:eastAsiaTheme="minorEastAsia" w:hAnsiTheme="minorHAnsi" w:cstheme="minorBidi"/>
              <w:lang w:eastAsia="pt-PT"/>
            </w:rPr>
          </w:pPr>
          <w:hyperlink w:anchor="_Toc45535725" w:history="1">
            <w:r w:rsidR="006C3B72" w:rsidRPr="009A539C">
              <w:rPr>
                <w:rStyle w:val="Hiperligao"/>
              </w:rPr>
              <w:t>4.4.6.1.</w:t>
            </w:r>
            <w:r w:rsidR="006C3B72" w:rsidRPr="009A539C">
              <w:rPr>
                <w:rFonts w:asciiTheme="minorHAnsi" w:eastAsiaTheme="minorEastAsia" w:hAnsiTheme="minorHAnsi" w:cstheme="minorBidi"/>
                <w:lang w:eastAsia="pt-PT"/>
              </w:rPr>
              <w:tab/>
            </w:r>
            <w:r w:rsidR="006C3B72" w:rsidRPr="009A539C">
              <w:rPr>
                <w:rStyle w:val="Hiperligao"/>
              </w:rPr>
              <w:t>Enquadramento geral</w:t>
            </w:r>
            <w:r w:rsidR="006C3B72" w:rsidRPr="009A539C">
              <w:rPr>
                <w:webHidden/>
              </w:rPr>
              <w:tab/>
            </w:r>
            <w:r w:rsidR="006C3B72" w:rsidRPr="009A539C">
              <w:rPr>
                <w:webHidden/>
              </w:rPr>
              <w:fldChar w:fldCharType="begin"/>
            </w:r>
            <w:r w:rsidR="006C3B72" w:rsidRPr="009A539C">
              <w:rPr>
                <w:webHidden/>
              </w:rPr>
              <w:instrText xml:space="preserve"> PAGEREF _Toc45535725 \h </w:instrText>
            </w:r>
            <w:r w:rsidR="006C3B72" w:rsidRPr="009A539C">
              <w:rPr>
                <w:webHidden/>
              </w:rPr>
            </w:r>
            <w:r w:rsidR="006C3B72" w:rsidRPr="009A539C">
              <w:rPr>
                <w:webHidden/>
              </w:rPr>
              <w:fldChar w:fldCharType="separate"/>
            </w:r>
            <w:r w:rsidR="00D821DE">
              <w:rPr>
                <w:webHidden/>
              </w:rPr>
              <w:t>150</w:t>
            </w:r>
            <w:r w:rsidR="006C3B72" w:rsidRPr="009A539C">
              <w:rPr>
                <w:webHidden/>
              </w:rPr>
              <w:fldChar w:fldCharType="end"/>
            </w:r>
          </w:hyperlink>
        </w:p>
        <w:p w14:paraId="34329038" w14:textId="77777777" w:rsidR="006C3B72" w:rsidRPr="009A539C" w:rsidRDefault="00E742C1">
          <w:pPr>
            <w:pStyle w:val="ndice4"/>
            <w:tabs>
              <w:tab w:val="left" w:pos="2124"/>
            </w:tabs>
            <w:rPr>
              <w:rFonts w:asciiTheme="minorHAnsi" w:eastAsiaTheme="minorEastAsia" w:hAnsiTheme="minorHAnsi" w:cstheme="minorBidi"/>
              <w:lang w:eastAsia="pt-PT"/>
            </w:rPr>
          </w:pPr>
          <w:hyperlink w:anchor="_Toc45535726" w:history="1">
            <w:r w:rsidR="006C3B72" w:rsidRPr="009A539C">
              <w:rPr>
                <w:rStyle w:val="Hiperligao"/>
              </w:rPr>
              <w:t>4.4.6.2.</w:t>
            </w:r>
            <w:r w:rsidR="006C3B72" w:rsidRPr="009A539C">
              <w:rPr>
                <w:rFonts w:asciiTheme="minorHAnsi" w:eastAsiaTheme="minorEastAsia" w:hAnsiTheme="minorHAnsi" w:cstheme="minorBidi"/>
                <w:lang w:eastAsia="pt-PT"/>
              </w:rPr>
              <w:tab/>
            </w:r>
            <w:r w:rsidR="006C3B72" w:rsidRPr="009A539C">
              <w:rPr>
                <w:rStyle w:val="Hiperligao"/>
              </w:rPr>
              <w:t>Formação Profissional</w:t>
            </w:r>
            <w:r w:rsidR="006C3B72" w:rsidRPr="009A539C">
              <w:rPr>
                <w:webHidden/>
              </w:rPr>
              <w:tab/>
            </w:r>
            <w:r w:rsidR="006C3B72" w:rsidRPr="009A539C">
              <w:rPr>
                <w:webHidden/>
              </w:rPr>
              <w:fldChar w:fldCharType="begin"/>
            </w:r>
            <w:r w:rsidR="006C3B72" w:rsidRPr="009A539C">
              <w:rPr>
                <w:webHidden/>
              </w:rPr>
              <w:instrText xml:space="preserve"> PAGEREF _Toc45535726 \h </w:instrText>
            </w:r>
            <w:r w:rsidR="006C3B72" w:rsidRPr="009A539C">
              <w:rPr>
                <w:webHidden/>
              </w:rPr>
            </w:r>
            <w:r w:rsidR="006C3B72" w:rsidRPr="009A539C">
              <w:rPr>
                <w:webHidden/>
              </w:rPr>
              <w:fldChar w:fldCharType="separate"/>
            </w:r>
            <w:r w:rsidR="00D821DE">
              <w:rPr>
                <w:webHidden/>
              </w:rPr>
              <w:t>152</w:t>
            </w:r>
            <w:r w:rsidR="006C3B72" w:rsidRPr="009A539C">
              <w:rPr>
                <w:webHidden/>
              </w:rPr>
              <w:fldChar w:fldCharType="end"/>
            </w:r>
          </w:hyperlink>
        </w:p>
        <w:p w14:paraId="12D37F33" w14:textId="77777777" w:rsidR="006C3B72" w:rsidRPr="009A539C" w:rsidRDefault="00E742C1">
          <w:pPr>
            <w:pStyle w:val="ndice4"/>
            <w:tabs>
              <w:tab w:val="left" w:pos="2124"/>
            </w:tabs>
            <w:rPr>
              <w:rFonts w:asciiTheme="minorHAnsi" w:eastAsiaTheme="minorEastAsia" w:hAnsiTheme="minorHAnsi" w:cstheme="minorBidi"/>
              <w:lang w:eastAsia="pt-PT"/>
            </w:rPr>
          </w:pPr>
          <w:hyperlink w:anchor="_Toc45535727" w:history="1">
            <w:r w:rsidR="006C3B72" w:rsidRPr="009A539C">
              <w:rPr>
                <w:rStyle w:val="Hiperligao"/>
              </w:rPr>
              <w:t>4.4.6.3.</w:t>
            </w:r>
            <w:r w:rsidR="006C3B72" w:rsidRPr="009A539C">
              <w:rPr>
                <w:rFonts w:asciiTheme="minorHAnsi" w:eastAsiaTheme="minorEastAsia" w:hAnsiTheme="minorHAnsi" w:cstheme="minorBidi"/>
                <w:lang w:eastAsia="pt-PT"/>
              </w:rPr>
              <w:tab/>
            </w:r>
            <w:r w:rsidR="006C3B72" w:rsidRPr="009A539C">
              <w:rPr>
                <w:rStyle w:val="Hiperligao"/>
              </w:rPr>
              <w:t>Trabalhadores-estudantes</w:t>
            </w:r>
            <w:r w:rsidR="006C3B72" w:rsidRPr="009A539C">
              <w:rPr>
                <w:webHidden/>
              </w:rPr>
              <w:tab/>
            </w:r>
            <w:r w:rsidR="006C3B72" w:rsidRPr="009A539C">
              <w:rPr>
                <w:webHidden/>
              </w:rPr>
              <w:fldChar w:fldCharType="begin"/>
            </w:r>
            <w:r w:rsidR="006C3B72" w:rsidRPr="009A539C">
              <w:rPr>
                <w:webHidden/>
              </w:rPr>
              <w:instrText xml:space="preserve"> PAGEREF _Toc45535727 \h </w:instrText>
            </w:r>
            <w:r w:rsidR="006C3B72" w:rsidRPr="009A539C">
              <w:rPr>
                <w:webHidden/>
              </w:rPr>
            </w:r>
            <w:r w:rsidR="006C3B72" w:rsidRPr="009A539C">
              <w:rPr>
                <w:webHidden/>
              </w:rPr>
              <w:fldChar w:fldCharType="separate"/>
            </w:r>
            <w:r w:rsidR="00D821DE">
              <w:rPr>
                <w:webHidden/>
              </w:rPr>
              <w:t>156</w:t>
            </w:r>
            <w:r w:rsidR="006C3B72" w:rsidRPr="009A539C">
              <w:rPr>
                <w:webHidden/>
              </w:rPr>
              <w:fldChar w:fldCharType="end"/>
            </w:r>
          </w:hyperlink>
        </w:p>
        <w:p w14:paraId="56C38C9C" w14:textId="77777777" w:rsidR="006C3B72" w:rsidRPr="009A539C" w:rsidRDefault="00E742C1">
          <w:pPr>
            <w:pStyle w:val="ndice3"/>
            <w:rPr>
              <w:rFonts w:asciiTheme="minorHAnsi" w:eastAsiaTheme="minorEastAsia" w:hAnsiTheme="minorHAnsi" w:cstheme="minorBidi"/>
              <w:b w:val="0"/>
              <w:color w:val="auto"/>
              <w:lang w:eastAsia="pt-PT"/>
            </w:rPr>
          </w:pPr>
          <w:hyperlink w:anchor="_Toc45535728" w:history="1">
            <w:r w:rsidR="006C3B72" w:rsidRPr="009A539C">
              <w:rPr>
                <w:rStyle w:val="Hiperligao"/>
                <w:rFonts w:cs="Calibri"/>
              </w:rPr>
              <w:t>4.4.7.</w:t>
            </w:r>
            <w:r w:rsidR="006C3B72" w:rsidRPr="009A539C">
              <w:rPr>
                <w:rFonts w:asciiTheme="minorHAnsi" w:eastAsiaTheme="minorEastAsia" w:hAnsiTheme="minorHAnsi" w:cstheme="minorBidi"/>
                <w:b w:val="0"/>
                <w:color w:val="auto"/>
                <w:lang w:eastAsia="pt-PT"/>
              </w:rPr>
              <w:tab/>
            </w:r>
            <w:r w:rsidR="006C3B72" w:rsidRPr="009A539C">
              <w:rPr>
                <w:rStyle w:val="Hiperligao"/>
                <w:rFonts w:cs="Calibri"/>
              </w:rPr>
              <w:t>O princípio da igualdade nas relações laborais (2019)</w:t>
            </w:r>
            <w:r w:rsidR="006C3B72" w:rsidRPr="009A539C">
              <w:rPr>
                <w:webHidden/>
              </w:rPr>
              <w:tab/>
            </w:r>
            <w:r w:rsidR="006C3B72" w:rsidRPr="009A539C">
              <w:rPr>
                <w:webHidden/>
              </w:rPr>
              <w:fldChar w:fldCharType="begin"/>
            </w:r>
            <w:r w:rsidR="006C3B72" w:rsidRPr="009A539C">
              <w:rPr>
                <w:webHidden/>
              </w:rPr>
              <w:instrText xml:space="preserve"> PAGEREF _Toc45535728 \h </w:instrText>
            </w:r>
            <w:r w:rsidR="006C3B72" w:rsidRPr="009A539C">
              <w:rPr>
                <w:webHidden/>
              </w:rPr>
            </w:r>
            <w:r w:rsidR="006C3B72" w:rsidRPr="009A539C">
              <w:rPr>
                <w:webHidden/>
              </w:rPr>
              <w:fldChar w:fldCharType="separate"/>
            </w:r>
            <w:r w:rsidR="00D821DE">
              <w:rPr>
                <w:webHidden/>
              </w:rPr>
              <w:t>159</w:t>
            </w:r>
            <w:r w:rsidR="006C3B72" w:rsidRPr="009A539C">
              <w:rPr>
                <w:webHidden/>
              </w:rPr>
              <w:fldChar w:fldCharType="end"/>
            </w:r>
          </w:hyperlink>
        </w:p>
        <w:p w14:paraId="26F628A5" w14:textId="77777777" w:rsidR="006C3B72" w:rsidRPr="009A539C" w:rsidRDefault="00E742C1">
          <w:pPr>
            <w:pStyle w:val="ndice4"/>
            <w:tabs>
              <w:tab w:val="left" w:pos="2124"/>
            </w:tabs>
            <w:rPr>
              <w:rFonts w:asciiTheme="minorHAnsi" w:eastAsiaTheme="minorEastAsia" w:hAnsiTheme="minorHAnsi" w:cstheme="minorBidi"/>
              <w:lang w:eastAsia="pt-PT"/>
            </w:rPr>
          </w:pPr>
          <w:hyperlink w:anchor="_Toc45535730" w:history="1">
            <w:r w:rsidR="006C3B72" w:rsidRPr="009A539C">
              <w:rPr>
                <w:rStyle w:val="Hiperligao"/>
              </w:rPr>
              <w:t>4.4.7.1.</w:t>
            </w:r>
            <w:r w:rsidR="006C3B72" w:rsidRPr="009A539C">
              <w:rPr>
                <w:rFonts w:asciiTheme="minorHAnsi" w:eastAsiaTheme="minorEastAsia" w:hAnsiTheme="minorHAnsi" w:cstheme="minorBidi"/>
                <w:lang w:eastAsia="pt-PT"/>
              </w:rPr>
              <w:tab/>
            </w:r>
            <w:r w:rsidR="006C3B72" w:rsidRPr="009A539C">
              <w:rPr>
                <w:rStyle w:val="Hiperligao"/>
              </w:rPr>
              <w:t>Nota prévia</w:t>
            </w:r>
            <w:r w:rsidR="006C3B72" w:rsidRPr="009A539C">
              <w:rPr>
                <w:webHidden/>
              </w:rPr>
              <w:tab/>
            </w:r>
            <w:r w:rsidR="006C3B72" w:rsidRPr="009A539C">
              <w:rPr>
                <w:webHidden/>
              </w:rPr>
              <w:fldChar w:fldCharType="begin"/>
            </w:r>
            <w:r w:rsidR="006C3B72" w:rsidRPr="009A539C">
              <w:rPr>
                <w:webHidden/>
              </w:rPr>
              <w:instrText xml:space="preserve"> PAGEREF _Toc45535730 \h </w:instrText>
            </w:r>
            <w:r w:rsidR="006C3B72" w:rsidRPr="009A539C">
              <w:rPr>
                <w:webHidden/>
              </w:rPr>
            </w:r>
            <w:r w:rsidR="006C3B72" w:rsidRPr="009A539C">
              <w:rPr>
                <w:webHidden/>
              </w:rPr>
              <w:fldChar w:fldCharType="separate"/>
            </w:r>
            <w:r w:rsidR="00D821DE">
              <w:rPr>
                <w:webHidden/>
              </w:rPr>
              <w:t>159</w:t>
            </w:r>
            <w:r w:rsidR="006C3B72" w:rsidRPr="009A539C">
              <w:rPr>
                <w:webHidden/>
              </w:rPr>
              <w:fldChar w:fldCharType="end"/>
            </w:r>
          </w:hyperlink>
        </w:p>
        <w:p w14:paraId="4C8211F7" w14:textId="77777777" w:rsidR="006C3B72" w:rsidRPr="009A539C" w:rsidRDefault="00E742C1">
          <w:pPr>
            <w:pStyle w:val="ndice4"/>
            <w:tabs>
              <w:tab w:val="left" w:pos="2124"/>
            </w:tabs>
            <w:rPr>
              <w:rFonts w:asciiTheme="minorHAnsi" w:eastAsiaTheme="minorEastAsia" w:hAnsiTheme="minorHAnsi" w:cstheme="minorBidi"/>
              <w:lang w:eastAsia="pt-PT"/>
            </w:rPr>
          </w:pPr>
          <w:hyperlink w:anchor="_Toc45535731" w:history="1">
            <w:r w:rsidR="006C3B72" w:rsidRPr="009A539C">
              <w:rPr>
                <w:rStyle w:val="Hiperligao"/>
              </w:rPr>
              <w:t>4.4.7.2.</w:t>
            </w:r>
            <w:r w:rsidR="006C3B72" w:rsidRPr="009A539C">
              <w:rPr>
                <w:rFonts w:asciiTheme="minorHAnsi" w:eastAsiaTheme="minorEastAsia" w:hAnsiTheme="minorHAnsi" w:cstheme="minorBidi"/>
                <w:lang w:eastAsia="pt-PT"/>
              </w:rPr>
              <w:tab/>
            </w:r>
            <w:r w:rsidR="006C3B72" w:rsidRPr="009A539C">
              <w:rPr>
                <w:rStyle w:val="Hiperligao"/>
              </w:rPr>
              <w:t>Assédio Moral</w:t>
            </w:r>
            <w:r w:rsidR="006C3B72" w:rsidRPr="009A539C">
              <w:rPr>
                <w:webHidden/>
              </w:rPr>
              <w:tab/>
            </w:r>
            <w:r w:rsidR="006C3B72" w:rsidRPr="009A539C">
              <w:rPr>
                <w:webHidden/>
              </w:rPr>
              <w:fldChar w:fldCharType="begin"/>
            </w:r>
            <w:r w:rsidR="006C3B72" w:rsidRPr="009A539C">
              <w:rPr>
                <w:webHidden/>
              </w:rPr>
              <w:instrText xml:space="preserve"> PAGEREF _Toc45535731 \h </w:instrText>
            </w:r>
            <w:r w:rsidR="006C3B72" w:rsidRPr="009A539C">
              <w:rPr>
                <w:webHidden/>
              </w:rPr>
            </w:r>
            <w:r w:rsidR="006C3B72" w:rsidRPr="009A539C">
              <w:rPr>
                <w:webHidden/>
              </w:rPr>
              <w:fldChar w:fldCharType="separate"/>
            </w:r>
            <w:r w:rsidR="00D821DE">
              <w:rPr>
                <w:webHidden/>
              </w:rPr>
              <w:t>160</w:t>
            </w:r>
            <w:r w:rsidR="006C3B72" w:rsidRPr="009A539C">
              <w:rPr>
                <w:webHidden/>
              </w:rPr>
              <w:fldChar w:fldCharType="end"/>
            </w:r>
          </w:hyperlink>
        </w:p>
        <w:p w14:paraId="34F80A45" w14:textId="77777777" w:rsidR="006C3B72" w:rsidRPr="009A539C" w:rsidRDefault="00E742C1">
          <w:pPr>
            <w:pStyle w:val="ndice4"/>
            <w:tabs>
              <w:tab w:val="left" w:pos="2124"/>
            </w:tabs>
            <w:rPr>
              <w:rFonts w:asciiTheme="minorHAnsi" w:eastAsiaTheme="minorEastAsia" w:hAnsiTheme="minorHAnsi" w:cstheme="minorBidi"/>
              <w:lang w:eastAsia="pt-PT"/>
            </w:rPr>
          </w:pPr>
          <w:hyperlink w:anchor="_Toc45535732" w:history="1">
            <w:r w:rsidR="006C3B72" w:rsidRPr="009A539C">
              <w:rPr>
                <w:rStyle w:val="Hiperligao"/>
              </w:rPr>
              <w:t>4.4.7.3.</w:t>
            </w:r>
            <w:r w:rsidR="006C3B72" w:rsidRPr="009A539C">
              <w:rPr>
                <w:rFonts w:asciiTheme="minorHAnsi" w:eastAsiaTheme="minorEastAsia" w:hAnsiTheme="minorHAnsi" w:cstheme="minorBidi"/>
                <w:lang w:eastAsia="pt-PT"/>
              </w:rPr>
              <w:tab/>
            </w:r>
            <w:r w:rsidR="006C3B72" w:rsidRPr="009A539C">
              <w:rPr>
                <w:rStyle w:val="Hiperligao"/>
              </w:rPr>
              <w:t>Conciliação entre a vida familiar e profissional</w:t>
            </w:r>
            <w:r w:rsidR="006C3B72" w:rsidRPr="009A539C">
              <w:rPr>
                <w:webHidden/>
              </w:rPr>
              <w:tab/>
            </w:r>
            <w:r w:rsidR="006C3B72" w:rsidRPr="009A539C">
              <w:rPr>
                <w:webHidden/>
              </w:rPr>
              <w:fldChar w:fldCharType="begin"/>
            </w:r>
            <w:r w:rsidR="006C3B72" w:rsidRPr="009A539C">
              <w:rPr>
                <w:webHidden/>
              </w:rPr>
              <w:instrText xml:space="preserve"> PAGEREF _Toc45535732 \h </w:instrText>
            </w:r>
            <w:r w:rsidR="006C3B72" w:rsidRPr="009A539C">
              <w:rPr>
                <w:webHidden/>
              </w:rPr>
            </w:r>
            <w:r w:rsidR="006C3B72" w:rsidRPr="009A539C">
              <w:rPr>
                <w:webHidden/>
              </w:rPr>
              <w:fldChar w:fldCharType="separate"/>
            </w:r>
            <w:r w:rsidR="00D821DE">
              <w:rPr>
                <w:webHidden/>
              </w:rPr>
              <w:t>162</w:t>
            </w:r>
            <w:r w:rsidR="006C3B72" w:rsidRPr="009A539C">
              <w:rPr>
                <w:webHidden/>
              </w:rPr>
              <w:fldChar w:fldCharType="end"/>
            </w:r>
          </w:hyperlink>
        </w:p>
        <w:p w14:paraId="2AAED53B" w14:textId="77777777" w:rsidR="006C3B72" w:rsidRPr="009A539C" w:rsidRDefault="00E742C1">
          <w:pPr>
            <w:pStyle w:val="ndice4"/>
            <w:tabs>
              <w:tab w:val="left" w:pos="2124"/>
            </w:tabs>
            <w:rPr>
              <w:rFonts w:asciiTheme="minorHAnsi" w:eastAsiaTheme="minorEastAsia" w:hAnsiTheme="minorHAnsi" w:cstheme="minorBidi"/>
              <w:lang w:eastAsia="pt-PT"/>
            </w:rPr>
          </w:pPr>
          <w:hyperlink w:anchor="_Toc45535733" w:history="1">
            <w:r w:rsidR="006C3B72" w:rsidRPr="009A539C">
              <w:rPr>
                <w:rStyle w:val="Hiperligao"/>
              </w:rPr>
              <w:t>4.4.7.4.</w:t>
            </w:r>
            <w:r w:rsidR="006C3B72" w:rsidRPr="009A539C">
              <w:rPr>
                <w:rFonts w:asciiTheme="minorHAnsi" w:eastAsiaTheme="minorEastAsia" w:hAnsiTheme="minorHAnsi" w:cstheme="minorBidi"/>
                <w:lang w:eastAsia="pt-PT"/>
              </w:rPr>
              <w:tab/>
            </w:r>
            <w:r w:rsidR="006C3B72" w:rsidRPr="009A539C">
              <w:rPr>
                <w:rStyle w:val="Hiperligao"/>
              </w:rPr>
              <w:t>Igualdade em geral</w:t>
            </w:r>
            <w:r w:rsidR="006C3B72" w:rsidRPr="009A539C">
              <w:rPr>
                <w:webHidden/>
              </w:rPr>
              <w:tab/>
            </w:r>
            <w:r w:rsidR="006C3B72" w:rsidRPr="009A539C">
              <w:rPr>
                <w:webHidden/>
              </w:rPr>
              <w:fldChar w:fldCharType="begin"/>
            </w:r>
            <w:r w:rsidR="006C3B72" w:rsidRPr="009A539C">
              <w:rPr>
                <w:webHidden/>
              </w:rPr>
              <w:instrText xml:space="preserve"> PAGEREF _Toc45535733 \h </w:instrText>
            </w:r>
            <w:r w:rsidR="006C3B72" w:rsidRPr="009A539C">
              <w:rPr>
                <w:webHidden/>
              </w:rPr>
            </w:r>
            <w:r w:rsidR="006C3B72" w:rsidRPr="009A539C">
              <w:rPr>
                <w:webHidden/>
              </w:rPr>
              <w:fldChar w:fldCharType="separate"/>
            </w:r>
            <w:r w:rsidR="00D821DE">
              <w:rPr>
                <w:webHidden/>
              </w:rPr>
              <w:t>166</w:t>
            </w:r>
            <w:r w:rsidR="006C3B72" w:rsidRPr="009A539C">
              <w:rPr>
                <w:webHidden/>
              </w:rPr>
              <w:fldChar w:fldCharType="end"/>
            </w:r>
          </w:hyperlink>
        </w:p>
        <w:p w14:paraId="1036FBF2" w14:textId="77777777" w:rsidR="006C3B72" w:rsidRPr="009A539C" w:rsidRDefault="00E742C1">
          <w:pPr>
            <w:pStyle w:val="ndice3"/>
            <w:rPr>
              <w:rFonts w:asciiTheme="minorHAnsi" w:eastAsiaTheme="minorEastAsia" w:hAnsiTheme="minorHAnsi" w:cstheme="minorBidi"/>
              <w:b w:val="0"/>
              <w:color w:val="auto"/>
              <w:lang w:eastAsia="pt-PT"/>
            </w:rPr>
          </w:pPr>
          <w:hyperlink w:anchor="_Toc45535734" w:history="1">
            <w:r w:rsidR="006C3B72" w:rsidRPr="009A539C">
              <w:rPr>
                <w:rStyle w:val="Hiperligao"/>
                <w:rFonts w:cs="Calibri"/>
              </w:rPr>
              <w:t>4.4.8.</w:t>
            </w:r>
            <w:r w:rsidR="006C3B72" w:rsidRPr="009A539C">
              <w:rPr>
                <w:rFonts w:asciiTheme="minorHAnsi" w:eastAsiaTheme="minorEastAsia" w:hAnsiTheme="minorHAnsi" w:cstheme="minorBidi"/>
                <w:b w:val="0"/>
                <w:color w:val="auto"/>
                <w:lang w:eastAsia="pt-PT"/>
              </w:rPr>
              <w:tab/>
            </w:r>
            <w:r w:rsidR="006C3B72" w:rsidRPr="009A539C">
              <w:rPr>
                <w:rStyle w:val="Hiperligao"/>
                <w:rFonts w:cs="Calibri"/>
              </w:rPr>
              <w:t>Direito à proteção de dados pessoais na contratação coletiva</w:t>
            </w:r>
            <w:r w:rsidR="006C3B72" w:rsidRPr="009A539C">
              <w:rPr>
                <w:webHidden/>
              </w:rPr>
              <w:tab/>
            </w:r>
            <w:r w:rsidR="006C3B72" w:rsidRPr="009A539C">
              <w:rPr>
                <w:webHidden/>
              </w:rPr>
              <w:fldChar w:fldCharType="begin"/>
            </w:r>
            <w:r w:rsidR="006C3B72" w:rsidRPr="009A539C">
              <w:rPr>
                <w:webHidden/>
              </w:rPr>
              <w:instrText xml:space="preserve"> PAGEREF _Toc45535734 \h </w:instrText>
            </w:r>
            <w:r w:rsidR="006C3B72" w:rsidRPr="009A539C">
              <w:rPr>
                <w:webHidden/>
              </w:rPr>
            </w:r>
            <w:r w:rsidR="006C3B72" w:rsidRPr="009A539C">
              <w:rPr>
                <w:webHidden/>
              </w:rPr>
              <w:fldChar w:fldCharType="separate"/>
            </w:r>
            <w:r w:rsidR="00D821DE">
              <w:rPr>
                <w:webHidden/>
              </w:rPr>
              <w:t>168</w:t>
            </w:r>
            <w:r w:rsidR="006C3B72" w:rsidRPr="009A539C">
              <w:rPr>
                <w:webHidden/>
              </w:rPr>
              <w:fldChar w:fldCharType="end"/>
            </w:r>
          </w:hyperlink>
        </w:p>
        <w:p w14:paraId="286C3FA4" w14:textId="77777777" w:rsidR="006C3B72" w:rsidRPr="009A539C" w:rsidRDefault="00E742C1">
          <w:pPr>
            <w:pStyle w:val="ndice4"/>
            <w:tabs>
              <w:tab w:val="left" w:pos="2124"/>
            </w:tabs>
            <w:rPr>
              <w:rFonts w:asciiTheme="minorHAnsi" w:eastAsiaTheme="minorEastAsia" w:hAnsiTheme="minorHAnsi" w:cstheme="minorBidi"/>
              <w:lang w:eastAsia="pt-PT"/>
            </w:rPr>
          </w:pPr>
          <w:hyperlink w:anchor="_Toc45535735" w:history="1">
            <w:r w:rsidR="006C3B72" w:rsidRPr="009A539C">
              <w:rPr>
                <w:rStyle w:val="Hiperligao"/>
              </w:rPr>
              <w:t>4.4.8.1.</w:t>
            </w:r>
            <w:r w:rsidR="006C3B72" w:rsidRPr="009A539C">
              <w:rPr>
                <w:rFonts w:asciiTheme="minorHAnsi" w:eastAsiaTheme="minorEastAsia" w:hAnsiTheme="minorHAnsi" w:cstheme="minorBidi"/>
                <w:lang w:eastAsia="pt-PT"/>
              </w:rPr>
              <w:tab/>
            </w:r>
            <w:r w:rsidR="006C3B72" w:rsidRPr="009A539C">
              <w:rPr>
                <w:rStyle w:val="Hiperligao"/>
              </w:rPr>
              <w:t>Nota prévia</w:t>
            </w:r>
            <w:r w:rsidR="006C3B72" w:rsidRPr="009A539C">
              <w:rPr>
                <w:webHidden/>
              </w:rPr>
              <w:tab/>
            </w:r>
            <w:r w:rsidR="006C3B72" w:rsidRPr="009A539C">
              <w:rPr>
                <w:webHidden/>
              </w:rPr>
              <w:fldChar w:fldCharType="begin"/>
            </w:r>
            <w:r w:rsidR="006C3B72" w:rsidRPr="009A539C">
              <w:rPr>
                <w:webHidden/>
              </w:rPr>
              <w:instrText xml:space="preserve"> PAGEREF _Toc45535735 \h </w:instrText>
            </w:r>
            <w:r w:rsidR="006C3B72" w:rsidRPr="009A539C">
              <w:rPr>
                <w:webHidden/>
              </w:rPr>
            </w:r>
            <w:r w:rsidR="006C3B72" w:rsidRPr="009A539C">
              <w:rPr>
                <w:webHidden/>
              </w:rPr>
              <w:fldChar w:fldCharType="separate"/>
            </w:r>
            <w:r w:rsidR="00D821DE">
              <w:rPr>
                <w:webHidden/>
              </w:rPr>
              <w:t>168</w:t>
            </w:r>
            <w:r w:rsidR="006C3B72" w:rsidRPr="009A539C">
              <w:rPr>
                <w:webHidden/>
              </w:rPr>
              <w:fldChar w:fldCharType="end"/>
            </w:r>
          </w:hyperlink>
        </w:p>
        <w:p w14:paraId="5BD2506A" w14:textId="77777777" w:rsidR="006C3B72" w:rsidRPr="009A539C" w:rsidRDefault="00E742C1">
          <w:pPr>
            <w:pStyle w:val="ndice4"/>
            <w:tabs>
              <w:tab w:val="left" w:pos="2124"/>
            </w:tabs>
            <w:rPr>
              <w:rFonts w:asciiTheme="minorHAnsi" w:eastAsiaTheme="minorEastAsia" w:hAnsiTheme="minorHAnsi" w:cstheme="minorBidi"/>
              <w:lang w:eastAsia="pt-PT"/>
            </w:rPr>
          </w:pPr>
          <w:hyperlink w:anchor="_Toc45535736" w:history="1">
            <w:r w:rsidR="006C3B72" w:rsidRPr="009A539C">
              <w:rPr>
                <w:rStyle w:val="Hiperligao"/>
              </w:rPr>
              <w:t>4.4.8.2.</w:t>
            </w:r>
            <w:r w:rsidR="006C3B72" w:rsidRPr="009A539C">
              <w:rPr>
                <w:rFonts w:asciiTheme="minorHAnsi" w:eastAsiaTheme="minorEastAsia" w:hAnsiTheme="minorHAnsi" w:cstheme="minorBidi"/>
                <w:lang w:eastAsia="pt-PT"/>
              </w:rPr>
              <w:tab/>
            </w:r>
            <w:r w:rsidR="006C3B72" w:rsidRPr="009A539C">
              <w:rPr>
                <w:rStyle w:val="Hiperligao"/>
              </w:rPr>
              <w:t>Normas que envolvem tratamento de dados pessoais para efeitos da execução de obrigações das convenções coletivas</w:t>
            </w:r>
            <w:r w:rsidR="006C3B72" w:rsidRPr="009A539C">
              <w:rPr>
                <w:webHidden/>
              </w:rPr>
              <w:tab/>
            </w:r>
            <w:r w:rsidR="006C3B72" w:rsidRPr="009A539C">
              <w:rPr>
                <w:webHidden/>
              </w:rPr>
              <w:fldChar w:fldCharType="begin"/>
            </w:r>
            <w:r w:rsidR="006C3B72" w:rsidRPr="009A539C">
              <w:rPr>
                <w:webHidden/>
              </w:rPr>
              <w:instrText xml:space="preserve"> PAGEREF _Toc45535736 \h </w:instrText>
            </w:r>
            <w:r w:rsidR="006C3B72" w:rsidRPr="009A539C">
              <w:rPr>
                <w:webHidden/>
              </w:rPr>
            </w:r>
            <w:r w:rsidR="006C3B72" w:rsidRPr="009A539C">
              <w:rPr>
                <w:webHidden/>
              </w:rPr>
              <w:fldChar w:fldCharType="separate"/>
            </w:r>
            <w:r w:rsidR="00D821DE">
              <w:rPr>
                <w:webHidden/>
              </w:rPr>
              <w:t>169</w:t>
            </w:r>
            <w:r w:rsidR="006C3B72" w:rsidRPr="009A539C">
              <w:rPr>
                <w:webHidden/>
              </w:rPr>
              <w:fldChar w:fldCharType="end"/>
            </w:r>
          </w:hyperlink>
        </w:p>
        <w:p w14:paraId="2E63EA8B" w14:textId="77777777" w:rsidR="006C3B72" w:rsidRPr="009A539C" w:rsidRDefault="00E742C1">
          <w:pPr>
            <w:pStyle w:val="ndice4"/>
            <w:tabs>
              <w:tab w:val="left" w:pos="2124"/>
            </w:tabs>
            <w:rPr>
              <w:rFonts w:asciiTheme="minorHAnsi" w:eastAsiaTheme="minorEastAsia" w:hAnsiTheme="minorHAnsi" w:cstheme="minorBidi"/>
              <w:lang w:eastAsia="pt-PT"/>
            </w:rPr>
          </w:pPr>
          <w:hyperlink w:anchor="_Toc45535737" w:history="1">
            <w:r w:rsidR="006C3B72" w:rsidRPr="009A539C">
              <w:rPr>
                <w:rStyle w:val="Hiperligao"/>
              </w:rPr>
              <w:t>4.4.8.3.</w:t>
            </w:r>
            <w:r w:rsidR="006C3B72" w:rsidRPr="009A539C">
              <w:rPr>
                <w:rFonts w:asciiTheme="minorHAnsi" w:eastAsiaTheme="minorEastAsia" w:hAnsiTheme="minorHAnsi" w:cstheme="minorBidi"/>
                <w:lang w:eastAsia="pt-PT"/>
              </w:rPr>
              <w:tab/>
            </w:r>
            <w:r w:rsidR="006C3B72" w:rsidRPr="009A539C">
              <w:rPr>
                <w:rStyle w:val="Hiperligao"/>
              </w:rPr>
              <w:t>Proteção de dados em especial: meios de vigilância eletrónica, meios de comunicação eletrónica e processo individual dos trabalhadores</w:t>
            </w:r>
            <w:r w:rsidR="006C3B72" w:rsidRPr="009A539C">
              <w:rPr>
                <w:webHidden/>
              </w:rPr>
              <w:tab/>
            </w:r>
            <w:r w:rsidR="006C3B72" w:rsidRPr="009A539C">
              <w:rPr>
                <w:webHidden/>
              </w:rPr>
              <w:fldChar w:fldCharType="begin"/>
            </w:r>
            <w:r w:rsidR="006C3B72" w:rsidRPr="009A539C">
              <w:rPr>
                <w:webHidden/>
              </w:rPr>
              <w:instrText xml:space="preserve"> PAGEREF _Toc45535737 \h </w:instrText>
            </w:r>
            <w:r w:rsidR="006C3B72" w:rsidRPr="009A539C">
              <w:rPr>
                <w:webHidden/>
              </w:rPr>
            </w:r>
            <w:r w:rsidR="006C3B72" w:rsidRPr="009A539C">
              <w:rPr>
                <w:webHidden/>
              </w:rPr>
              <w:fldChar w:fldCharType="separate"/>
            </w:r>
            <w:r w:rsidR="00D821DE">
              <w:rPr>
                <w:webHidden/>
              </w:rPr>
              <w:t>169</w:t>
            </w:r>
            <w:r w:rsidR="006C3B72" w:rsidRPr="009A539C">
              <w:rPr>
                <w:webHidden/>
              </w:rPr>
              <w:fldChar w:fldCharType="end"/>
            </w:r>
          </w:hyperlink>
        </w:p>
        <w:p w14:paraId="4A29AFE3" w14:textId="77777777" w:rsidR="006C3B72" w:rsidRPr="009A539C" w:rsidRDefault="00E742C1">
          <w:pPr>
            <w:pStyle w:val="ndice3"/>
            <w:rPr>
              <w:rFonts w:asciiTheme="minorHAnsi" w:eastAsiaTheme="minorEastAsia" w:hAnsiTheme="minorHAnsi" w:cstheme="minorBidi"/>
              <w:b w:val="0"/>
              <w:color w:val="auto"/>
              <w:lang w:eastAsia="pt-PT"/>
            </w:rPr>
          </w:pPr>
          <w:hyperlink w:anchor="_Toc45535738" w:history="1">
            <w:r w:rsidR="006C3B72" w:rsidRPr="009A539C">
              <w:rPr>
                <w:rStyle w:val="Hiperligao"/>
                <w:rFonts w:cs="Calibri"/>
              </w:rPr>
              <w:t>4.4.9.</w:t>
            </w:r>
            <w:r w:rsidR="006C3B72" w:rsidRPr="009A539C">
              <w:rPr>
                <w:rFonts w:asciiTheme="minorHAnsi" w:eastAsiaTheme="minorEastAsia" w:hAnsiTheme="minorHAnsi" w:cstheme="minorBidi"/>
                <w:b w:val="0"/>
                <w:color w:val="auto"/>
                <w:lang w:eastAsia="pt-PT"/>
              </w:rPr>
              <w:tab/>
            </w:r>
            <w:r w:rsidR="006C3B72" w:rsidRPr="009A539C">
              <w:rPr>
                <w:rStyle w:val="Hiperligao"/>
                <w:rFonts w:cs="Calibri"/>
              </w:rPr>
              <w:t>Novas tecnologias e relações de trabalho</w:t>
            </w:r>
            <w:r w:rsidR="006C3B72" w:rsidRPr="009A539C">
              <w:rPr>
                <w:webHidden/>
              </w:rPr>
              <w:tab/>
            </w:r>
            <w:r w:rsidR="006C3B72" w:rsidRPr="009A539C">
              <w:rPr>
                <w:webHidden/>
              </w:rPr>
              <w:fldChar w:fldCharType="begin"/>
            </w:r>
            <w:r w:rsidR="006C3B72" w:rsidRPr="009A539C">
              <w:rPr>
                <w:webHidden/>
              </w:rPr>
              <w:instrText xml:space="preserve"> PAGEREF _Toc45535738 \h </w:instrText>
            </w:r>
            <w:r w:rsidR="006C3B72" w:rsidRPr="009A539C">
              <w:rPr>
                <w:webHidden/>
              </w:rPr>
            </w:r>
            <w:r w:rsidR="006C3B72" w:rsidRPr="009A539C">
              <w:rPr>
                <w:webHidden/>
              </w:rPr>
              <w:fldChar w:fldCharType="separate"/>
            </w:r>
            <w:r w:rsidR="00D821DE">
              <w:rPr>
                <w:webHidden/>
              </w:rPr>
              <w:t>170</w:t>
            </w:r>
            <w:r w:rsidR="006C3B72" w:rsidRPr="009A539C">
              <w:rPr>
                <w:webHidden/>
              </w:rPr>
              <w:fldChar w:fldCharType="end"/>
            </w:r>
          </w:hyperlink>
        </w:p>
        <w:p w14:paraId="3C4D65B1" w14:textId="77777777" w:rsidR="006C3B72" w:rsidRPr="009A539C" w:rsidRDefault="00E742C1">
          <w:pPr>
            <w:pStyle w:val="ndice4"/>
            <w:tabs>
              <w:tab w:val="left" w:pos="2124"/>
            </w:tabs>
            <w:rPr>
              <w:rFonts w:asciiTheme="minorHAnsi" w:eastAsiaTheme="minorEastAsia" w:hAnsiTheme="minorHAnsi" w:cstheme="minorBidi"/>
              <w:lang w:eastAsia="pt-PT"/>
            </w:rPr>
          </w:pPr>
          <w:hyperlink w:anchor="_Toc45535739" w:history="1">
            <w:r w:rsidR="006C3B72" w:rsidRPr="009A539C">
              <w:rPr>
                <w:rStyle w:val="Hiperligao"/>
              </w:rPr>
              <w:t>4.4.9.1.</w:t>
            </w:r>
            <w:r w:rsidR="006C3B72" w:rsidRPr="009A539C">
              <w:rPr>
                <w:rFonts w:asciiTheme="minorHAnsi" w:eastAsiaTheme="minorEastAsia" w:hAnsiTheme="minorHAnsi" w:cstheme="minorBidi"/>
                <w:lang w:eastAsia="pt-PT"/>
              </w:rPr>
              <w:tab/>
            </w:r>
            <w:r w:rsidR="006C3B72" w:rsidRPr="009A539C">
              <w:rPr>
                <w:rStyle w:val="Hiperligao"/>
              </w:rPr>
              <w:t>Teletrabalho</w:t>
            </w:r>
            <w:r w:rsidR="006C3B72" w:rsidRPr="009A539C">
              <w:rPr>
                <w:webHidden/>
              </w:rPr>
              <w:tab/>
            </w:r>
            <w:r w:rsidR="006C3B72" w:rsidRPr="009A539C">
              <w:rPr>
                <w:webHidden/>
              </w:rPr>
              <w:fldChar w:fldCharType="begin"/>
            </w:r>
            <w:r w:rsidR="006C3B72" w:rsidRPr="009A539C">
              <w:rPr>
                <w:webHidden/>
              </w:rPr>
              <w:instrText xml:space="preserve"> PAGEREF _Toc45535739 \h </w:instrText>
            </w:r>
            <w:r w:rsidR="006C3B72" w:rsidRPr="009A539C">
              <w:rPr>
                <w:webHidden/>
              </w:rPr>
            </w:r>
            <w:r w:rsidR="006C3B72" w:rsidRPr="009A539C">
              <w:rPr>
                <w:webHidden/>
              </w:rPr>
              <w:fldChar w:fldCharType="separate"/>
            </w:r>
            <w:r w:rsidR="00D821DE">
              <w:rPr>
                <w:webHidden/>
              </w:rPr>
              <w:t>171</w:t>
            </w:r>
            <w:r w:rsidR="006C3B72" w:rsidRPr="009A539C">
              <w:rPr>
                <w:webHidden/>
              </w:rPr>
              <w:fldChar w:fldCharType="end"/>
            </w:r>
          </w:hyperlink>
        </w:p>
        <w:p w14:paraId="0043030F" w14:textId="77777777" w:rsidR="006C3B72" w:rsidRPr="009A539C" w:rsidRDefault="00E742C1">
          <w:pPr>
            <w:pStyle w:val="ndice4"/>
            <w:tabs>
              <w:tab w:val="left" w:pos="2124"/>
            </w:tabs>
            <w:rPr>
              <w:rFonts w:asciiTheme="minorHAnsi" w:eastAsiaTheme="minorEastAsia" w:hAnsiTheme="minorHAnsi" w:cstheme="minorBidi"/>
              <w:lang w:eastAsia="pt-PT"/>
            </w:rPr>
          </w:pPr>
          <w:hyperlink w:anchor="_Toc45535740" w:history="1">
            <w:r w:rsidR="006C3B72" w:rsidRPr="009A539C">
              <w:rPr>
                <w:rStyle w:val="Hiperligao"/>
              </w:rPr>
              <w:t>4.4.9.2.</w:t>
            </w:r>
            <w:r w:rsidR="006C3B72" w:rsidRPr="009A539C">
              <w:rPr>
                <w:rFonts w:asciiTheme="minorHAnsi" w:eastAsiaTheme="minorEastAsia" w:hAnsiTheme="minorHAnsi" w:cstheme="minorBidi"/>
                <w:lang w:eastAsia="pt-PT"/>
              </w:rPr>
              <w:tab/>
            </w:r>
            <w:r w:rsidR="006C3B72" w:rsidRPr="009A539C">
              <w:rPr>
                <w:rStyle w:val="Hiperligao"/>
              </w:rPr>
              <w:t>Direito à desconexão</w:t>
            </w:r>
            <w:r w:rsidR="006C3B72" w:rsidRPr="009A539C">
              <w:rPr>
                <w:webHidden/>
              </w:rPr>
              <w:tab/>
            </w:r>
            <w:r w:rsidR="006C3B72" w:rsidRPr="009A539C">
              <w:rPr>
                <w:webHidden/>
              </w:rPr>
              <w:fldChar w:fldCharType="begin"/>
            </w:r>
            <w:r w:rsidR="006C3B72" w:rsidRPr="009A539C">
              <w:rPr>
                <w:webHidden/>
              </w:rPr>
              <w:instrText xml:space="preserve"> PAGEREF _Toc45535740 \h </w:instrText>
            </w:r>
            <w:r w:rsidR="006C3B72" w:rsidRPr="009A539C">
              <w:rPr>
                <w:webHidden/>
              </w:rPr>
            </w:r>
            <w:r w:rsidR="006C3B72" w:rsidRPr="009A539C">
              <w:rPr>
                <w:webHidden/>
              </w:rPr>
              <w:fldChar w:fldCharType="separate"/>
            </w:r>
            <w:r w:rsidR="00D821DE">
              <w:rPr>
                <w:webHidden/>
              </w:rPr>
              <w:t>173</w:t>
            </w:r>
            <w:r w:rsidR="006C3B72" w:rsidRPr="009A539C">
              <w:rPr>
                <w:webHidden/>
              </w:rPr>
              <w:fldChar w:fldCharType="end"/>
            </w:r>
          </w:hyperlink>
        </w:p>
        <w:p w14:paraId="25D8FC11" w14:textId="77777777" w:rsidR="006C3B72" w:rsidRPr="009A539C" w:rsidRDefault="00E742C1">
          <w:pPr>
            <w:pStyle w:val="ndice3"/>
            <w:rPr>
              <w:rFonts w:asciiTheme="minorHAnsi" w:eastAsiaTheme="minorEastAsia" w:hAnsiTheme="minorHAnsi" w:cstheme="minorBidi"/>
              <w:b w:val="0"/>
              <w:color w:val="auto"/>
              <w:lang w:eastAsia="pt-PT"/>
            </w:rPr>
          </w:pPr>
          <w:hyperlink w:anchor="_Toc45535741" w:history="1">
            <w:r w:rsidR="006C3B72" w:rsidRPr="009A539C">
              <w:rPr>
                <w:rStyle w:val="Hiperligao"/>
                <w:rFonts w:cs="Calibri"/>
              </w:rPr>
              <w:t>4.4.10</w:t>
            </w:r>
            <w:r w:rsidR="006C3B72" w:rsidRPr="009A539C">
              <w:rPr>
                <w:rFonts w:asciiTheme="minorHAnsi" w:eastAsiaTheme="minorEastAsia" w:hAnsiTheme="minorHAnsi" w:cstheme="minorBidi"/>
                <w:b w:val="0"/>
                <w:color w:val="auto"/>
                <w:lang w:eastAsia="pt-PT"/>
              </w:rPr>
              <w:tab/>
            </w:r>
            <w:r w:rsidR="006C3B72" w:rsidRPr="009A539C">
              <w:rPr>
                <w:rStyle w:val="Hiperligao"/>
                <w:rFonts w:cs="Calibri"/>
              </w:rPr>
              <w:t>Avaliação de desempenho</w:t>
            </w:r>
            <w:r w:rsidR="006C3B72" w:rsidRPr="009A539C">
              <w:rPr>
                <w:webHidden/>
              </w:rPr>
              <w:tab/>
            </w:r>
            <w:r w:rsidR="006C3B72" w:rsidRPr="009A539C">
              <w:rPr>
                <w:webHidden/>
              </w:rPr>
              <w:fldChar w:fldCharType="begin"/>
            </w:r>
            <w:r w:rsidR="006C3B72" w:rsidRPr="009A539C">
              <w:rPr>
                <w:webHidden/>
              </w:rPr>
              <w:instrText xml:space="preserve"> PAGEREF _Toc45535741 \h </w:instrText>
            </w:r>
            <w:r w:rsidR="006C3B72" w:rsidRPr="009A539C">
              <w:rPr>
                <w:webHidden/>
              </w:rPr>
            </w:r>
            <w:r w:rsidR="006C3B72" w:rsidRPr="009A539C">
              <w:rPr>
                <w:webHidden/>
              </w:rPr>
              <w:fldChar w:fldCharType="separate"/>
            </w:r>
            <w:r w:rsidR="00D821DE">
              <w:rPr>
                <w:webHidden/>
              </w:rPr>
              <w:t>174</w:t>
            </w:r>
            <w:r w:rsidR="006C3B72" w:rsidRPr="009A539C">
              <w:rPr>
                <w:webHidden/>
              </w:rPr>
              <w:fldChar w:fldCharType="end"/>
            </w:r>
          </w:hyperlink>
        </w:p>
        <w:p w14:paraId="104AD2B3" w14:textId="77777777" w:rsidR="006C3B72" w:rsidRPr="009A539C" w:rsidRDefault="00E742C1">
          <w:pPr>
            <w:pStyle w:val="ndice3"/>
            <w:rPr>
              <w:rFonts w:asciiTheme="minorHAnsi" w:eastAsiaTheme="minorEastAsia" w:hAnsiTheme="minorHAnsi" w:cstheme="minorBidi"/>
              <w:b w:val="0"/>
              <w:color w:val="auto"/>
              <w:lang w:eastAsia="pt-PT"/>
            </w:rPr>
          </w:pPr>
          <w:hyperlink w:anchor="_Toc45535742" w:history="1">
            <w:r w:rsidR="006C3B72" w:rsidRPr="009A539C">
              <w:rPr>
                <w:rStyle w:val="Hiperligao"/>
                <w:rFonts w:cs="Calibri"/>
              </w:rPr>
              <w:t>4.4.11.</w:t>
            </w:r>
            <w:r w:rsidR="006C3B72" w:rsidRPr="009A539C">
              <w:rPr>
                <w:rFonts w:asciiTheme="minorHAnsi" w:eastAsiaTheme="minorEastAsia" w:hAnsiTheme="minorHAnsi" w:cstheme="minorBidi"/>
                <w:b w:val="0"/>
                <w:color w:val="auto"/>
                <w:lang w:eastAsia="pt-PT"/>
              </w:rPr>
              <w:tab/>
            </w:r>
            <w:r w:rsidR="006C3B72" w:rsidRPr="009A539C">
              <w:rPr>
                <w:rStyle w:val="Hiperligao"/>
                <w:rFonts w:cs="Calibri"/>
              </w:rPr>
              <w:t>Direitos das estruturas representativas dos trabalhadores</w:t>
            </w:r>
            <w:r w:rsidR="006C3B72" w:rsidRPr="009A539C">
              <w:rPr>
                <w:webHidden/>
              </w:rPr>
              <w:tab/>
            </w:r>
            <w:r w:rsidR="006C3B72" w:rsidRPr="009A539C">
              <w:rPr>
                <w:webHidden/>
              </w:rPr>
              <w:fldChar w:fldCharType="begin"/>
            </w:r>
            <w:r w:rsidR="006C3B72" w:rsidRPr="009A539C">
              <w:rPr>
                <w:webHidden/>
              </w:rPr>
              <w:instrText xml:space="preserve"> PAGEREF _Toc45535742 \h </w:instrText>
            </w:r>
            <w:r w:rsidR="006C3B72" w:rsidRPr="009A539C">
              <w:rPr>
                <w:webHidden/>
              </w:rPr>
            </w:r>
            <w:r w:rsidR="006C3B72" w:rsidRPr="009A539C">
              <w:rPr>
                <w:webHidden/>
              </w:rPr>
              <w:fldChar w:fldCharType="separate"/>
            </w:r>
            <w:r w:rsidR="00D821DE">
              <w:rPr>
                <w:webHidden/>
              </w:rPr>
              <w:t>176</w:t>
            </w:r>
            <w:r w:rsidR="006C3B72" w:rsidRPr="009A539C">
              <w:rPr>
                <w:webHidden/>
              </w:rPr>
              <w:fldChar w:fldCharType="end"/>
            </w:r>
          </w:hyperlink>
        </w:p>
        <w:p w14:paraId="2181D992" w14:textId="77777777" w:rsidR="006C3B72" w:rsidRPr="009A539C" w:rsidRDefault="00E742C1">
          <w:pPr>
            <w:pStyle w:val="ndice3"/>
            <w:rPr>
              <w:rFonts w:asciiTheme="minorHAnsi" w:eastAsiaTheme="minorEastAsia" w:hAnsiTheme="minorHAnsi" w:cstheme="minorBidi"/>
              <w:b w:val="0"/>
              <w:color w:val="auto"/>
              <w:lang w:eastAsia="pt-PT"/>
            </w:rPr>
          </w:pPr>
          <w:hyperlink w:anchor="_Toc45535743" w:history="1">
            <w:r w:rsidR="006C3B72" w:rsidRPr="009A539C">
              <w:rPr>
                <w:rStyle w:val="Hiperligao"/>
                <w:rFonts w:cs="Calibri"/>
              </w:rPr>
              <w:t>4.4.12.</w:t>
            </w:r>
            <w:r w:rsidR="006C3B72" w:rsidRPr="009A539C">
              <w:rPr>
                <w:rFonts w:asciiTheme="minorHAnsi" w:eastAsiaTheme="minorEastAsia" w:hAnsiTheme="minorHAnsi" w:cstheme="minorBidi"/>
                <w:b w:val="0"/>
                <w:color w:val="auto"/>
                <w:lang w:eastAsia="pt-PT"/>
              </w:rPr>
              <w:tab/>
            </w:r>
            <w:r w:rsidR="006C3B72" w:rsidRPr="009A539C">
              <w:rPr>
                <w:rStyle w:val="Hiperligao"/>
                <w:rFonts w:cs="Calibri"/>
              </w:rPr>
              <w:t>Complementação de prestações previdenciais e atribuição de outros benefícios sociais</w:t>
            </w:r>
            <w:r w:rsidR="006C3B72" w:rsidRPr="009A539C">
              <w:rPr>
                <w:webHidden/>
              </w:rPr>
              <w:tab/>
            </w:r>
            <w:r w:rsidR="006C3B72" w:rsidRPr="009A539C">
              <w:rPr>
                <w:webHidden/>
              </w:rPr>
              <w:fldChar w:fldCharType="begin"/>
            </w:r>
            <w:r w:rsidR="006C3B72" w:rsidRPr="009A539C">
              <w:rPr>
                <w:webHidden/>
              </w:rPr>
              <w:instrText xml:space="preserve"> PAGEREF _Toc45535743 \h </w:instrText>
            </w:r>
            <w:r w:rsidR="006C3B72" w:rsidRPr="009A539C">
              <w:rPr>
                <w:webHidden/>
              </w:rPr>
            </w:r>
            <w:r w:rsidR="006C3B72" w:rsidRPr="009A539C">
              <w:rPr>
                <w:webHidden/>
              </w:rPr>
              <w:fldChar w:fldCharType="separate"/>
            </w:r>
            <w:r w:rsidR="00D821DE">
              <w:rPr>
                <w:webHidden/>
              </w:rPr>
              <w:t>182</w:t>
            </w:r>
            <w:r w:rsidR="006C3B72" w:rsidRPr="009A539C">
              <w:rPr>
                <w:webHidden/>
              </w:rPr>
              <w:fldChar w:fldCharType="end"/>
            </w:r>
          </w:hyperlink>
        </w:p>
        <w:p w14:paraId="0D8486E4" w14:textId="77777777" w:rsidR="006C3B72" w:rsidRPr="009A539C" w:rsidRDefault="00E742C1">
          <w:pPr>
            <w:pStyle w:val="ndice3"/>
            <w:rPr>
              <w:rFonts w:asciiTheme="minorHAnsi" w:eastAsiaTheme="minorEastAsia" w:hAnsiTheme="minorHAnsi" w:cstheme="minorBidi"/>
              <w:b w:val="0"/>
              <w:color w:val="auto"/>
              <w:lang w:eastAsia="pt-PT"/>
            </w:rPr>
          </w:pPr>
          <w:hyperlink w:anchor="_Toc45535744" w:history="1">
            <w:r w:rsidR="006C3B72" w:rsidRPr="009A539C">
              <w:rPr>
                <w:rStyle w:val="Hiperligao"/>
                <w:rFonts w:cs="Calibri"/>
              </w:rPr>
              <w:t>4.4.13.</w:t>
            </w:r>
            <w:r w:rsidR="006C3B72" w:rsidRPr="009A539C">
              <w:rPr>
                <w:rFonts w:asciiTheme="minorHAnsi" w:eastAsiaTheme="minorEastAsia" w:hAnsiTheme="minorHAnsi" w:cstheme="minorBidi"/>
                <w:b w:val="0"/>
                <w:color w:val="auto"/>
                <w:lang w:eastAsia="pt-PT"/>
              </w:rPr>
              <w:tab/>
            </w:r>
            <w:r w:rsidR="006C3B72" w:rsidRPr="009A539C">
              <w:rPr>
                <w:rStyle w:val="Hiperligao"/>
                <w:rFonts w:cs="Calibri"/>
              </w:rPr>
              <w:t>Panorâmica dos conteúdos convencionais face à Revisão do Código do Trabalho</w:t>
            </w:r>
            <w:r w:rsidR="006C3B72" w:rsidRPr="009A539C">
              <w:rPr>
                <w:webHidden/>
              </w:rPr>
              <w:tab/>
            </w:r>
            <w:r w:rsidR="006C3B72" w:rsidRPr="009A539C">
              <w:rPr>
                <w:webHidden/>
              </w:rPr>
              <w:fldChar w:fldCharType="begin"/>
            </w:r>
            <w:r w:rsidR="006C3B72" w:rsidRPr="009A539C">
              <w:rPr>
                <w:webHidden/>
              </w:rPr>
              <w:instrText xml:space="preserve"> PAGEREF _Toc45535744 \h </w:instrText>
            </w:r>
            <w:r w:rsidR="006C3B72" w:rsidRPr="009A539C">
              <w:rPr>
                <w:webHidden/>
              </w:rPr>
            </w:r>
            <w:r w:rsidR="006C3B72" w:rsidRPr="009A539C">
              <w:rPr>
                <w:webHidden/>
              </w:rPr>
              <w:fldChar w:fldCharType="separate"/>
            </w:r>
            <w:r w:rsidR="00D821DE">
              <w:rPr>
                <w:webHidden/>
              </w:rPr>
              <w:t>187</w:t>
            </w:r>
            <w:r w:rsidR="006C3B72" w:rsidRPr="009A539C">
              <w:rPr>
                <w:webHidden/>
              </w:rPr>
              <w:fldChar w:fldCharType="end"/>
            </w:r>
          </w:hyperlink>
        </w:p>
        <w:p w14:paraId="30378BEE" w14:textId="77777777" w:rsidR="006C3B72" w:rsidRPr="009A539C" w:rsidRDefault="00E742C1">
          <w:pPr>
            <w:pStyle w:val="ndice1"/>
            <w:rPr>
              <w:rFonts w:eastAsiaTheme="minorEastAsia"/>
              <w:noProof/>
              <w:lang w:eastAsia="pt-PT"/>
            </w:rPr>
          </w:pPr>
          <w:hyperlink w:anchor="_Toc45535745" w:history="1">
            <w:r w:rsidR="006C3B72" w:rsidRPr="009A539C">
              <w:rPr>
                <w:rStyle w:val="Hiperligao"/>
                <w:rFonts w:ascii="Calibri" w:hAnsi="Calibri" w:cs="Calibri"/>
                <w:b/>
                <w:noProof/>
              </w:rPr>
              <w:t>VI.</w:t>
            </w:r>
            <w:r w:rsidR="006C3B72" w:rsidRPr="009A539C">
              <w:rPr>
                <w:rFonts w:eastAsiaTheme="minorEastAsia"/>
                <w:noProof/>
                <w:lang w:eastAsia="pt-PT"/>
              </w:rPr>
              <w:tab/>
            </w:r>
            <w:r w:rsidR="006C3B72" w:rsidRPr="009A539C">
              <w:rPr>
                <w:rStyle w:val="Hiperligao"/>
                <w:rFonts w:ascii="Calibri" w:hAnsi="Calibri" w:cs="Calibri"/>
                <w:b/>
                <w:noProof/>
              </w:rPr>
              <w:t>A contratação coletiva na Administração Pública</w:t>
            </w:r>
            <w:r w:rsidR="006C3B72" w:rsidRPr="009A539C">
              <w:rPr>
                <w:noProof/>
                <w:webHidden/>
              </w:rPr>
              <w:tab/>
            </w:r>
            <w:r w:rsidR="006C3B72" w:rsidRPr="009A539C">
              <w:rPr>
                <w:noProof/>
                <w:webHidden/>
              </w:rPr>
              <w:fldChar w:fldCharType="begin"/>
            </w:r>
            <w:r w:rsidR="006C3B72" w:rsidRPr="009A539C">
              <w:rPr>
                <w:noProof/>
                <w:webHidden/>
              </w:rPr>
              <w:instrText xml:space="preserve"> PAGEREF _Toc45535745 \h </w:instrText>
            </w:r>
            <w:r w:rsidR="006C3B72" w:rsidRPr="009A539C">
              <w:rPr>
                <w:noProof/>
                <w:webHidden/>
              </w:rPr>
            </w:r>
            <w:r w:rsidR="006C3B72" w:rsidRPr="009A539C">
              <w:rPr>
                <w:noProof/>
                <w:webHidden/>
              </w:rPr>
              <w:fldChar w:fldCharType="separate"/>
            </w:r>
            <w:r w:rsidR="00D821DE">
              <w:rPr>
                <w:noProof/>
                <w:webHidden/>
              </w:rPr>
              <w:t>189</w:t>
            </w:r>
            <w:r w:rsidR="006C3B72" w:rsidRPr="009A539C">
              <w:rPr>
                <w:noProof/>
                <w:webHidden/>
              </w:rPr>
              <w:fldChar w:fldCharType="end"/>
            </w:r>
          </w:hyperlink>
        </w:p>
        <w:p w14:paraId="5DFFFEA7" w14:textId="77777777" w:rsidR="006C3B72" w:rsidRPr="009A539C" w:rsidRDefault="00E742C1">
          <w:pPr>
            <w:pStyle w:val="ndice2"/>
            <w:rPr>
              <w:rFonts w:eastAsiaTheme="minorEastAsia"/>
              <w:noProof/>
              <w:lang w:eastAsia="pt-PT"/>
            </w:rPr>
          </w:pPr>
          <w:hyperlink w:anchor="_Toc45535746" w:history="1">
            <w:r w:rsidR="006C3B72" w:rsidRPr="009A539C">
              <w:rPr>
                <w:rStyle w:val="Hiperligao"/>
                <w:rFonts w:ascii="Calibri" w:hAnsi="Calibri" w:cs="Calibri"/>
                <w:b/>
                <w:noProof/>
              </w:rPr>
              <w:t>5.1.</w:t>
            </w:r>
            <w:r w:rsidR="006C3B72" w:rsidRPr="009A539C">
              <w:rPr>
                <w:rFonts w:eastAsiaTheme="minorEastAsia"/>
                <w:noProof/>
                <w:lang w:eastAsia="pt-PT"/>
              </w:rPr>
              <w:tab/>
            </w:r>
            <w:r w:rsidR="006C3B72" w:rsidRPr="009A539C">
              <w:rPr>
                <w:rStyle w:val="Hiperligao"/>
                <w:rFonts w:ascii="Calibri" w:hAnsi="Calibri" w:cs="Calibri"/>
                <w:b/>
                <w:noProof/>
              </w:rPr>
              <w:t>Enquadramento</w:t>
            </w:r>
            <w:r w:rsidR="006C3B72" w:rsidRPr="009A539C">
              <w:rPr>
                <w:noProof/>
                <w:webHidden/>
              </w:rPr>
              <w:tab/>
            </w:r>
            <w:r w:rsidR="006C3B72" w:rsidRPr="009A539C">
              <w:rPr>
                <w:noProof/>
                <w:webHidden/>
              </w:rPr>
              <w:fldChar w:fldCharType="begin"/>
            </w:r>
            <w:r w:rsidR="006C3B72" w:rsidRPr="009A539C">
              <w:rPr>
                <w:noProof/>
                <w:webHidden/>
              </w:rPr>
              <w:instrText xml:space="preserve"> PAGEREF _Toc45535746 \h </w:instrText>
            </w:r>
            <w:r w:rsidR="006C3B72" w:rsidRPr="009A539C">
              <w:rPr>
                <w:noProof/>
                <w:webHidden/>
              </w:rPr>
            </w:r>
            <w:r w:rsidR="006C3B72" w:rsidRPr="009A539C">
              <w:rPr>
                <w:noProof/>
                <w:webHidden/>
              </w:rPr>
              <w:fldChar w:fldCharType="separate"/>
            </w:r>
            <w:r w:rsidR="00D821DE">
              <w:rPr>
                <w:noProof/>
                <w:webHidden/>
              </w:rPr>
              <w:t>189</w:t>
            </w:r>
            <w:r w:rsidR="006C3B72" w:rsidRPr="009A539C">
              <w:rPr>
                <w:noProof/>
                <w:webHidden/>
              </w:rPr>
              <w:fldChar w:fldCharType="end"/>
            </w:r>
          </w:hyperlink>
        </w:p>
        <w:p w14:paraId="40D93AAA" w14:textId="77777777" w:rsidR="006C3B72" w:rsidRPr="009A539C" w:rsidRDefault="00E742C1">
          <w:pPr>
            <w:pStyle w:val="ndice2"/>
            <w:rPr>
              <w:rFonts w:eastAsiaTheme="minorEastAsia"/>
              <w:noProof/>
              <w:lang w:eastAsia="pt-PT"/>
            </w:rPr>
          </w:pPr>
          <w:hyperlink w:anchor="_Toc45535747" w:history="1">
            <w:r w:rsidR="006C3B72" w:rsidRPr="009A539C">
              <w:rPr>
                <w:rStyle w:val="Hiperligao"/>
                <w:rFonts w:ascii="Calibri" w:hAnsi="Calibri" w:cs="Calibri"/>
                <w:b/>
                <w:noProof/>
              </w:rPr>
              <w:t>5.2.</w:t>
            </w:r>
            <w:r w:rsidR="006C3B72" w:rsidRPr="009A539C">
              <w:rPr>
                <w:rFonts w:eastAsiaTheme="minorEastAsia"/>
                <w:noProof/>
                <w:lang w:eastAsia="pt-PT"/>
              </w:rPr>
              <w:tab/>
            </w:r>
            <w:r w:rsidR="006C3B72" w:rsidRPr="009A539C">
              <w:rPr>
                <w:rStyle w:val="Hiperligao"/>
                <w:rFonts w:ascii="Calibri" w:hAnsi="Calibri" w:cs="Calibri"/>
                <w:b/>
                <w:noProof/>
              </w:rPr>
              <w:t>Evolução da negociação coletiva na Administração Pública na década de 2009-2019</w:t>
            </w:r>
            <w:r w:rsidR="006C3B72" w:rsidRPr="009A539C">
              <w:rPr>
                <w:noProof/>
                <w:webHidden/>
              </w:rPr>
              <w:tab/>
            </w:r>
            <w:r w:rsidR="006C3B72" w:rsidRPr="009A539C">
              <w:rPr>
                <w:noProof/>
                <w:webHidden/>
              </w:rPr>
              <w:fldChar w:fldCharType="begin"/>
            </w:r>
            <w:r w:rsidR="006C3B72" w:rsidRPr="009A539C">
              <w:rPr>
                <w:noProof/>
                <w:webHidden/>
              </w:rPr>
              <w:instrText xml:space="preserve"> PAGEREF _Toc45535747 \h </w:instrText>
            </w:r>
            <w:r w:rsidR="006C3B72" w:rsidRPr="009A539C">
              <w:rPr>
                <w:noProof/>
                <w:webHidden/>
              </w:rPr>
            </w:r>
            <w:r w:rsidR="006C3B72" w:rsidRPr="009A539C">
              <w:rPr>
                <w:noProof/>
                <w:webHidden/>
              </w:rPr>
              <w:fldChar w:fldCharType="separate"/>
            </w:r>
            <w:r w:rsidR="00D821DE">
              <w:rPr>
                <w:noProof/>
                <w:webHidden/>
              </w:rPr>
              <w:t>190</w:t>
            </w:r>
            <w:r w:rsidR="006C3B72" w:rsidRPr="009A539C">
              <w:rPr>
                <w:noProof/>
                <w:webHidden/>
              </w:rPr>
              <w:fldChar w:fldCharType="end"/>
            </w:r>
          </w:hyperlink>
        </w:p>
        <w:p w14:paraId="68AC581C" w14:textId="77777777" w:rsidR="006C3B72" w:rsidRPr="009A539C" w:rsidRDefault="00E742C1">
          <w:pPr>
            <w:pStyle w:val="ndice2"/>
            <w:rPr>
              <w:rFonts w:eastAsiaTheme="minorEastAsia"/>
              <w:noProof/>
              <w:lang w:eastAsia="pt-PT"/>
            </w:rPr>
          </w:pPr>
          <w:hyperlink w:anchor="_Toc45535748" w:history="1">
            <w:r w:rsidR="006C3B72" w:rsidRPr="009A539C">
              <w:rPr>
                <w:rStyle w:val="Hiperligao"/>
                <w:rFonts w:ascii="Calibri" w:hAnsi="Calibri" w:cs="Calibri"/>
                <w:b/>
                <w:noProof/>
              </w:rPr>
              <w:t>5.3.</w:t>
            </w:r>
            <w:r w:rsidR="006C3B72" w:rsidRPr="009A539C">
              <w:rPr>
                <w:rFonts w:eastAsiaTheme="minorEastAsia"/>
                <w:noProof/>
                <w:lang w:eastAsia="pt-PT"/>
              </w:rPr>
              <w:tab/>
            </w:r>
            <w:r w:rsidR="006C3B72" w:rsidRPr="009A539C">
              <w:rPr>
                <w:rStyle w:val="Hiperligao"/>
                <w:rFonts w:ascii="Calibri" w:hAnsi="Calibri" w:cs="Calibri"/>
                <w:b/>
                <w:noProof/>
              </w:rPr>
              <w:t>A negociação coletiva na Administração Pública em 2019</w:t>
            </w:r>
            <w:r w:rsidR="006C3B72" w:rsidRPr="009A539C">
              <w:rPr>
                <w:noProof/>
                <w:webHidden/>
              </w:rPr>
              <w:tab/>
            </w:r>
            <w:r w:rsidR="006C3B72" w:rsidRPr="009A539C">
              <w:rPr>
                <w:noProof/>
                <w:webHidden/>
              </w:rPr>
              <w:fldChar w:fldCharType="begin"/>
            </w:r>
            <w:r w:rsidR="006C3B72" w:rsidRPr="009A539C">
              <w:rPr>
                <w:noProof/>
                <w:webHidden/>
              </w:rPr>
              <w:instrText xml:space="preserve"> PAGEREF _Toc45535748 \h </w:instrText>
            </w:r>
            <w:r w:rsidR="006C3B72" w:rsidRPr="009A539C">
              <w:rPr>
                <w:noProof/>
                <w:webHidden/>
              </w:rPr>
            </w:r>
            <w:r w:rsidR="006C3B72" w:rsidRPr="009A539C">
              <w:rPr>
                <w:noProof/>
                <w:webHidden/>
              </w:rPr>
              <w:fldChar w:fldCharType="separate"/>
            </w:r>
            <w:r w:rsidR="00D821DE">
              <w:rPr>
                <w:noProof/>
                <w:webHidden/>
              </w:rPr>
              <w:t>191</w:t>
            </w:r>
            <w:r w:rsidR="006C3B72" w:rsidRPr="009A539C">
              <w:rPr>
                <w:noProof/>
                <w:webHidden/>
              </w:rPr>
              <w:fldChar w:fldCharType="end"/>
            </w:r>
          </w:hyperlink>
        </w:p>
        <w:p w14:paraId="16D02C11" w14:textId="1030FE80" w:rsidR="000A0A9D" w:rsidRPr="009A539C" w:rsidRDefault="00FE4D53" w:rsidP="00B90788">
          <w:pPr>
            <w:ind w:right="-1"/>
          </w:pPr>
          <w:r w:rsidRPr="009A539C">
            <w:rPr>
              <w:rFonts w:cstheme="minorHAnsi"/>
              <w:sz w:val="20"/>
              <w:szCs w:val="20"/>
            </w:rPr>
            <w:fldChar w:fldCharType="end"/>
          </w:r>
        </w:p>
      </w:sdtContent>
    </w:sdt>
    <w:p w14:paraId="4B373A74" w14:textId="68B610ED" w:rsidR="000A0A9D" w:rsidRPr="009A539C" w:rsidRDefault="000A0A9D" w:rsidP="00B90788">
      <w:pPr>
        <w:ind w:right="-1"/>
        <w:rPr>
          <w:rFonts w:ascii="Calibri" w:hAnsi="Calibri" w:cs="Calibri"/>
          <w:b/>
        </w:rPr>
      </w:pPr>
    </w:p>
    <w:p w14:paraId="3FB1240B" w14:textId="3D7BAAD8" w:rsidR="00FA0295" w:rsidRPr="009A539C" w:rsidRDefault="00FA0295">
      <w:pPr>
        <w:rPr>
          <w:rFonts w:ascii="Calibri" w:hAnsi="Calibri" w:cs="Calibri"/>
        </w:rPr>
      </w:pPr>
      <w:bookmarkStart w:id="17" w:name="_Toc42511538"/>
    </w:p>
    <w:p w14:paraId="4C55F656" w14:textId="77777777" w:rsidR="00821541" w:rsidRPr="009A539C" w:rsidRDefault="00821541">
      <w:pPr>
        <w:rPr>
          <w:rFonts w:ascii="Calibri" w:hAnsi="Calibri" w:cs="Calibri"/>
        </w:rPr>
      </w:pPr>
    </w:p>
    <w:p w14:paraId="18D8213A" w14:textId="77777777" w:rsidR="00821541" w:rsidRPr="009A539C" w:rsidRDefault="00821541">
      <w:pPr>
        <w:rPr>
          <w:rFonts w:ascii="Calibri" w:hAnsi="Calibri" w:cs="Calibri"/>
        </w:rPr>
      </w:pPr>
    </w:p>
    <w:p w14:paraId="367F7BB2" w14:textId="77777777" w:rsidR="00821541" w:rsidRPr="009A539C" w:rsidRDefault="00821541">
      <w:pPr>
        <w:rPr>
          <w:rFonts w:ascii="Calibri" w:hAnsi="Calibri" w:cs="Calibri"/>
        </w:rPr>
      </w:pPr>
    </w:p>
    <w:p w14:paraId="53B93C65" w14:textId="77777777" w:rsidR="00821541" w:rsidRPr="009A539C" w:rsidRDefault="00821541">
      <w:pPr>
        <w:rPr>
          <w:rFonts w:ascii="Calibri" w:hAnsi="Calibri" w:cs="Calibri"/>
        </w:rPr>
      </w:pPr>
    </w:p>
    <w:p w14:paraId="044EDBA4" w14:textId="77777777" w:rsidR="00821541" w:rsidRPr="009A539C" w:rsidRDefault="00821541">
      <w:pPr>
        <w:rPr>
          <w:rFonts w:ascii="Calibri" w:hAnsi="Calibri" w:cs="Calibri"/>
        </w:rPr>
      </w:pPr>
    </w:p>
    <w:p w14:paraId="604CDA19" w14:textId="77777777" w:rsidR="00821541" w:rsidRPr="009A539C" w:rsidRDefault="00821541">
      <w:pPr>
        <w:rPr>
          <w:rFonts w:ascii="Calibri" w:hAnsi="Calibri" w:cs="Calibri"/>
        </w:rPr>
      </w:pPr>
    </w:p>
    <w:p w14:paraId="7F57E1C5" w14:textId="77777777" w:rsidR="00821541" w:rsidRPr="009A539C" w:rsidRDefault="00821541">
      <w:pPr>
        <w:rPr>
          <w:rFonts w:ascii="Calibri" w:hAnsi="Calibri" w:cs="Calibri"/>
        </w:rPr>
      </w:pPr>
    </w:p>
    <w:p w14:paraId="697D49F6" w14:textId="77777777" w:rsidR="00821541" w:rsidRPr="009A539C" w:rsidRDefault="00821541">
      <w:pPr>
        <w:rPr>
          <w:rFonts w:ascii="Calibri" w:hAnsi="Calibri" w:cs="Calibri"/>
        </w:rPr>
      </w:pPr>
    </w:p>
    <w:p w14:paraId="068B44E7" w14:textId="77777777" w:rsidR="00821541" w:rsidRPr="009A539C" w:rsidRDefault="00821541">
      <w:pPr>
        <w:rPr>
          <w:rFonts w:ascii="Calibri" w:hAnsi="Calibri" w:cs="Calibri"/>
        </w:rPr>
      </w:pPr>
    </w:p>
    <w:p w14:paraId="27DEFFED" w14:textId="77777777" w:rsidR="00821541" w:rsidRPr="009A539C" w:rsidRDefault="00821541">
      <w:pPr>
        <w:rPr>
          <w:rFonts w:ascii="Calibri" w:hAnsi="Calibri" w:cs="Calibri"/>
        </w:rPr>
      </w:pPr>
    </w:p>
    <w:p w14:paraId="310CEECE" w14:textId="77777777" w:rsidR="00821541" w:rsidRPr="009A539C" w:rsidRDefault="00821541">
      <w:pPr>
        <w:rPr>
          <w:rFonts w:ascii="Calibri" w:hAnsi="Calibri" w:cs="Calibri"/>
        </w:rPr>
      </w:pPr>
    </w:p>
    <w:p w14:paraId="58322828" w14:textId="77777777" w:rsidR="00821541" w:rsidRPr="009A539C" w:rsidRDefault="00821541">
      <w:pPr>
        <w:rPr>
          <w:rFonts w:ascii="Calibri" w:hAnsi="Calibri" w:cs="Calibri"/>
        </w:rPr>
      </w:pPr>
    </w:p>
    <w:p w14:paraId="173B5FC6" w14:textId="77777777" w:rsidR="00821541" w:rsidRPr="009A539C" w:rsidRDefault="00821541">
      <w:pPr>
        <w:rPr>
          <w:rFonts w:ascii="Calibri" w:hAnsi="Calibri" w:cs="Calibri"/>
        </w:rPr>
      </w:pPr>
    </w:p>
    <w:p w14:paraId="5BD5EF37" w14:textId="77777777" w:rsidR="00821541" w:rsidRPr="009A539C" w:rsidRDefault="00821541">
      <w:pPr>
        <w:rPr>
          <w:rFonts w:ascii="Calibri" w:hAnsi="Calibri" w:cs="Calibri"/>
        </w:rPr>
      </w:pPr>
    </w:p>
    <w:p w14:paraId="39470B57" w14:textId="77777777" w:rsidR="00821541" w:rsidRPr="009A539C" w:rsidRDefault="00821541">
      <w:pPr>
        <w:rPr>
          <w:rFonts w:ascii="Calibri" w:hAnsi="Calibri" w:cs="Calibri"/>
        </w:rPr>
      </w:pPr>
    </w:p>
    <w:p w14:paraId="758AD3D5" w14:textId="77777777" w:rsidR="00821541" w:rsidRPr="009A539C" w:rsidRDefault="00821541">
      <w:pPr>
        <w:rPr>
          <w:rFonts w:ascii="Calibri" w:hAnsi="Calibri" w:cs="Calibri"/>
        </w:rPr>
      </w:pPr>
    </w:p>
    <w:p w14:paraId="78A0EDB8" w14:textId="77777777" w:rsidR="00F90D00" w:rsidRPr="009A539C" w:rsidRDefault="00F90D00">
      <w:pPr>
        <w:rPr>
          <w:rFonts w:ascii="Calibri" w:hAnsi="Calibri" w:cs="Calibri"/>
        </w:rPr>
      </w:pPr>
    </w:p>
    <w:p w14:paraId="50CCA41A" w14:textId="77777777" w:rsidR="00F90D00" w:rsidRPr="009A539C" w:rsidRDefault="00F90D00">
      <w:pPr>
        <w:rPr>
          <w:rFonts w:ascii="Calibri" w:hAnsi="Calibri" w:cs="Calibri"/>
        </w:rPr>
      </w:pPr>
    </w:p>
    <w:p w14:paraId="69ED7A4D" w14:textId="77777777" w:rsidR="00821541" w:rsidRPr="009A539C" w:rsidRDefault="00821541">
      <w:pPr>
        <w:rPr>
          <w:rFonts w:ascii="Calibri" w:hAnsi="Calibri" w:cs="Calibri"/>
        </w:rPr>
      </w:pPr>
    </w:p>
    <w:p w14:paraId="5679D9C7" w14:textId="77777777" w:rsidR="00821541" w:rsidRPr="009A539C" w:rsidRDefault="00821541">
      <w:pPr>
        <w:rPr>
          <w:rFonts w:ascii="Calibri" w:hAnsi="Calibri" w:cs="Calibri"/>
        </w:rPr>
      </w:pPr>
    </w:p>
    <w:p w14:paraId="1BA48029" w14:textId="77777777" w:rsidR="00821541" w:rsidRPr="009A539C" w:rsidRDefault="00821541">
      <w:pPr>
        <w:rPr>
          <w:rFonts w:ascii="Calibri" w:hAnsi="Calibri" w:cs="Calibri"/>
        </w:rPr>
      </w:pPr>
    </w:p>
    <w:p w14:paraId="65B56D12" w14:textId="77777777" w:rsidR="00821541" w:rsidRPr="009A539C" w:rsidRDefault="00821541" w:rsidP="00821541">
      <w:pPr>
        <w:spacing w:after="0"/>
        <w:rPr>
          <w:rFonts w:cs="Times New Roman"/>
          <w:b/>
          <w:sz w:val="28"/>
          <w:u w:val="single"/>
        </w:rPr>
      </w:pPr>
      <w:r w:rsidRPr="009A539C">
        <w:rPr>
          <w:rFonts w:cs="Times New Roman"/>
          <w:b/>
          <w:sz w:val="28"/>
          <w:u w:val="single"/>
        </w:rPr>
        <w:t>ÍNDICE de QUADROS</w:t>
      </w:r>
    </w:p>
    <w:p w14:paraId="7C262B98" w14:textId="77777777" w:rsidR="00821541" w:rsidRPr="009A539C" w:rsidRDefault="00821541" w:rsidP="00821541">
      <w:pPr>
        <w:spacing w:after="0"/>
        <w:rPr>
          <w:rFonts w:cs="Times New Roman"/>
          <w:b/>
          <w:sz w:val="28"/>
          <w:u w:val="single"/>
        </w:rPr>
      </w:pPr>
    </w:p>
    <w:p w14:paraId="2E222F97" w14:textId="77777777" w:rsidR="00E742C1" w:rsidRDefault="00821541">
      <w:pPr>
        <w:pStyle w:val="ndicedeilustraes"/>
        <w:tabs>
          <w:tab w:val="right" w:leader="dot" w:pos="10621"/>
        </w:tabs>
        <w:rPr>
          <w:rFonts w:eastAsiaTheme="minorEastAsia" w:cstheme="minorBidi"/>
          <w:smallCaps w:val="0"/>
          <w:noProof/>
          <w:color w:val="auto"/>
          <w:sz w:val="22"/>
          <w:szCs w:val="22"/>
          <w:lang w:eastAsia="pt-PT"/>
        </w:rPr>
      </w:pPr>
      <w:r w:rsidRPr="009A539C">
        <w:rPr>
          <w:rFonts w:cstheme="minorHAnsi"/>
          <w:b/>
          <w:szCs w:val="18"/>
          <w:u w:val="single"/>
        </w:rPr>
        <w:fldChar w:fldCharType="begin"/>
      </w:r>
      <w:r w:rsidRPr="009A539C">
        <w:rPr>
          <w:rFonts w:cstheme="minorHAnsi"/>
          <w:b/>
          <w:szCs w:val="18"/>
          <w:u w:val="single"/>
        </w:rPr>
        <w:instrText xml:space="preserve"> TOC \h \z \c "Quadro" </w:instrText>
      </w:r>
      <w:r w:rsidRPr="009A539C">
        <w:rPr>
          <w:rFonts w:cstheme="minorHAnsi"/>
          <w:b/>
          <w:szCs w:val="18"/>
          <w:u w:val="single"/>
        </w:rPr>
        <w:fldChar w:fldCharType="separate"/>
      </w:r>
      <w:hyperlink w:anchor="_Toc45716622" w:history="1">
        <w:r w:rsidR="00E742C1" w:rsidRPr="004A77C5">
          <w:rPr>
            <w:rStyle w:val="Hiperligao"/>
            <w:bCs/>
            <w:noProof/>
          </w:rPr>
          <w:t>Quadro 1 - Evolução do número de empresas (2005-2018)</w:t>
        </w:r>
        <w:r w:rsidR="00E742C1">
          <w:rPr>
            <w:noProof/>
            <w:webHidden/>
          </w:rPr>
          <w:tab/>
        </w:r>
        <w:r w:rsidR="00E742C1">
          <w:rPr>
            <w:noProof/>
            <w:webHidden/>
          </w:rPr>
          <w:fldChar w:fldCharType="begin"/>
        </w:r>
        <w:r w:rsidR="00E742C1">
          <w:rPr>
            <w:noProof/>
            <w:webHidden/>
          </w:rPr>
          <w:instrText xml:space="preserve"> PAGEREF _Toc45716622 \h </w:instrText>
        </w:r>
        <w:r w:rsidR="00E742C1">
          <w:rPr>
            <w:noProof/>
            <w:webHidden/>
          </w:rPr>
        </w:r>
        <w:r w:rsidR="00E742C1">
          <w:rPr>
            <w:noProof/>
            <w:webHidden/>
          </w:rPr>
          <w:fldChar w:fldCharType="separate"/>
        </w:r>
        <w:r w:rsidR="00E742C1">
          <w:rPr>
            <w:noProof/>
            <w:webHidden/>
          </w:rPr>
          <w:t>34</w:t>
        </w:r>
        <w:r w:rsidR="00E742C1">
          <w:rPr>
            <w:noProof/>
            <w:webHidden/>
          </w:rPr>
          <w:fldChar w:fldCharType="end"/>
        </w:r>
      </w:hyperlink>
    </w:p>
    <w:p w14:paraId="7088727E" w14:textId="709E29C1"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23" w:history="1">
        <w:r w:rsidRPr="004A77C5">
          <w:rPr>
            <w:rStyle w:val="Hiperligao"/>
            <w:bCs/>
            <w:noProof/>
          </w:rPr>
          <w:t>Quadro 2 - Número de empresas por atividade e dimensão (2018)</w:t>
        </w:r>
        <w:bookmarkStart w:id="18" w:name="_GoBack"/>
        <w:bookmarkEnd w:id="18"/>
        <w:r>
          <w:rPr>
            <w:noProof/>
            <w:webHidden/>
          </w:rPr>
          <w:tab/>
        </w:r>
        <w:r>
          <w:rPr>
            <w:noProof/>
            <w:webHidden/>
          </w:rPr>
          <w:fldChar w:fldCharType="begin"/>
        </w:r>
        <w:r>
          <w:rPr>
            <w:noProof/>
            <w:webHidden/>
          </w:rPr>
          <w:instrText xml:space="preserve"> PAGEREF _Toc45716623 \h </w:instrText>
        </w:r>
        <w:r>
          <w:rPr>
            <w:noProof/>
            <w:webHidden/>
          </w:rPr>
        </w:r>
        <w:r>
          <w:rPr>
            <w:noProof/>
            <w:webHidden/>
          </w:rPr>
          <w:fldChar w:fldCharType="separate"/>
        </w:r>
        <w:r>
          <w:rPr>
            <w:noProof/>
            <w:webHidden/>
          </w:rPr>
          <w:t>35</w:t>
        </w:r>
        <w:r>
          <w:rPr>
            <w:noProof/>
            <w:webHidden/>
          </w:rPr>
          <w:fldChar w:fldCharType="end"/>
        </w:r>
      </w:hyperlink>
    </w:p>
    <w:p w14:paraId="3D9D4648"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24" w:history="1">
        <w:r w:rsidRPr="004A77C5">
          <w:rPr>
            <w:rStyle w:val="Hiperligao"/>
            <w:noProof/>
          </w:rPr>
          <w:t>Quadro 3 - Evolução da população ativa do emprego e da taxa de atividade (2012-2019)</w:t>
        </w:r>
        <w:r>
          <w:rPr>
            <w:noProof/>
            <w:webHidden/>
          </w:rPr>
          <w:tab/>
        </w:r>
        <w:r>
          <w:rPr>
            <w:noProof/>
            <w:webHidden/>
          </w:rPr>
          <w:fldChar w:fldCharType="begin"/>
        </w:r>
        <w:r>
          <w:rPr>
            <w:noProof/>
            <w:webHidden/>
          </w:rPr>
          <w:instrText xml:space="preserve"> PAGEREF _Toc45716624 \h </w:instrText>
        </w:r>
        <w:r>
          <w:rPr>
            <w:noProof/>
            <w:webHidden/>
          </w:rPr>
        </w:r>
        <w:r>
          <w:rPr>
            <w:noProof/>
            <w:webHidden/>
          </w:rPr>
          <w:fldChar w:fldCharType="separate"/>
        </w:r>
        <w:r>
          <w:rPr>
            <w:noProof/>
            <w:webHidden/>
          </w:rPr>
          <w:t>36</w:t>
        </w:r>
        <w:r>
          <w:rPr>
            <w:noProof/>
            <w:webHidden/>
          </w:rPr>
          <w:fldChar w:fldCharType="end"/>
        </w:r>
      </w:hyperlink>
    </w:p>
    <w:p w14:paraId="559E1165"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25" w:history="1">
        <w:r w:rsidRPr="004A77C5">
          <w:rPr>
            <w:rStyle w:val="Hiperligao"/>
            <w:noProof/>
          </w:rPr>
          <w:t>Quadro 4 - Número de TCO (2005-2018)</w:t>
        </w:r>
        <w:r>
          <w:rPr>
            <w:noProof/>
            <w:webHidden/>
          </w:rPr>
          <w:tab/>
        </w:r>
        <w:r>
          <w:rPr>
            <w:noProof/>
            <w:webHidden/>
          </w:rPr>
          <w:fldChar w:fldCharType="begin"/>
        </w:r>
        <w:r>
          <w:rPr>
            <w:noProof/>
            <w:webHidden/>
          </w:rPr>
          <w:instrText xml:space="preserve"> PAGEREF _Toc45716625 \h </w:instrText>
        </w:r>
        <w:r>
          <w:rPr>
            <w:noProof/>
            <w:webHidden/>
          </w:rPr>
        </w:r>
        <w:r>
          <w:rPr>
            <w:noProof/>
            <w:webHidden/>
          </w:rPr>
          <w:fldChar w:fldCharType="separate"/>
        </w:r>
        <w:r>
          <w:rPr>
            <w:noProof/>
            <w:webHidden/>
          </w:rPr>
          <w:t>37</w:t>
        </w:r>
        <w:r>
          <w:rPr>
            <w:noProof/>
            <w:webHidden/>
          </w:rPr>
          <w:fldChar w:fldCharType="end"/>
        </w:r>
      </w:hyperlink>
    </w:p>
    <w:p w14:paraId="2C0E3658"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26" w:history="1">
        <w:r w:rsidRPr="004A77C5">
          <w:rPr>
            <w:rStyle w:val="Hiperligao"/>
            <w:noProof/>
          </w:rPr>
          <w:t>Quadro 5 - Emprego no setor das administrações públicas por subsetor (2011-2019)</w:t>
        </w:r>
        <w:r>
          <w:rPr>
            <w:noProof/>
            <w:webHidden/>
          </w:rPr>
          <w:tab/>
        </w:r>
        <w:r>
          <w:rPr>
            <w:noProof/>
            <w:webHidden/>
          </w:rPr>
          <w:fldChar w:fldCharType="begin"/>
        </w:r>
        <w:r>
          <w:rPr>
            <w:noProof/>
            <w:webHidden/>
          </w:rPr>
          <w:instrText xml:space="preserve"> PAGEREF _Toc45716626 \h </w:instrText>
        </w:r>
        <w:r>
          <w:rPr>
            <w:noProof/>
            <w:webHidden/>
          </w:rPr>
        </w:r>
        <w:r>
          <w:rPr>
            <w:noProof/>
            <w:webHidden/>
          </w:rPr>
          <w:fldChar w:fldCharType="separate"/>
        </w:r>
        <w:r>
          <w:rPr>
            <w:noProof/>
            <w:webHidden/>
          </w:rPr>
          <w:t>37</w:t>
        </w:r>
        <w:r>
          <w:rPr>
            <w:noProof/>
            <w:webHidden/>
          </w:rPr>
          <w:fldChar w:fldCharType="end"/>
        </w:r>
      </w:hyperlink>
    </w:p>
    <w:p w14:paraId="3847A1F7"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27" w:history="1">
        <w:r w:rsidRPr="004A77C5">
          <w:rPr>
            <w:rStyle w:val="Hiperligao"/>
            <w:bCs/>
            <w:noProof/>
          </w:rPr>
          <w:t>Quadro 6 - Trabalhadores por conta de outrem ao serviço nos estabelecimentos abrangidos por IRCT (*), por tipo e ano (2005 a 2018)</w:t>
        </w:r>
        <w:r>
          <w:rPr>
            <w:noProof/>
            <w:webHidden/>
          </w:rPr>
          <w:tab/>
        </w:r>
        <w:r>
          <w:rPr>
            <w:noProof/>
            <w:webHidden/>
          </w:rPr>
          <w:fldChar w:fldCharType="begin"/>
        </w:r>
        <w:r>
          <w:rPr>
            <w:noProof/>
            <w:webHidden/>
          </w:rPr>
          <w:instrText xml:space="preserve"> PAGEREF _Toc45716627 \h </w:instrText>
        </w:r>
        <w:r>
          <w:rPr>
            <w:noProof/>
            <w:webHidden/>
          </w:rPr>
        </w:r>
        <w:r>
          <w:rPr>
            <w:noProof/>
            <w:webHidden/>
          </w:rPr>
          <w:fldChar w:fldCharType="separate"/>
        </w:r>
        <w:r>
          <w:rPr>
            <w:noProof/>
            <w:webHidden/>
          </w:rPr>
          <w:t>49</w:t>
        </w:r>
        <w:r>
          <w:rPr>
            <w:noProof/>
            <w:webHidden/>
          </w:rPr>
          <w:fldChar w:fldCharType="end"/>
        </w:r>
      </w:hyperlink>
    </w:p>
    <w:p w14:paraId="2F1D4BF6"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28" w:history="1">
        <w:r w:rsidRPr="004A77C5">
          <w:rPr>
            <w:rStyle w:val="Hiperligao"/>
            <w:bCs/>
            <w:noProof/>
          </w:rPr>
          <w:t>Quadro 7 - Total de IRCT referenciados no Relatório Único (por ano) (2005 a 2018)</w:t>
        </w:r>
        <w:r>
          <w:rPr>
            <w:noProof/>
            <w:webHidden/>
          </w:rPr>
          <w:tab/>
        </w:r>
        <w:r>
          <w:rPr>
            <w:noProof/>
            <w:webHidden/>
          </w:rPr>
          <w:fldChar w:fldCharType="begin"/>
        </w:r>
        <w:r>
          <w:rPr>
            <w:noProof/>
            <w:webHidden/>
          </w:rPr>
          <w:instrText xml:space="preserve"> PAGEREF _Toc45716628 \h </w:instrText>
        </w:r>
        <w:r>
          <w:rPr>
            <w:noProof/>
            <w:webHidden/>
          </w:rPr>
        </w:r>
        <w:r>
          <w:rPr>
            <w:noProof/>
            <w:webHidden/>
          </w:rPr>
          <w:fldChar w:fldCharType="separate"/>
        </w:r>
        <w:r>
          <w:rPr>
            <w:noProof/>
            <w:webHidden/>
          </w:rPr>
          <w:t>49</w:t>
        </w:r>
        <w:r>
          <w:rPr>
            <w:noProof/>
            <w:webHidden/>
          </w:rPr>
          <w:fldChar w:fldCharType="end"/>
        </w:r>
      </w:hyperlink>
    </w:p>
    <w:p w14:paraId="11F7DDEF"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29" w:history="1">
        <w:r w:rsidRPr="004A77C5">
          <w:rPr>
            <w:rStyle w:val="Hiperligao"/>
            <w:bCs/>
            <w:noProof/>
          </w:rPr>
          <w:t>Quadro 8 - Variação salarial nominal anualizada e real (2019)</w:t>
        </w:r>
        <w:r>
          <w:rPr>
            <w:noProof/>
            <w:webHidden/>
          </w:rPr>
          <w:tab/>
        </w:r>
        <w:r>
          <w:rPr>
            <w:noProof/>
            <w:webHidden/>
          </w:rPr>
          <w:fldChar w:fldCharType="begin"/>
        </w:r>
        <w:r>
          <w:rPr>
            <w:noProof/>
            <w:webHidden/>
          </w:rPr>
          <w:instrText xml:space="preserve"> PAGEREF _Toc45716629 \h </w:instrText>
        </w:r>
        <w:r>
          <w:rPr>
            <w:noProof/>
            <w:webHidden/>
          </w:rPr>
        </w:r>
        <w:r>
          <w:rPr>
            <w:noProof/>
            <w:webHidden/>
          </w:rPr>
          <w:fldChar w:fldCharType="separate"/>
        </w:r>
        <w:r>
          <w:rPr>
            <w:noProof/>
            <w:webHidden/>
          </w:rPr>
          <w:t>52</w:t>
        </w:r>
        <w:r>
          <w:rPr>
            <w:noProof/>
            <w:webHidden/>
          </w:rPr>
          <w:fldChar w:fldCharType="end"/>
        </w:r>
      </w:hyperlink>
    </w:p>
    <w:p w14:paraId="6D09CAD3"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30" w:history="1">
        <w:r w:rsidRPr="004A77C5">
          <w:rPr>
            <w:rStyle w:val="Hiperligao"/>
            <w:bCs/>
            <w:noProof/>
          </w:rPr>
          <w:t>Quadro 9 - Remuneração convencional média, mais e menos elevada por IRCT publicado em 2019 e por setor de atividade económica</w:t>
        </w:r>
        <w:r>
          <w:rPr>
            <w:noProof/>
            <w:webHidden/>
          </w:rPr>
          <w:tab/>
        </w:r>
        <w:r>
          <w:rPr>
            <w:noProof/>
            <w:webHidden/>
          </w:rPr>
          <w:fldChar w:fldCharType="begin"/>
        </w:r>
        <w:r>
          <w:rPr>
            <w:noProof/>
            <w:webHidden/>
          </w:rPr>
          <w:instrText xml:space="preserve"> PAGEREF _Toc45716630 \h </w:instrText>
        </w:r>
        <w:r>
          <w:rPr>
            <w:noProof/>
            <w:webHidden/>
          </w:rPr>
        </w:r>
        <w:r>
          <w:rPr>
            <w:noProof/>
            <w:webHidden/>
          </w:rPr>
          <w:fldChar w:fldCharType="separate"/>
        </w:r>
        <w:r>
          <w:rPr>
            <w:noProof/>
            <w:webHidden/>
          </w:rPr>
          <w:t>53</w:t>
        </w:r>
        <w:r>
          <w:rPr>
            <w:noProof/>
            <w:webHidden/>
          </w:rPr>
          <w:fldChar w:fldCharType="end"/>
        </w:r>
      </w:hyperlink>
    </w:p>
    <w:p w14:paraId="2BB6F8EA"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31" w:history="1">
        <w:r w:rsidRPr="004A77C5">
          <w:rPr>
            <w:rStyle w:val="Hiperligao"/>
            <w:bCs/>
            <w:noProof/>
          </w:rPr>
          <w:t>Quadro 10 - Acordos de Adesão e Portarias de Extensão publicadas entre 2005 e 2019</w:t>
        </w:r>
        <w:r>
          <w:rPr>
            <w:noProof/>
            <w:webHidden/>
          </w:rPr>
          <w:tab/>
        </w:r>
        <w:r>
          <w:rPr>
            <w:noProof/>
            <w:webHidden/>
          </w:rPr>
          <w:fldChar w:fldCharType="begin"/>
        </w:r>
        <w:r>
          <w:rPr>
            <w:noProof/>
            <w:webHidden/>
          </w:rPr>
          <w:instrText xml:space="preserve"> PAGEREF _Toc45716631 \h </w:instrText>
        </w:r>
        <w:r>
          <w:rPr>
            <w:noProof/>
            <w:webHidden/>
          </w:rPr>
        </w:r>
        <w:r>
          <w:rPr>
            <w:noProof/>
            <w:webHidden/>
          </w:rPr>
          <w:fldChar w:fldCharType="separate"/>
        </w:r>
        <w:r>
          <w:rPr>
            <w:noProof/>
            <w:webHidden/>
          </w:rPr>
          <w:t>54</w:t>
        </w:r>
        <w:r>
          <w:rPr>
            <w:noProof/>
            <w:webHidden/>
          </w:rPr>
          <w:fldChar w:fldCharType="end"/>
        </w:r>
      </w:hyperlink>
    </w:p>
    <w:p w14:paraId="2577F104"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32" w:history="1">
        <w:r w:rsidRPr="004A77C5">
          <w:rPr>
            <w:rStyle w:val="Hiperligao"/>
            <w:bCs/>
            <w:noProof/>
          </w:rPr>
          <w:t>Quadro 11- Pedidos de extensão (incluindo indeferimentos), oposições, PE publicadas e convenções objeto de extensão (2005 a 2019)</w:t>
        </w:r>
        <w:r>
          <w:rPr>
            <w:noProof/>
            <w:webHidden/>
          </w:rPr>
          <w:tab/>
        </w:r>
        <w:r>
          <w:rPr>
            <w:noProof/>
            <w:webHidden/>
          </w:rPr>
          <w:fldChar w:fldCharType="begin"/>
        </w:r>
        <w:r>
          <w:rPr>
            <w:noProof/>
            <w:webHidden/>
          </w:rPr>
          <w:instrText xml:space="preserve"> PAGEREF _Toc45716632 \h </w:instrText>
        </w:r>
        <w:r>
          <w:rPr>
            <w:noProof/>
            <w:webHidden/>
          </w:rPr>
        </w:r>
        <w:r>
          <w:rPr>
            <w:noProof/>
            <w:webHidden/>
          </w:rPr>
          <w:fldChar w:fldCharType="separate"/>
        </w:r>
        <w:r>
          <w:rPr>
            <w:noProof/>
            <w:webHidden/>
          </w:rPr>
          <w:t>56</w:t>
        </w:r>
        <w:r>
          <w:rPr>
            <w:noProof/>
            <w:webHidden/>
          </w:rPr>
          <w:fldChar w:fldCharType="end"/>
        </w:r>
      </w:hyperlink>
    </w:p>
    <w:p w14:paraId="0565EF4A"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33" w:history="1">
        <w:r w:rsidRPr="004A77C5">
          <w:rPr>
            <w:rStyle w:val="Hiperligao"/>
            <w:bCs/>
            <w:noProof/>
          </w:rPr>
          <w:t>Quadro 12 - PCT publicadas entre 2005 e 2019</w:t>
        </w:r>
        <w:r>
          <w:rPr>
            <w:noProof/>
            <w:webHidden/>
          </w:rPr>
          <w:tab/>
        </w:r>
        <w:r>
          <w:rPr>
            <w:noProof/>
            <w:webHidden/>
          </w:rPr>
          <w:fldChar w:fldCharType="begin"/>
        </w:r>
        <w:r>
          <w:rPr>
            <w:noProof/>
            <w:webHidden/>
          </w:rPr>
          <w:instrText xml:space="preserve"> PAGEREF _Toc45716633 \h </w:instrText>
        </w:r>
        <w:r>
          <w:rPr>
            <w:noProof/>
            <w:webHidden/>
          </w:rPr>
        </w:r>
        <w:r>
          <w:rPr>
            <w:noProof/>
            <w:webHidden/>
          </w:rPr>
          <w:fldChar w:fldCharType="separate"/>
        </w:r>
        <w:r>
          <w:rPr>
            <w:noProof/>
            <w:webHidden/>
          </w:rPr>
          <w:t>56</w:t>
        </w:r>
        <w:r>
          <w:rPr>
            <w:noProof/>
            <w:webHidden/>
          </w:rPr>
          <w:fldChar w:fldCharType="end"/>
        </w:r>
      </w:hyperlink>
    </w:p>
    <w:p w14:paraId="32998C47"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34" w:history="1">
        <w:r w:rsidRPr="004A77C5">
          <w:rPr>
            <w:rStyle w:val="Hiperligao"/>
            <w:bCs/>
            <w:noProof/>
          </w:rPr>
          <w:t>Quadro 13 - Acordos de revogação de convenções coletivas celebrados entre 2005 e 2019</w:t>
        </w:r>
        <w:r>
          <w:rPr>
            <w:noProof/>
            <w:webHidden/>
          </w:rPr>
          <w:tab/>
        </w:r>
        <w:r>
          <w:rPr>
            <w:noProof/>
            <w:webHidden/>
          </w:rPr>
          <w:fldChar w:fldCharType="begin"/>
        </w:r>
        <w:r>
          <w:rPr>
            <w:noProof/>
            <w:webHidden/>
          </w:rPr>
          <w:instrText xml:space="preserve"> PAGEREF _Toc45716634 \h </w:instrText>
        </w:r>
        <w:r>
          <w:rPr>
            <w:noProof/>
            <w:webHidden/>
          </w:rPr>
        </w:r>
        <w:r>
          <w:rPr>
            <w:noProof/>
            <w:webHidden/>
          </w:rPr>
          <w:fldChar w:fldCharType="separate"/>
        </w:r>
        <w:r>
          <w:rPr>
            <w:noProof/>
            <w:webHidden/>
          </w:rPr>
          <w:t>57</w:t>
        </w:r>
        <w:r>
          <w:rPr>
            <w:noProof/>
            <w:webHidden/>
          </w:rPr>
          <w:fldChar w:fldCharType="end"/>
        </w:r>
      </w:hyperlink>
    </w:p>
    <w:p w14:paraId="47A74194"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35" w:history="1">
        <w:r w:rsidRPr="004A77C5">
          <w:rPr>
            <w:rStyle w:val="Hiperligao"/>
            <w:rFonts w:cstheme="minorHAnsi"/>
            <w:bCs/>
            <w:noProof/>
          </w:rPr>
          <w:t>Quadro 14 - Processos de caducidade das convenções - Avisos publicados sobre a data de cessação de vigência de convenção coletiva (2005 a 2019)</w:t>
        </w:r>
        <w:r>
          <w:rPr>
            <w:noProof/>
            <w:webHidden/>
          </w:rPr>
          <w:tab/>
        </w:r>
        <w:r>
          <w:rPr>
            <w:noProof/>
            <w:webHidden/>
          </w:rPr>
          <w:fldChar w:fldCharType="begin"/>
        </w:r>
        <w:r>
          <w:rPr>
            <w:noProof/>
            <w:webHidden/>
          </w:rPr>
          <w:instrText xml:space="preserve"> PAGEREF _Toc45716635 \h </w:instrText>
        </w:r>
        <w:r>
          <w:rPr>
            <w:noProof/>
            <w:webHidden/>
          </w:rPr>
        </w:r>
        <w:r>
          <w:rPr>
            <w:noProof/>
            <w:webHidden/>
          </w:rPr>
          <w:fldChar w:fldCharType="separate"/>
        </w:r>
        <w:r>
          <w:rPr>
            <w:noProof/>
            <w:webHidden/>
          </w:rPr>
          <w:t>58</w:t>
        </w:r>
        <w:r>
          <w:rPr>
            <w:noProof/>
            <w:webHidden/>
          </w:rPr>
          <w:fldChar w:fldCharType="end"/>
        </w:r>
      </w:hyperlink>
    </w:p>
    <w:p w14:paraId="768BB709"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36" w:history="1">
        <w:r w:rsidRPr="004A77C5">
          <w:rPr>
            <w:rStyle w:val="Hiperligao"/>
            <w:bCs/>
            <w:noProof/>
          </w:rPr>
          <w:t>Quadro 15 - Avisos de caducidade publicados em BTE com e sem celebração de nova convenção (2005-2019), por CAE</w:t>
        </w:r>
        <w:r>
          <w:rPr>
            <w:noProof/>
            <w:webHidden/>
          </w:rPr>
          <w:tab/>
        </w:r>
        <w:r>
          <w:rPr>
            <w:noProof/>
            <w:webHidden/>
          </w:rPr>
          <w:fldChar w:fldCharType="begin"/>
        </w:r>
        <w:r>
          <w:rPr>
            <w:noProof/>
            <w:webHidden/>
          </w:rPr>
          <w:instrText xml:space="preserve"> PAGEREF _Toc45716636 \h </w:instrText>
        </w:r>
        <w:r>
          <w:rPr>
            <w:noProof/>
            <w:webHidden/>
          </w:rPr>
        </w:r>
        <w:r>
          <w:rPr>
            <w:noProof/>
            <w:webHidden/>
          </w:rPr>
          <w:fldChar w:fldCharType="separate"/>
        </w:r>
        <w:r>
          <w:rPr>
            <w:noProof/>
            <w:webHidden/>
          </w:rPr>
          <w:t>59</w:t>
        </w:r>
        <w:r>
          <w:rPr>
            <w:noProof/>
            <w:webHidden/>
          </w:rPr>
          <w:fldChar w:fldCharType="end"/>
        </w:r>
      </w:hyperlink>
    </w:p>
    <w:p w14:paraId="68F9C02A"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37" w:history="1">
        <w:r w:rsidRPr="004A77C5">
          <w:rPr>
            <w:rStyle w:val="Hiperligao"/>
            <w:bCs/>
            <w:noProof/>
          </w:rPr>
          <w:t>Quadro 16 – Conciliações e Mediações (2005 a 2019)</w:t>
        </w:r>
        <w:r>
          <w:rPr>
            <w:noProof/>
            <w:webHidden/>
          </w:rPr>
          <w:tab/>
        </w:r>
        <w:r>
          <w:rPr>
            <w:noProof/>
            <w:webHidden/>
          </w:rPr>
          <w:fldChar w:fldCharType="begin"/>
        </w:r>
        <w:r>
          <w:rPr>
            <w:noProof/>
            <w:webHidden/>
          </w:rPr>
          <w:instrText xml:space="preserve"> PAGEREF _Toc45716637 \h </w:instrText>
        </w:r>
        <w:r>
          <w:rPr>
            <w:noProof/>
            <w:webHidden/>
          </w:rPr>
        </w:r>
        <w:r>
          <w:rPr>
            <w:noProof/>
            <w:webHidden/>
          </w:rPr>
          <w:fldChar w:fldCharType="separate"/>
        </w:r>
        <w:r>
          <w:rPr>
            <w:noProof/>
            <w:webHidden/>
          </w:rPr>
          <w:t>60</w:t>
        </w:r>
        <w:r>
          <w:rPr>
            <w:noProof/>
            <w:webHidden/>
          </w:rPr>
          <w:fldChar w:fldCharType="end"/>
        </w:r>
      </w:hyperlink>
    </w:p>
    <w:p w14:paraId="504DFAAD"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38" w:history="1">
        <w:r w:rsidRPr="004A77C5">
          <w:rPr>
            <w:rStyle w:val="Hiperligao"/>
            <w:bCs/>
            <w:noProof/>
          </w:rPr>
          <w:t>Quadro 17 - Decisões arbitrais (2005 a 2019)</w:t>
        </w:r>
        <w:r>
          <w:rPr>
            <w:noProof/>
            <w:webHidden/>
          </w:rPr>
          <w:tab/>
        </w:r>
        <w:r>
          <w:rPr>
            <w:noProof/>
            <w:webHidden/>
          </w:rPr>
          <w:fldChar w:fldCharType="begin"/>
        </w:r>
        <w:r>
          <w:rPr>
            <w:noProof/>
            <w:webHidden/>
          </w:rPr>
          <w:instrText xml:space="preserve"> PAGEREF _Toc45716638 \h </w:instrText>
        </w:r>
        <w:r>
          <w:rPr>
            <w:noProof/>
            <w:webHidden/>
          </w:rPr>
        </w:r>
        <w:r>
          <w:rPr>
            <w:noProof/>
            <w:webHidden/>
          </w:rPr>
          <w:fldChar w:fldCharType="separate"/>
        </w:r>
        <w:r>
          <w:rPr>
            <w:noProof/>
            <w:webHidden/>
          </w:rPr>
          <w:t>61</w:t>
        </w:r>
        <w:r>
          <w:rPr>
            <w:noProof/>
            <w:webHidden/>
          </w:rPr>
          <w:fldChar w:fldCharType="end"/>
        </w:r>
      </w:hyperlink>
    </w:p>
    <w:p w14:paraId="5A969C82"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39" w:history="1">
        <w:r w:rsidRPr="004A77C5">
          <w:rPr>
            <w:rStyle w:val="Hiperligao"/>
            <w:noProof/>
          </w:rPr>
          <w:t>Quadro 18 - Convenções coletivas publicadas e número de trabalhadores potencialmente abrangidos (2019)</w:t>
        </w:r>
        <w:r>
          <w:rPr>
            <w:noProof/>
            <w:webHidden/>
          </w:rPr>
          <w:tab/>
        </w:r>
        <w:r>
          <w:rPr>
            <w:noProof/>
            <w:webHidden/>
          </w:rPr>
          <w:fldChar w:fldCharType="begin"/>
        </w:r>
        <w:r>
          <w:rPr>
            <w:noProof/>
            <w:webHidden/>
          </w:rPr>
          <w:instrText xml:space="preserve"> PAGEREF _Toc45716639 \h </w:instrText>
        </w:r>
        <w:r>
          <w:rPr>
            <w:noProof/>
            <w:webHidden/>
          </w:rPr>
        </w:r>
        <w:r>
          <w:rPr>
            <w:noProof/>
            <w:webHidden/>
          </w:rPr>
          <w:fldChar w:fldCharType="separate"/>
        </w:r>
        <w:r>
          <w:rPr>
            <w:noProof/>
            <w:webHidden/>
          </w:rPr>
          <w:t>62</w:t>
        </w:r>
        <w:r>
          <w:rPr>
            <w:noProof/>
            <w:webHidden/>
          </w:rPr>
          <w:fldChar w:fldCharType="end"/>
        </w:r>
      </w:hyperlink>
    </w:p>
    <w:p w14:paraId="5EFF0303"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40" w:history="1">
        <w:r w:rsidRPr="004A77C5">
          <w:rPr>
            <w:rStyle w:val="Hiperligao"/>
            <w:noProof/>
          </w:rPr>
          <w:t>Quadro 19 – IRCT publicados em 2019 (por tipo)</w:t>
        </w:r>
        <w:r>
          <w:rPr>
            <w:noProof/>
            <w:webHidden/>
          </w:rPr>
          <w:tab/>
        </w:r>
        <w:r>
          <w:rPr>
            <w:noProof/>
            <w:webHidden/>
          </w:rPr>
          <w:fldChar w:fldCharType="begin"/>
        </w:r>
        <w:r>
          <w:rPr>
            <w:noProof/>
            <w:webHidden/>
          </w:rPr>
          <w:instrText xml:space="preserve"> PAGEREF _Toc45716640 \h </w:instrText>
        </w:r>
        <w:r>
          <w:rPr>
            <w:noProof/>
            <w:webHidden/>
          </w:rPr>
        </w:r>
        <w:r>
          <w:rPr>
            <w:noProof/>
            <w:webHidden/>
          </w:rPr>
          <w:fldChar w:fldCharType="separate"/>
        </w:r>
        <w:r>
          <w:rPr>
            <w:noProof/>
            <w:webHidden/>
          </w:rPr>
          <w:t>63</w:t>
        </w:r>
        <w:r>
          <w:rPr>
            <w:noProof/>
            <w:webHidden/>
          </w:rPr>
          <w:fldChar w:fldCharType="end"/>
        </w:r>
      </w:hyperlink>
    </w:p>
    <w:p w14:paraId="7823777B"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41" w:history="1">
        <w:r w:rsidRPr="004A77C5">
          <w:rPr>
            <w:rStyle w:val="Hiperligao"/>
            <w:noProof/>
          </w:rPr>
          <w:t>Quadro 20 - Convenções paralelas publicadas em 2019 (por tipo)</w:t>
        </w:r>
        <w:r>
          <w:rPr>
            <w:noProof/>
            <w:webHidden/>
          </w:rPr>
          <w:tab/>
        </w:r>
        <w:r>
          <w:rPr>
            <w:noProof/>
            <w:webHidden/>
          </w:rPr>
          <w:fldChar w:fldCharType="begin"/>
        </w:r>
        <w:r>
          <w:rPr>
            <w:noProof/>
            <w:webHidden/>
          </w:rPr>
          <w:instrText xml:space="preserve"> PAGEREF _Toc45716641 \h </w:instrText>
        </w:r>
        <w:r>
          <w:rPr>
            <w:noProof/>
            <w:webHidden/>
          </w:rPr>
        </w:r>
        <w:r>
          <w:rPr>
            <w:noProof/>
            <w:webHidden/>
          </w:rPr>
          <w:fldChar w:fldCharType="separate"/>
        </w:r>
        <w:r>
          <w:rPr>
            <w:noProof/>
            <w:webHidden/>
          </w:rPr>
          <w:t>63</w:t>
        </w:r>
        <w:r>
          <w:rPr>
            <w:noProof/>
            <w:webHidden/>
          </w:rPr>
          <w:fldChar w:fldCharType="end"/>
        </w:r>
      </w:hyperlink>
    </w:p>
    <w:p w14:paraId="03ABB162"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42" w:history="1">
        <w:r w:rsidRPr="004A77C5">
          <w:rPr>
            <w:rStyle w:val="Hiperligao"/>
            <w:noProof/>
          </w:rPr>
          <w:t>Quadro 21 - Convenções publicadas em 2019 (por atividade económica e tipo)</w:t>
        </w:r>
        <w:r>
          <w:rPr>
            <w:noProof/>
            <w:webHidden/>
          </w:rPr>
          <w:tab/>
        </w:r>
        <w:r>
          <w:rPr>
            <w:noProof/>
            <w:webHidden/>
          </w:rPr>
          <w:fldChar w:fldCharType="begin"/>
        </w:r>
        <w:r>
          <w:rPr>
            <w:noProof/>
            <w:webHidden/>
          </w:rPr>
          <w:instrText xml:space="preserve"> PAGEREF _Toc45716642 \h </w:instrText>
        </w:r>
        <w:r>
          <w:rPr>
            <w:noProof/>
            <w:webHidden/>
          </w:rPr>
        </w:r>
        <w:r>
          <w:rPr>
            <w:noProof/>
            <w:webHidden/>
          </w:rPr>
          <w:fldChar w:fldCharType="separate"/>
        </w:r>
        <w:r>
          <w:rPr>
            <w:noProof/>
            <w:webHidden/>
          </w:rPr>
          <w:t>65</w:t>
        </w:r>
        <w:r>
          <w:rPr>
            <w:noProof/>
            <w:webHidden/>
          </w:rPr>
          <w:fldChar w:fldCharType="end"/>
        </w:r>
      </w:hyperlink>
    </w:p>
    <w:p w14:paraId="6CC0AE47"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43" w:history="1">
        <w:r w:rsidRPr="004A77C5">
          <w:rPr>
            <w:rStyle w:val="Hiperligao"/>
            <w:noProof/>
          </w:rPr>
          <w:t>Quadro 22 - Nº de trabalhadores potencialmente abrangidos por Convenções publicadas em 2019 (por setor de atividade e tipo)</w:t>
        </w:r>
        <w:r>
          <w:rPr>
            <w:noProof/>
            <w:webHidden/>
          </w:rPr>
          <w:tab/>
        </w:r>
        <w:r>
          <w:rPr>
            <w:noProof/>
            <w:webHidden/>
          </w:rPr>
          <w:fldChar w:fldCharType="begin"/>
        </w:r>
        <w:r>
          <w:rPr>
            <w:noProof/>
            <w:webHidden/>
          </w:rPr>
          <w:instrText xml:space="preserve"> PAGEREF _Toc45716643 \h </w:instrText>
        </w:r>
        <w:r>
          <w:rPr>
            <w:noProof/>
            <w:webHidden/>
          </w:rPr>
        </w:r>
        <w:r>
          <w:rPr>
            <w:noProof/>
            <w:webHidden/>
          </w:rPr>
          <w:fldChar w:fldCharType="separate"/>
        </w:r>
        <w:r>
          <w:rPr>
            <w:noProof/>
            <w:webHidden/>
          </w:rPr>
          <w:t>67</w:t>
        </w:r>
        <w:r>
          <w:rPr>
            <w:noProof/>
            <w:webHidden/>
          </w:rPr>
          <w:fldChar w:fldCharType="end"/>
        </w:r>
      </w:hyperlink>
    </w:p>
    <w:p w14:paraId="36EAC40B"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44" w:history="1">
        <w:r w:rsidRPr="004A77C5">
          <w:rPr>
            <w:rStyle w:val="Hiperligao"/>
            <w:noProof/>
          </w:rPr>
          <w:t>Quadro 23 - Média de Trabalhadores potencialmente Abrangidos por tipo de Convenção publicada (2019)</w:t>
        </w:r>
        <w:r>
          <w:rPr>
            <w:noProof/>
            <w:webHidden/>
          </w:rPr>
          <w:tab/>
        </w:r>
        <w:r>
          <w:rPr>
            <w:noProof/>
            <w:webHidden/>
          </w:rPr>
          <w:fldChar w:fldCharType="begin"/>
        </w:r>
        <w:r>
          <w:rPr>
            <w:noProof/>
            <w:webHidden/>
          </w:rPr>
          <w:instrText xml:space="preserve"> PAGEREF _Toc45716644 \h </w:instrText>
        </w:r>
        <w:r>
          <w:rPr>
            <w:noProof/>
            <w:webHidden/>
          </w:rPr>
        </w:r>
        <w:r>
          <w:rPr>
            <w:noProof/>
            <w:webHidden/>
          </w:rPr>
          <w:fldChar w:fldCharType="separate"/>
        </w:r>
        <w:r>
          <w:rPr>
            <w:noProof/>
            <w:webHidden/>
          </w:rPr>
          <w:t>68</w:t>
        </w:r>
        <w:r>
          <w:rPr>
            <w:noProof/>
            <w:webHidden/>
          </w:rPr>
          <w:fldChar w:fldCharType="end"/>
        </w:r>
      </w:hyperlink>
    </w:p>
    <w:p w14:paraId="676FA333"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45" w:history="1">
        <w:r w:rsidRPr="004A77C5">
          <w:rPr>
            <w:rStyle w:val="Hiperligao"/>
            <w:noProof/>
          </w:rPr>
          <w:t>Quadro 24 – Tipo de IRCT estendido  (2019-2018)</w:t>
        </w:r>
        <w:r>
          <w:rPr>
            <w:noProof/>
            <w:webHidden/>
          </w:rPr>
          <w:tab/>
        </w:r>
        <w:r>
          <w:rPr>
            <w:noProof/>
            <w:webHidden/>
          </w:rPr>
          <w:fldChar w:fldCharType="begin"/>
        </w:r>
        <w:r>
          <w:rPr>
            <w:noProof/>
            <w:webHidden/>
          </w:rPr>
          <w:instrText xml:space="preserve"> PAGEREF _Toc45716645 \h </w:instrText>
        </w:r>
        <w:r>
          <w:rPr>
            <w:noProof/>
            <w:webHidden/>
          </w:rPr>
        </w:r>
        <w:r>
          <w:rPr>
            <w:noProof/>
            <w:webHidden/>
          </w:rPr>
          <w:fldChar w:fldCharType="separate"/>
        </w:r>
        <w:r>
          <w:rPr>
            <w:noProof/>
            <w:webHidden/>
          </w:rPr>
          <w:t>69</w:t>
        </w:r>
        <w:r>
          <w:rPr>
            <w:noProof/>
            <w:webHidden/>
          </w:rPr>
          <w:fldChar w:fldCharType="end"/>
        </w:r>
      </w:hyperlink>
    </w:p>
    <w:p w14:paraId="40D4C720"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46" w:history="1">
        <w:r w:rsidRPr="004A77C5">
          <w:rPr>
            <w:rStyle w:val="Hiperligao"/>
            <w:noProof/>
          </w:rPr>
          <w:t>Quadro 25 - Período entre a publicação da Convenção (última alteração) e a publicação da PE e entre a produção de efeitos da tabela salarial da convenção e da PE  (2019)</w:t>
        </w:r>
        <w:r>
          <w:rPr>
            <w:noProof/>
            <w:webHidden/>
          </w:rPr>
          <w:tab/>
        </w:r>
        <w:r>
          <w:rPr>
            <w:noProof/>
            <w:webHidden/>
          </w:rPr>
          <w:fldChar w:fldCharType="begin"/>
        </w:r>
        <w:r>
          <w:rPr>
            <w:noProof/>
            <w:webHidden/>
          </w:rPr>
          <w:instrText xml:space="preserve"> PAGEREF _Toc45716646 \h </w:instrText>
        </w:r>
        <w:r>
          <w:rPr>
            <w:noProof/>
            <w:webHidden/>
          </w:rPr>
        </w:r>
        <w:r>
          <w:rPr>
            <w:noProof/>
            <w:webHidden/>
          </w:rPr>
          <w:fldChar w:fldCharType="separate"/>
        </w:r>
        <w:r>
          <w:rPr>
            <w:noProof/>
            <w:webHidden/>
          </w:rPr>
          <w:t>72</w:t>
        </w:r>
        <w:r>
          <w:rPr>
            <w:noProof/>
            <w:webHidden/>
          </w:rPr>
          <w:fldChar w:fldCharType="end"/>
        </w:r>
      </w:hyperlink>
    </w:p>
    <w:p w14:paraId="3DE7EA2C"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47" w:history="1">
        <w:r w:rsidRPr="004A77C5">
          <w:rPr>
            <w:rStyle w:val="Hiperligao"/>
            <w:noProof/>
          </w:rPr>
          <w:t>Quadro 26 – Acordos de Adesão publicados em 2019</w:t>
        </w:r>
        <w:r>
          <w:rPr>
            <w:noProof/>
            <w:webHidden/>
          </w:rPr>
          <w:tab/>
        </w:r>
        <w:r>
          <w:rPr>
            <w:noProof/>
            <w:webHidden/>
          </w:rPr>
          <w:fldChar w:fldCharType="begin"/>
        </w:r>
        <w:r>
          <w:rPr>
            <w:noProof/>
            <w:webHidden/>
          </w:rPr>
          <w:instrText xml:space="preserve"> PAGEREF _Toc45716647 \h </w:instrText>
        </w:r>
        <w:r>
          <w:rPr>
            <w:noProof/>
            <w:webHidden/>
          </w:rPr>
        </w:r>
        <w:r>
          <w:rPr>
            <w:noProof/>
            <w:webHidden/>
          </w:rPr>
          <w:fldChar w:fldCharType="separate"/>
        </w:r>
        <w:r>
          <w:rPr>
            <w:noProof/>
            <w:webHidden/>
          </w:rPr>
          <w:t>73</w:t>
        </w:r>
        <w:r>
          <w:rPr>
            <w:noProof/>
            <w:webHidden/>
          </w:rPr>
          <w:fldChar w:fldCharType="end"/>
        </w:r>
      </w:hyperlink>
    </w:p>
    <w:p w14:paraId="050F61C5"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48" w:history="1">
        <w:r w:rsidRPr="004A77C5">
          <w:rPr>
            <w:rStyle w:val="Hiperligao"/>
            <w:noProof/>
          </w:rPr>
          <w:t>Quadro 27 - Setor Público Empresarial - IRCT publicados em 2019 e 2018</w:t>
        </w:r>
        <w:r>
          <w:rPr>
            <w:noProof/>
            <w:webHidden/>
          </w:rPr>
          <w:tab/>
        </w:r>
        <w:r>
          <w:rPr>
            <w:noProof/>
            <w:webHidden/>
          </w:rPr>
          <w:fldChar w:fldCharType="begin"/>
        </w:r>
        <w:r>
          <w:rPr>
            <w:noProof/>
            <w:webHidden/>
          </w:rPr>
          <w:instrText xml:space="preserve"> PAGEREF _Toc45716648 \h </w:instrText>
        </w:r>
        <w:r>
          <w:rPr>
            <w:noProof/>
            <w:webHidden/>
          </w:rPr>
        </w:r>
        <w:r>
          <w:rPr>
            <w:noProof/>
            <w:webHidden/>
          </w:rPr>
          <w:fldChar w:fldCharType="separate"/>
        </w:r>
        <w:r>
          <w:rPr>
            <w:noProof/>
            <w:webHidden/>
          </w:rPr>
          <w:t>76</w:t>
        </w:r>
        <w:r>
          <w:rPr>
            <w:noProof/>
            <w:webHidden/>
          </w:rPr>
          <w:fldChar w:fldCharType="end"/>
        </w:r>
      </w:hyperlink>
    </w:p>
    <w:p w14:paraId="3A26767E"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49" w:history="1">
        <w:r w:rsidRPr="004A77C5">
          <w:rPr>
            <w:rStyle w:val="Hiperligao"/>
            <w:noProof/>
          </w:rPr>
          <w:t>Quadro 28 - Convenções Coletivas no âmbito do Setor Público Empresarial (2019)</w:t>
        </w:r>
        <w:r>
          <w:rPr>
            <w:noProof/>
            <w:webHidden/>
          </w:rPr>
          <w:tab/>
        </w:r>
        <w:r>
          <w:rPr>
            <w:noProof/>
            <w:webHidden/>
          </w:rPr>
          <w:fldChar w:fldCharType="begin"/>
        </w:r>
        <w:r>
          <w:rPr>
            <w:noProof/>
            <w:webHidden/>
          </w:rPr>
          <w:instrText xml:space="preserve"> PAGEREF _Toc45716649 \h </w:instrText>
        </w:r>
        <w:r>
          <w:rPr>
            <w:noProof/>
            <w:webHidden/>
          </w:rPr>
        </w:r>
        <w:r>
          <w:rPr>
            <w:noProof/>
            <w:webHidden/>
          </w:rPr>
          <w:fldChar w:fldCharType="separate"/>
        </w:r>
        <w:r>
          <w:rPr>
            <w:noProof/>
            <w:webHidden/>
          </w:rPr>
          <w:t>78</w:t>
        </w:r>
        <w:r>
          <w:rPr>
            <w:noProof/>
            <w:webHidden/>
          </w:rPr>
          <w:fldChar w:fldCharType="end"/>
        </w:r>
      </w:hyperlink>
    </w:p>
    <w:p w14:paraId="709C94E4"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50" w:history="1">
        <w:r w:rsidRPr="004A77C5">
          <w:rPr>
            <w:rStyle w:val="Hiperligao"/>
            <w:noProof/>
          </w:rPr>
          <w:t>Quadro 29 - Temas identificados em Convenções publicadas (por tipo) (2019)</w:t>
        </w:r>
        <w:r>
          <w:rPr>
            <w:noProof/>
            <w:webHidden/>
          </w:rPr>
          <w:tab/>
        </w:r>
        <w:r>
          <w:rPr>
            <w:noProof/>
            <w:webHidden/>
          </w:rPr>
          <w:fldChar w:fldCharType="begin"/>
        </w:r>
        <w:r>
          <w:rPr>
            <w:noProof/>
            <w:webHidden/>
          </w:rPr>
          <w:instrText xml:space="preserve"> PAGEREF _Toc45716650 \h </w:instrText>
        </w:r>
        <w:r>
          <w:rPr>
            <w:noProof/>
            <w:webHidden/>
          </w:rPr>
        </w:r>
        <w:r>
          <w:rPr>
            <w:noProof/>
            <w:webHidden/>
          </w:rPr>
          <w:fldChar w:fldCharType="separate"/>
        </w:r>
        <w:r>
          <w:rPr>
            <w:noProof/>
            <w:webHidden/>
          </w:rPr>
          <w:t>82</w:t>
        </w:r>
        <w:r>
          <w:rPr>
            <w:noProof/>
            <w:webHidden/>
          </w:rPr>
          <w:fldChar w:fldCharType="end"/>
        </w:r>
      </w:hyperlink>
    </w:p>
    <w:p w14:paraId="4208D5DB"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51" w:history="1">
        <w:r w:rsidRPr="004A77C5">
          <w:rPr>
            <w:rStyle w:val="Hiperligao"/>
            <w:noProof/>
          </w:rPr>
          <w:t>Quadro 30 - Temas identificados em Convenções publicadas (por subtipo) (2019)</w:t>
        </w:r>
        <w:r>
          <w:rPr>
            <w:noProof/>
            <w:webHidden/>
          </w:rPr>
          <w:tab/>
        </w:r>
        <w:r>
          <w:rPr>
            <w:noProof/>
            <w:webHidden/>
          </w:rPr>
          <w:fldChar w:fldCharType="begin"/>
        </w:r>
        <w:r>
          <w:rPr>
            <w:noProof/>
            <w:webHidden/>
          </w:rPr>
          <w:instrText xml:space="preserve"> PAGEREF _Toc45716651 \h </w:instrText>
        </w:r>
        <w:r>
          <w:rPr>
            <w:noProof/>
            <w:webHidden/>
          </w:rPr>
        </w:r>
        <w:r>
          <w:rPr>
            <w:noProof/>
            <w:webHidden/>
          </w:rPr>
          <w:fldChar w:fldCharType="separate"/>
        </w:r>
        <w:r>
          <w:rPr>
            <w:noProof/>
            <w:webHidden/>
          </w:rPr>
          <w:t>83</w:t>
        </w:r>
        <w:r>
          <w:rPr>
            <w:noProof/>
            <w:webHidden/>
          </w:rPr>
          <w:fldChar w:fldCharType="end"/>
        </w:r>
      </w:hyperlink>
    </w:p>
    <w:p w14:paraId="6801031B"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52" w:history="1">
        <w:r w:rsidRPr="004A77C5">
          <w:rPr>
            <w:rStyle w:val="Hiperligao"/>
            <w:noProof/>
          </w:rPr>
          <w:t>Quadro 31</w:t>
        </w:r>
        <w:r w:rsidRPr="004A77C5">
          <w:rPr>
            <w:rStyle w:val="Hiperligao"/>
            <w:rFonts w:ascii="Calibri" w:hAnsi="Calibri" w:cs="Calibri"/>
            <w:noProof/>
          </w:rPr>
          <w:t xml:space="preserve"> - Apuramento dos conteúdos previstos no artº 492ª do CT, em 1ªs Convenções e Revisões Globais – 2019</w:t>
        </w:r>
        <w:r>
          <w:rPr>
            <w:noProof/>
            <w:webHidden/>
          </w:rPr>
          <w:tab/>
        </w:r>
        <w:r>
          <w:rPr>
            <w:noProof/>
            <w:webHidden/>
          </w:rPr>
          <w:fldChar w:fldCharType="begin"/>
        </w:r>
        <w:r>
          <w:rPr>
            <w:noProof/>
            <w:webHidden/>
          </w:rPr>
          <w:instrText xml:space="preserve"> PAGEREF _Toc45716652 \h </w:instrText>
        </w:r>
        <w:r>
          <w:rPr>
            <w:noProof/>
            <w:webHidden/>
          </w:rPr>
        </w:r>
        <w:r>
          <w:rPr>
            <w:noProof/>
            <w:webHidden/>
          </w:rPr>
          <w:fldChar w:fldCharType="separate"/>
        </w:r>
        <w:r>
          <w:rPr>
            <w:noProof/>
            <w:webHidden/>
          </w:rPr>
          <w:t>85</w:t>
        </w:r>
        <w:r>
          <w:rPr>
            <w:noProof/>
            <w:webHidden/>
          </w:rPr>
          <w:fldChar w:fldCharType="end"/>
        </w:r>
      </w:hyperlink>
    </w:p>
    <w:p w14:paraId="09E106C4"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53" w:history="1">
        <w:r w:rsidRPr="004A77C5">
          <w:rPr>
            <w:rStyle w:val="Hiperligao"/>
            <w:noProof/>
          </w:rPr>
          <w:t>Quadro 32</w:t>
        </w:r>
        <w:r w:rsidRPr="004A77C5">
          <w:rPr>
            <w:rStyle w:val="Hiperligao"/>
            <w:rFonts w:eastAsia="Calibri" w:cstheme="minorHAnsi"/>
            <w:noProof/>
            <w:lang w:eastAsia="pt-PT"/>
          </w:rPr>
          <w:t xml:space="preserve"> - Âmbito geográfico das convenções (por abrangência geográfica e tipo de convenção) (2019-2018)</w:t>
        </w:r>
        <w:r>
          <w:rPr>
            <w:noProof/>
            <w:webHidden/>
          </w:rPr>
          <w:tab/>
        </w:r>
        <w:r>
          <w:rPr>
            <w:noProof/>
            <w:webHidden/>
          </w:rPr>
          <w:fldChar w:fldCharType="begin"/>
        </w:r>
        <w:r>
          <w:rPr>
            <w:noProof/>
            <w:webHidden/>
          </w:rPr>
          <w:instrText xml:space="preserve"> PAGEREF _Toc45716653 \h </w:instrText>
        </w:r>
        <w:r>
          <w:rPr>
            <w:noProof/>
            <w:webHidden/>
          </w:rPr>
        </w:r>
        <w:r>
          <w:rPr>
            <w:noProof/>
            <w:webHidden/>
          </w:rPr>
          <w:fldChar w:fldCharType="separate"/>
        </w:r>
        <w:r>
          <w:rPr>
            <w:noProof/>
            <w:webHidden/>
          </w:rPr>
          <w:t>97</w:t>
        </w:r>
        <w:r>
          <w:rPr>
            <w:noProof/>
            <w:webHidden/>
          </w:rPr>
          <w:fldChar w:fldCharType="end"/>
        </w:r>
      </w:hyperlink>
    </w:p>
    <w:p w14:paraId="18CD4C85"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54" w:history="1">
        <w:r w:rsidRPr="004A77C5">
          <w:rPr>
            <w:rStyle w:val="Hiperligao"/>
            <w:noProof/>
          </w:rPr>
          <w:t>Quadro 33</w:t>
        </w:r>
        <w:r w:rsidRPr="004A77C5">
          <w:rPr>
            <w:rStyle w:val="Hiperligao"/>
            <w:rFonts w:ascii="Calibri" w:hAnsi="Calibri" w:cs="Calibri"/>
            <w:noProof/>
          </w:rPr>
          <w:t xml:space="preserve"> - Períodos em que permaneceram em vigor as convenções revistas em 2019 (Revisões Parciais e Globais) - por tipo, subtipo e período de eficácia</w:t>
        </w:r>
        <w:r>
          <w:rPr>
            <w:noProof/>
            <w:webHidden/>
          </w:rPr>
          <w:tab/>
        </w:r>
        <w:r>
          <w:rPr>
            <w:noProof/>
            <w:webHidden/>
          </w:rPr>
          <w:fldChar w:fldCharType="begin"/>
        </w:r>
        <w:r>
          <w:rPr>
            <w:noProof/>
            <w:webHidden/>
          </w:rPr>
          <w:instrText xml:space="preserve"> PAGEREF _Toc45716654 \h </w:instrText>
        </w:r>
        <w:r>
          <w:rPr>
            <w:noProof/>
            <w:webHidden/>
          </w:rPr>
        </w:r>
        <w:r>
          <w:rPr>
            <w:noProof/>
            <w:webHidden/>
          </w:rPr>
          <w:fldChar w:fldCharType="separate"/>
        </w:r>
        <w:r>
          <w:rPr>
            <w:noProof/>
            <w:webHidden/>
          </w:rPr>
          <w:t>100</w:t>
        </w:r>
        <w:r>
          <w:rPr>
            <w:noProof/>
            <w:webHidden/>
          </w:rPr>
          <w:fldChar w:fldCharType="end"/>
        </w:r>
      </w:hyperlink>
    </w:p>
    <w:p w14:paraId="16FD5074"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55" w:history="1">
        <w:r w:rsidRPr="004A77C5">
          <w:rPr>
            <w:rStyle w:val="Hiperligao"/>
            <w:noProof/>
          </w:rPr>
          <w:t>Quadro 34</w:t>
        </w:r>
        <w:r w:rsidRPr="004A77C5">
          <w:rPr>
            <w:rStyle w:val="Hiperligao"/>
            <w:rFonts w:ascii="Calibri" w:hAnsi="Calibri" w:cs="Calibri"/>
            <w:noProof/>
          </w:rPr>
          <w:t xml:space="preserve"> - Períodos em que permaneceram em vigor as convenções revistas em 2019 (Revisões Parciais / Revisões Globais) - por setor de atividade e período de eficácia</w:t>
        </w:r>
        <w:r>
          <w:rPr>
            <w:noProof/>
            <w:webHidden/>
          </w:rPr>
          <w:tab/>
        </w:r>
        <w:r>
          <w:rPr>
            <w:noProof/>
            <w:webHidden/>
          </w:rPr>
          <w:fldChar w:fldCharType="begin"/>
        </w:r>
        <w:r>
          <w:rPr>
            <w:noProof/>
            <w:webHidden/>
          </w:rPr>
          <w:instrText xml:space="preserve"> PAGEREF _Toc45716655 \h </w:instrText>
        </w:r>
        <w:r>
          <w:rPr>
            <w:noProof/>
            <w:webHidden/>
          </w:rPr>
        </w:r>
        <w:r>
          <w:rPr>
            <w:noProof/>
            <w:webHidden/>
          </w:rPr>
          <w:fldChar w:fldCharType="separate"/>
        </w:r>
        <w:r>
          <w:rPr>
            <w:noProof/>
            <w:webHidden/>
          </w:rPr>
          <w:t>101</w:t>
        </w:r>
        <w:r>
          <w:rPr>
            <w:noProof/>
            <w:webHidden/>
          </w:rPr>
          <w:fldChar w:fldCharType="end"/>
        </w:r>
      </w:hyperlink>
    </w:p>
    <w:p w14:paraId="0F042638"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56" w:history="1">
        <w:r w:rsidRPr="004A77C5">
          <w:rPr>
            <w:rStyle w:val="Hiperligao"/>
            <w:noProof/>
          </w:rPr>
          <w:t>Quadro 35</w:t>
        </w:r>
        <w:r w:rsidRPr="004A77C5">
          <w:rPr>
            <w:rStyle w:val="Hiperligao"/>
            <w:rFonts w:ascii="Calibri" w:hAnsi="Calibri" w:cs="Calibri"/>
            <w:noProof/>
          </w:rPr>
          <w:t xml:space="preserve"> - Períodos em que permaneceram em vigor as convenções revistas nos anos 2015-2019 - peso relativo dos vários intervalos</w:t>
        </w:r>
        <w:r>
          <w:rPr>
            <w:noProof/>
            <w:webHidden/>
          </w:rPr>
          <w:tab/>
        </w:r>
        <w:r>
          <w:rPr>
            <w:noProof/>
            <w:webHidden/>
          </w:rPr>
          <w:fldChar w:fldCharType="begin"/>
        </w:r>
        <w:r>
          <w:rPr>
            <w:noProof/>
            <w:webHidden/>
          </w:rPr>
          <w:instrText xml:space="preserve"> PAGEREF _Toc45716656 \h </w:instrText>
        </w:r>
        <w:r>
          <w:rPr>
            <w:noProof/>
            <w:webHidden/>
          </w:rPr>
        </w:r>
        <w:r>
          <w:rPr>
            <w:noProof/>
            <w:webHidden/>
          </w:rPr>
          <w:fldChar w:fldCharType="separate"/>
        </w:r>
        <w:r>
          <w:rPr>
            <w:noProof/>
            <w:webHidden/>
          </w:rPr>
          <w:t>102</w:t>
        </w:r>
        <w:r>
          <w:rPr>
            <w:noProof/>
            <w:webHidden/>
          </w:rPr>
          <w:fldChar w:fldCharType="end"/>
        </w:r>
      </w:hyperlink>
    </w:p>
    <w:p w14:paraId="2D3AEF0A"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57" w:history="1">
        <w:r w:rsidRPr="004A77C5">
          <w:rPr>
            <w:rStyle w:val="Hiperligao"/>
            <w:rFonts w:ascii="Calibri" w:hAnsi="Calibri" w:cs="Calibri"/>
            <w:bCs/>
            <w:noProof/>
          </w:rPr>
          <w:t>Quadro 36 - Períodos em que permaneceram em vigor as convenções revistas em 2019 - Classificação por período de eficácia e número de trabalhadores</w:t>
        </w:r>
        <w:r>
          <w:rPr>
            <w:noProof/>
            <w:webHidden/>
          </w:rPr>
          <w:tab/>
        </w:r>
        <w:r>
          <w:rPr>
            <w:noProof/>
            <w:webHidden/>
          </w:rPr>
          <w:fldChar w:fldCharType="begin"/>
        </w:r>
        <w:r>
          <w:rPr>
            <w:noProof/>
            <w:webHidden/>
          </w:rPr>
          <w:instrText xml:space="preserve"> PAGEREF _Toc45716657 \h </w:instrText>
        </w:r>
        <w:r>
          <w:rPr>
            <w:noProof/>
            <w:webHidden/>
          </w:rPr>
        </w:r>
        <w:r>
          <w:rPr>
            <w:noProof/>
            <w:webHidden/>
          </w:rPr>
          <w:fldChar w:fldCharType="separate"/>
        </w:r>
        <w:r>
          <w:rPr>
            <w:noProof/>
            <w:webHidden/>
          </w:rPr>
          <w:t>103</w:t>
        </w:r>
        <w:r>
          <w:rPr>
            <w:noProof/>
            <w:webHidden/>
          </w:rPr>
          <w:fldChar w:fldCharType="end"/>
        </w:r>
      </w:hyperlink>
    </w:p>
    <w:p w14:paraId="48F10B0E"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58" w:history="1">
        <w:r w:rsidRPr="004A77C5">
          <w:rPr>
            <w:rStyle w:val="Hiperligao"/>
            <w:rFonts w:ascii="Calibri" w:hAnsi="Calibri" w:cs="Calibri"/>
            <w:bCs/>
            <w:noProof/>
          </w:rPr>
          <w:t>Quadro 37 - Convenções publicadas em 2019 com cláusulas relativas a Vigência da Convenção e/ou Caducidade (por tipo e subtipo)</w:t>
        </w:r>
        <w:r>
          <w:rPr>
            <w:noProof/>
            <w:webHidden/>
          </w:rPr>
          <w:tab/>
        </w:r>
        <w:r>
          <w:rPr>
            <w:noProof/>
            <w:webHidden/>
          </w:rPr>
          <w:fldChar w:fldCharType="begin"/>
        </w:r>
        <w:r>
          <w:rPr>
            <w:noProof/>
            <w:webHidden/>
          </w:rPr>
          <w:instrText xml:space="preserve"> PAGEREF _Toc45716658 \h </w:instrText>
        </w:r>
        <w:r>
          <w:rPr>
            <w:noProof/>
            <w:webHidden/>
          </w:rPr>
        </w:r>
        <w:r>
          <w:rPr>
            <w:noProof/>
            <w:webHidden/>
          </w:rPr>
          <w:fldChar w:fldCharType="separate"/>
        </w:r>
        <w:r>
          <w:rPr>
            <w:noProof/>
            <w:webHidden/>
          </w:rPr>
          <w:t>103</w:t>
        </w:r>
        <w:r>
          <w:rPr>
            <w:noProof/>
            <w:webHidden/>
          </w:rPr>
          <w:fldChar w:fldCharType="end"/>
        </w:r>
      </w:hyperlink>
    </w:p>
    <w:p w14:paraId="6241E94E"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59" w:history="1">
        <w:r w:rsidRPr="004A77C5">
          <w:rPr>
            <w:rStyle w:val="Hiperligao"/>
            <w:rFonts w:ascii="Calibri" w:hAnsi="Calibri" w:cs="Calibri"/>
            <w:bCs/>
            <w:noProof/>
          </w:rPr>
          <w:t>Quadro 38 - Convenções publicadas em 2019 com cláusulas sobre Vigência da Convenção (classificação por prazo de vigência)</w:t>
        </w:r>
        <w:r>
          <w:rPr>
            <w:noProof/>
            <w:webHidden/>
          </w:rPr>
          <w:tab/>
        </w:r>
        <w:r>
          <w:rPr>
            <w:noProof/>
            <w:webHidden/>
          </w:rPr>
          <w:fldChar w:fldCharType="begin"/>
        </w:r>
        <w:r>
          <w:rPr>
            <w:noProof/>
            <w:webHidden/>
          </w:rPr>
          <w:instrText xml:space="preserve"> PAGEREF _Toc45716659 \h </w:instrText>
        </w:r>
        <w:r>
          <w:rPr>
            <w:noProof/>
            <w:webHidden/>
          </w:rPr>
        </w:r>
        <w:r>
          <w:rPr>
            <w:noProof/>
            <w:webHidden/>
          </w:rPr>
          <w:fldChar w:fldCharType="separate"/>
        </w:r>
        <w:r>
          <w:rPr>
            <w:noProof/>
            <w:webHidden/>
          </w:rPr>
          <w:t>104</w:t>
        </w:r>
        <w:r>
          <w:rPr>
            <w:noProof/>
            <w:webHidden/>
          </w:rPr>
          <w:fldChar w:fldCharType="end"/>
        </w:r>
      </w:hyperlink>
    </w:p>
    <w:p w14:paraId="15A051A5"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60" w:history="1">
        <w:r w:rsidRPr="004A77C5">
          <w:rPr>
            <w:rStyle w:val="Hiperligao"/>
            <w:noProof/>
          </w:rPr>
          <w:t>Quadro 39</w:t>
        </w:r>
        <w:r w:rsidRPr="004A77C5">
          <w:rPr>
            <w:rStyle w:val="Hiperligao"/>
            <w:rFonts w:ascii="Calibri" w:hAnsi="Calibri" w:cs="Calibri"/>
            <w:noProof/>
          </w:rPr>
          <w:t xml:space="preserve"> - Convenções publicadas em 2019 com cláusulas sobre Renovação Automática das Convenções (por prazo de renovação)</w:t>
        </w:r>
        <w:r>
          <w:rPr>
            <w:noProof/>
            <w:webHidden/>
          </w:rPr>
          <w:tab/>
        </w:r>
        <w:r>
          <w:rPr>
            <w:noProof/>
            <w:webHidden/>
          </w:rPr>
          <w:fldChar w:fldCharType="begin"/>
        </w:r>
        <w:r>
          <w:rPr>
            <w:noProof/>
            <w:webHidden/>
          </w:rPr>
          <w:instrText xml:space="preserve"> PAGEREF _Toc45716660 \h </w:instrText>
        </w:r>
        <w:r>
          <w:rPr>
            <w:noProof/>
            <w:webHidden/>
          </w:rPr>
        </w:r>
        <w:r>
          <w:rPr>
            <w:noProof/>
            <w:webHidden/>
          </w:rPr>
          <w:fldChar w:fldCharType="separate"/>
        </w:r>
        <w:r>
          <w:rPr>
            <w:noProof/>
            <w:webHidden/>
          </w:rPr>
          <w:t>105</w:t>
        </w:r>
        <w:r>
          <w:rPr>
            <w:noProof/>
            <w:webHidden/>
          </w:rPr>
          <w:fldChar w:fldCharType="end"/>
        </w:r>
      </w:hyperlink>
    </w:p>
    <w:p w14:paraId="4268E788"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61" w:history="1">
        <w:r w:rsidRPr="004A77C5">
          <w:rPr>
            <w:rStyle w:val="Hiperligao"/>
            <w:noProof/>
          </w:rPr>
          <w:t>Quadro 40</w:t>
        </w:r>
        <w:r w:rsidRPr="004A77C5">
          <w:rPr>
            <w:rStyle w:val="Hiperligao"/>
            <w:rFonts w:ascii="Calibri" w:hAnsi="Calibri" w:cs="Calibri"/>
            <w:noProof/>
          </w:rPr>
          <w:t xml:space="preserve"> - Convenções publicadas em 2019 com cláusulas sobre sobrevigência (por tipo e período)</w:t>
        </w:r>
        <w:r>
          <w:rPr>
            <w:noProof/>
            <w:webHidden/>
          </w:rPr>
          <w:tab/>
        </w:r>
        <w:r>
          <w:rPr>
            <w:noProof/>
            <w:webHidden/>
          </w:rPr>
          <w:fldChar w:fldCharType="begin"/>
        </w:r>
        <w:r>
          <w:rPr>
            <w:noProof/>
            <w:webHidden/>
          </w:rPr>
          <w:instrText xml:space="preserve"> PAGEREF _Toc45716661 \h </w:instrText>
        </w:r>
        <w:r>
          <w:rPr>
            <w:noProof/>
            <w:webHidden/>
          </w:rPr>
        </w:r>
        <w:r>
          <w:rPr>
            <w:noProof/>
            <w:webHidden/>
          </w:rPr>
          <w:fldChar w:fldCharType="separate"/>
        </w:r>
        <w:r>
          <w:rPr>
            <w:noProof/>
            <w:webHidden/>
          </w:rPr>
          <w:t>106</w:t>
        </w:r>
        <w:r>
          <w:rPr>
            <w:noProof/>
            <w:webHidden/>
          </w:rPr>
          <w:fldChar w:fldCharType="end"/>
        </w:r>
      </w:hyperlink>
    </w:p>
    <w:p w14:paraId="4D8715E9"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62" w:history="1">
        <w:r w:rsidRPr="004A77C5">
          <w:rPr>
            <w:rStyle w:val="Hiperligao"/>
            <w:noProof/>
          </w:rPr>
          <w:t>Quadro 41</w:t>
        </w:r>
        <w:r w:rsidRPr="004A77C5">
          <w:rPr>
            <w:rStyle w:val="Hiperligao"/>
            <w:rFonts w:ascii="Calibri" w:hAnsi="Calibri" w:cs="Calibri"/>
            <w:noProof/>
          </w:rPr>
          <w:t xml:space="preserve"> - Convenções publicadas em 2019 com cláusulas sobre sobrevigência e caducidade</w:t>
        </w:r>
        <w:r>
          <w:rPr>
            <w:noProof/>
            <w:webHidden/>
          </w:rPr>
          <w:tab/>
        </w:r>
        <w:r>
          <w:rPr>
            <w:noProof/>
            <w:webHidden/>
          </w:rPr>
          <w:fldChar w:fldCharType="begin"/>
        </w:r>
        <w:r>
          <w:rPr>
            <w:noProof/>
            <w:webHidden/>
          </w:rPr>
          <w:instrText xml:space="preserve"> PAGEREF _Toc45716662 \h </w:instrText>
        </w:r>
        <w:r>
          <w:rPr>
            <w:noProof/>
            <w:webHidden/>
          </w:rPr>
        </w:r>
        <w:r>
          <w:rPr>
            <w:noProof/>
            <w:webHidden/>
          </w:rPr>
          <w:fldChar w:fldCharType="separate"/>
        </w:r>
        <w:r>
          <w:rPr>
            <w:noProof/>
            <w:webHidden/>
          </w:rPr>
          <w:t>108</w:t>
        </w:r>
        <w:r>
          <w:rPr>
            <w:noProof/>
            <w:webHidden/>
          </w:rPr>
          <w:fldChar w:fldCharType="end"/>
        </w:r>
      </w:hyperlink>
    </w:p>
    <w:p w14:paraId="52606CC0"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63" w:history="1">
        <w:r w:rsidRPr="004A77C5">
          <w:rPr>
            <w:rStyle w:val="Hiperligao"/>
            <w:noProof/>
          </w:rPr>
          <w:t>Quadro 42</w:t>
        </w:r>
        <w:r w:rsidRPr="004A77C5">
          <w:rPr>
            <w:rStyle w:val="Hiperligao"/>
            <w:rFonts w:ascii="Calibri" w:hAnsi="Calibri" w:cs="Calibri"/>
            <w:noProof/>
          </w:rPr>
          <w:t xml:space="preserve"> - Avisos sobre a data da cessação da vigência (2019)</w:t>
        </w:r>
        <w:r>
          <w:rPr>
            <w:noProof/>
            <w:webHidden/>
          </w:rPr>
          <w:tab/>
        </w:r>
        <w:r>
          <w:rPr>
            <w:noProof/>
            <w:webHidden/>
          </w:rPr>
          <w:fldChar w:fldCharType="begin"/>
        </w:r>
        <w:r>
          <w:rPr>
            <w:noProof/>
            <w:webHidden/>
          </w:rPr>
          <w:instrText xml:space="preserve"> PAGEREF _Toc45716663 \h </w:instrText>
        </w:r>
        <w:r>
          <w:rPr>
            <w:noProof/>
            <w:webHidden/>
          </w:rPr>
        </w:r>
        <w:r>
          <w:rPr>
            <w:noProof/>
            <w:webHidden/>
          </w:rPr>
          <w:fldChar w:fldCharType="separate"/>
        </w:r>
        <w:r>
          <w:rPr>
            <w:noProof/>
            <w:webHidden/>
          </w:rPr>
          <w:t>109</w:t>
        </w:r>
        <w:r>
          <w:rPr>
            <w:noProof/>
            <w:webHidden/>
          </w:rPr>
          <w:fldChar w:fldCharType="end"/>
        </w:r>
      </w:hyperlink>
    </w:p>
    <w:p w14:paraId="5838EB2C"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64" w:history="1">
        <w:r w:rsidRPr="004A77C5">
          <w:rPr>
            <w:rStyle w:val="Hiperligao"/>
            <w:noProof/>
          </w:rPr>
          <w:t>Quadro 43 - Cláusulas de articulação de várias convenções coletivas (2019-2018)</w:t>
        </w:r>
        <w:r>
          <w:rPr>
            <w:noProof/>
            <w:webHidden/>
          </w:rPr>
          <w:tab/>
        </w:r>
        <w:r>
          <w:rPr>
            <w:noProof/>
            <w:webHidden/>
          </w:rPr>
          <w:fldChar w:fldCharType="begin"/>
        </w:r>
        <w:r>
          <w:rPr>
            <w:noProof/>
            <w:webHidden/>
          </w:rPr>
          <w:instrText xml:space="preserve"> PAGEREF _Toc45716664 \h </w:instrText>
        </w:r>
        <w:r>
          <w:rPr>
            <w:noProof/>
            <w:webHidden/>
          </w:rPr>
        </w:r>
        <w:r>
          <w:rPr>
            <w:noProof/>
            <w:webHidden/>
          </w:rPr>
          <w:fldChar w:fldCharType="separate"/>
        </w:r>
        <w:r>
          <w:rPr>
            <w:noProof/>
            <w:webHidden/>
          </w:rPr>
          <w:t>110</w:t>
        </w:r>
        <w:r>
          <w:rPr>
            <w:noProof/>
            <w:webHidden/>
          </w:rPr>
          <w:fldChar w:fldCharType="end"/>
        </w:r>
      </w:hyperlink>
    </w:p>
    <w:p w14:paraId="1AA2E6A1"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65" w:history="1">
        <w:r w:rsidRPr="004A77C5">
          <w:rPr>
            <w:rStyle w:val="Hiperligao"/>
            <w:noProof/>
          </w:rPr>
          <w:t>Quadro 44 - Cláusulas de articulação (2019)</w:t>
        </w:r>
        <w:r>
          <w:rPr>
            <w:noProof/>
            <w:webHidden/>
          </w:rPr>
          <w:tab/>
        </w:r>
        <w:r>
          <w:rPr>
            <w:noProof/>
            <w:webHidden/>
          </w:rPr>
          <w:fldChar w:fldCharType="begin"/>
        </w:r>
        <w:r>
          <w:rPr>
            <w:noProof/>
            <w:webHidden/>
          </w:rPr>
          <w:instrText xml:space="preserve"> PAGEREF _Toc45716665 \h </w:instrText>
        </w:r>
        <w:r>
          <w:rPr>
            <w:noProof/>
            <w:webHidden/>
          </w:rPr>
        </w:r>
        <w:r>
          <w:rPr>
            <w:noProof/>
            <w:webHidden/>
          </w:rPr>
          <w:fldChar w:fldCharType="separate"/>
        </w:r>
        <w:r>
          <w:rPr>
            <w:noProof/>
            <w:webHidden/>
          </w:rPr>
          <w:t>111</w:t>
        </w:r>
        <w:r>
          <w:rPr>
            <w:noProof/>
            <w:webHidden/>
          </w:rPr>
          <w:fldChar w:fldCharType="end"/>
        </w:r>
      </w:hyperlink>
    </w:p>
    <w:p w14:paraId="76767AB0"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66" w:history="1">
        <w:r w:rsidRPr="004A77C5">
          <w:rPr>
            <w:rStyle w:val="Hiperligao"/>
            <w:noProof/>
          </w:rPr>
          <w:t>Quadro 45 - Regimes transitórios – 2019</w:t>
        </w:r>
        <w:r>
          <w:rPr>
            <w:noProof/>
            <w:webHidden/>
          </w:rPr>
          <w:tab/>
        </w:r>
        <w:r>
          <w:rPr>
            <w:noProof/>
            <w:webHidden/>
          </w:rPr>
          <w:fldChar w:fldCharType="begin"/>
        </w:r>
        <w:r>
          <w:rPr>
            <w:noProof/>
            <w:webHidden/>
          </w:rPr>
          <w:instrText xml:space="preserve"> PAGEREF _Toc45716666 \h </w:instrText>
        </w:r>
        <w:r>
          <w:rPr>
            <w:noProof/>
            <w:webHidden/>
          </w:rPr>
        </w:r>
        <w:r>
          <w:rPr>
            <w:noProof/>
            <w:webHidden/>
          </w:rPr>
          <w:fldChar w:fldCharType="separate"/>
        </w:r>
        <w:r>
          <w:rPr>
            <w:noProof/>
            <w:webHidden/>
          </w:rPr>
          <w:t>112</w:t>
        </w:r>
        <w:r>
          <w:rPr>
            <w:noProof/>
            <w:webHidden/>
          </w:rPr>
          <w:fldChar w:fldCharType="end"/>
        </w:r>
      </w:hyperlink>
    </w:p>
    <w:p w14:paraId="3A4DA7BA"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67" w:history="1">
        <w:r w:rsidRPr="004A77C5">
          <w:rPr>
            <w:rStyle w:val="Hiperligao"/>
            <w:noProof/>
          </w:rPr>
          <w:t>Quadro 46 - Regulamentos e acordos complementares por tipo (2019)</w:t>
        </w:r>
        <w:r>
          <w:rPr>
            <w:noProof/>
            <w:webHidden/>
          </w:rPr>
          <w:tab/>
        </w:r>
        <w:r>
          <w:rPr>
            <w:noProof/>
            <w:webHidden/>
          </w:rPr>
          <w:fldChar w:fldCharType="begin"/>
        </w:r>
        <w:r>
          <w:rPr>
            <w:noProof/>
            <w:webHidden/>
          </w:rPr>
          <w:instrText xml:space="preserve"> PAGEREF _Toc45716667 \h </w:instrText>
        </w:r>
        <w:r>
          <w:rPr>
            <w:noProof/>
            <w:webHidden/>
          </w:rPr>
        </w:r>
        <w:r>
          <w:rPr>
            <w:noProof/>
            <w:webHidden/>
          </w:rPr>
          <w:fldChar w:fldCharType="separate"/>
        </w:r>
        <w:r>
          <w:rPr>
            <w:noProof/>
            <w:webHidden/>
          </w:rPr>
          <w:t>115</w:t>
        </w:r>
        <w:r>
          <w:rPr>
            <w:noProof/>
            <w:webHidden/>
          </w:rPr>
          <w:fldChar w:fldCharType="end"/>
        </w:r>
      </w:hyperlink>
    </w:p>
    <w:p w14:paraId="502852BA"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68" w:history="1">
        <w:r w:rsidRPr="004A77C5">
          <w:rPr>
            <w:rStyle w:val="Hiperligao"/>
            <w:noProof/>
          </w:rPr>
          <w:t>Quadro 47 - PNT tempo completo - 2019 (por subtipo)</w:t>
        </w:r>
        <w:r>
          <w:rPr>
            <w:noProof/>
            <w:webHidden/>
          </w:rPr>
          <w:tab/>
        </w:r>
        <w:r>
          <w:rPr>
            <w:noProof/>
            <w:webHidden/>
          </w:rPr>
          <w:fldChar w:fldCharType="begin"/>
        </w:r>
        <w:r>
          <w:rPr>
            <w:noProof/>
            <w:webHidden/>
          </w:rPr>
          <w:instrText xml:space="preserve"> PAGEREF _Toc45716668 \h </w:instrText>
        </w:r>
        <w:r>
          <w:rPr>
            <w:noProof/>
            <w:webHidden/>
          </w:rPr>
        </w:r>
        <w:r>
          <w:rPr>
            <w:noProof/>
            <w:webHidden/>
          </w:rPr>
          <w:fldChar w:fldCharType="separate"/>
        </w:r>
        <w:r>
          <w:rPr>
            <w:noProof/>
            <w:webHidden/>
          </w:rPr>
          <w:t>117</w:t>
        </w:r>
        <w:r>
          <w:rPr>
            <w:noProof/>
            <w:webHidden/>
          </w:rPr>
          <w:fldChar w:fldCharType="end"/>
        </w:r>
      </w:hyperlink>
    </w:p>
    <w:p w14:paraId="35FA8057"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69" w:history="1">
        <w:r w:rsidRPr="004A77C5">
          <w:rPr>
            <w:rStyle w:val="Hiperligao"/>
            <w:noProof/>
          </w:rPr>
          <w:t>Quadro 48 - Férias - 2019 (por subtipo)</w:t>
        </w:r>
        <w:r>
          <w:rPr>
            <w:noProof/>
            <w:webHidden/>
          </w:rPr>
          <w:tab/>
        </w:r>
        <w:r>
          <w:rPr>
            <w:noProof/>
            <w:webHidden/>
          </w:rPr>
          <w:fldChar w:fldCharType="begin"/>
        </w:r>
        <w:r>
          <w:rPr>
            <w:noProof/>
            <w:webHidden/>
          </w:rPr>
          <w:instrText xml:space="preserve"> PAGEREF _Toc45716669 \h </w:instrText>
        </w:r>
        <w:r>
          <w:rPr>
            <w:noProof/>
            <w:webHidden/>
          </w:rPr>
        </w:r>
        <w:r>
          <w:rPr>
            <w:noProof/>
            <w:webHidden/>
          </w:rPr>
          <w:fldChar w:fldCharType="separate"/>
        </w:r>
        <w:r>
          <w:rPr>
            <w:noProof/>
            <w:webHidden/>
          </w:rPr>
          <w:t>118</w:t>
        </w:r>
        <w:r>
          <w:rPr>
            <w:noProof/>
            <w:webHidden/>
          </w:rPr>
          <w:fldChar w:fldCharType="end"/>
        </w:r>
      </w:hyperlink>
    </w:p>
    <w:p w14:paraId="661A4A1E"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70" w:history="1">
        <w:r w:rsidRPr="004A77C5">
          <w:rPr>
            <w:rStyle w:val="Hiperligao"/>
            <w:noProof/>
          </w:rPr>
          <w:t>Quadro 49 - Adaptabilidade e banco de horas (2019) (2017 e 2018)</w:t>
        </w:r>
        <w:r>
          <w:rPr>
            <w:noProof/>
            <w:webHidden/>
          </w:rPr>
          <w:tab/>
        </w:r>
        <w:r>
          <w:rPr>
            <w:noProof/>
            <w:webHidden/>
          </w:rPr>
          <w:fldChar w:fldCharType="begin"/>
        </w:r>
        <w:r>
          <w:rPr>
            <w:noProof/>
            <w:webHidden/>
          </w:rPr>
          <w:instrText xml:space="preserve"> PAGEREF _Toc45716670 \h </w:instrText>
        </w:r>
        <w:r>
          <w:rPr>
            <w:noProof/>
            <w:webHidden/>
          </w:rPr>
        </w:r>
        <w:r>
          <w:rPr>
            <w:noProof/>
            <w:webHidden/>
          </w:rPr>
          <w:fldChar w:fldCharType="separate"/>
        </w:r>
        <w:r>
          <w:rPr>
            <w:noProof/>
            <w:webHidden/>
          </w:rPr>
          <w:t>123</w:t>
        </w:r>
        <w:r>
          <w:rPr>
            <w:noProof/>
            <w:webHidden/>
          </w:rPr>
          <w:fldChar w:fldCharType="end"/>
        </w:r>
      </w:hyperlink>
    </w:p>
    <w:p w14:paraId="199A49CD"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71" w:history="1">
        <w:r w:rsidRPr="004A77C5">
          <w:rPr>
            <w:rStyle w:val="Hiperligao"/>
            <w:noProof/>
          </w:rPr>
          <w:t>Quadro 50 - IRCT publicados em 2019 com cláusulas sobre Adaptabilidade e/ou Banco de Horas (por subtipo)</w:t>
        </w:r>
        <w:r>
          <w:rPr>
            <w:noProof/>
            <w:webHidden/>
          </w:rPr>
          <w:tab/>
        </w:r>
        <w:r>
          <w:rPr>
            <w:noProof/>
            <w:webHidden/>
          </w:rPr>
          <w:fldChar w:fldCharType="begin"/>
        </w:r>
        <w:r>
          <w:rPr>
            <w:noProof/>
            <w:webHidden/>
          </w:rPr>
          <w:instrText xml:space="preserve"> PAGEREF _Toc45716671 \h </w:instrText>
        </w:r>
        <w:r>
          <w:rPr>
            <w:noProof/>
            <w:webHidden/>
          </w:rPr>
        </w:r>
        <w:r>
          <w:rPr>
            <w:noProof/>
            <w:webHidden/>
          </w:rPr>
          <w:fldChar w:fldCharType="separate"/>
        </w:r>
        <w:r>
          <w:rPr>
            <w:noProof/>
            <w:webHidden/>
          </w:rPr>
          <w:t>123</w:t>
        </w:r>
        <w:r>
          <w:rPr>
            <w:noProof/>
            <w:webHidden/>
          </w:rPr>
          <w:fldChar w:fldCharType="end"/>
        </w:r>
      </w:hyperlink>
    </w:p>
    <w:p w14:paraId="4F0DFC56"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72" w:history="1">
        <w:r w:rsidRPr="004A77C5">
          <w:rPr>
            <w:rStyle w:val="Hiperligao"/>
            <w:noProof/>
          </w:rPr>
          <w:t>Quadro 51 - IRCT publicados em 2019 com cláusulas sobre Adaptabilidade</w:t>
        </w:r>
        <w:r>
          <w:rPr>
            <w:noProof/>
            <w:webHidden/>
          </w:rPr>
          <w:tab/>
        </w:r>
        <w:r>
          <w:rPr>
            <w:noProof/>
            <w:webHidden/>
          </w:rPr>
          <w:fldChar w:fldCharType="begin"/>
        </w:r>
        <w:r>
          <w:rPr>
            <w:noProof/>
            <w:webHidden/>
          </w:rPr>
          <w:instrText xml:space="preserve"> PAGEREF _Toc45716672 \h </w:instrText>
        </w:r>
        <w:r>
          <w:rPr>
            <w:noProof/>
            <w:webHidden/>
          </w:rPr>
        </w:r>
        <w:r>
          <w:rPr>
            <w:noProof/>
            <w:webHidden/>
          </w:rPr>
          <w:fldChar w:fldCharType="separate"/>
        </w:r>
        <w:r>
          <w:rPr>
            <w:noProof/>
            <w:webHidden/>
          </w:rPr>
          <w:t>124</w:t>
        </w:r>
        <w:r>
          <w:rPr>
            <w:noProof/>
            <w:webHidden/>
          </w:rPr>
          <w:fldChar w:fldCharType="end"/>
        </w:r>
      </w:hyperlink>
    </w:p>
    <w:p w14:paraId="6696584A"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73" w:history="1">
        <w:r w:rsidRPr="004A77C5">
          <w:rPr>
            <w:rStyle w:val="Hiperligao"/>
            <w:noProof/>
          </w:rPr>
          <w:t>Quadro 52 - Adaptabilidade - Valores máximos de PNT e Período de referência (2019)</w:t>
        </w:r>
        <w:r>
          <w:rPr>
            <w:noProof/>
            <w:webHidden/>
          </w:rPr>
          <w:tab/>
        </w:r>
        <w:r>
          <w:rPr>
            <w:noProof/>
            <w:webHidden/>
          </w:rPr>
          <w:fldChar w:fldCharType="begin"/>
        </w:r>
        <w:r>
          <w:rPr>
            <w:noProof/>
            <w:webHidden/>
          </w:rPr>
          <w:instrText xml:space="preserve"> PAGEREF _Toc45716673 \h </w:instrText>
        </w:r>
        <w:r>
          <w:rPr>
            <w:noProof/>
            <w:webHidden/>
          </w:rPr>
        </w:r>
        <w:r>
          <w:rPr>
            <w:noProof/>
            <w:webHidden/>
          </w:rPr>
          <w:fldChar w:fldCharType="separate"/>
        </w:r>
        <w:r>
          <w:rPr>
            <w:noProof/>
            <w:webHidden/>
          </w:rPr>
          <w:t>126</w:t>
        </w:r>
        <w:r>
          <w:rPr>
            <w:noProof/>
            <w:webHidden/>
          </w:rPr>
          <w:fldChar w:fldCharType="end"/>
        </w:r>
      </w:hyperlink>
    </w:p>
    <w:p w14:paraId="30C6020D"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74" w:history="1">
        <w:r w:rsidRPr="004A77C5">
          <w:rPr>
            <w:rStyle w:val="Hiperligao"/>
            <w:noProof/>
          </w:rPr>
          <w:t>Quadro 53 - IRCT publicados em 2019 com cláusulas sobre Banco de Horas (por tipo)</w:t>
        </w:r>
        <w:r>
          <w:rPr>
            <w:noProof/>
            <w:webHidden/>
          </w:rPr>
          <w:tab/>
        </w:r>
        <w:r>
          <w:rPr>
            <w:noProof/>
            <w:webHidden/>
          </w:rPr>
          <w:fldChar w:fldCharType="begin"/>
        </w:r>
        <w:r>
          <w:rPr>
            <w:noProof/>
            <w:webHidden/>
          </w:rPr>
          <w:instrText xml:space="preserve"> PAGEREF _Toc45716674 \h </w:instrText>
        </w:r>
        <w:r>
          <w:rPr>
            <w:noProof/>
            <w:webHidden/>
          </w:rPr>
        </w:r>
        <w:r>
          <w:rPr>
            <w:noProof/>
            <w:webHidden/>
          </w:rPr>
          <w:fldChar w:fldCharType="separate"/>
        </w:r>
        <w:r>
          <w:rPr>
            <w:noProof/>
            <w:webHidden/>
          </w:rPr>
          <w:t>129</w:t>
        </w:r>
        <w:r>
          <w:rPr>
            <w:noProof/>
            <w:webHidden/>
          </w:rPr>
          <w:fldChar w:fldCharType="end"/>
        </w:r>
      </w:hyperlink>
    </w:p>
    <w:p w14:paraId="3749672B"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75" w:history="1">
        <w:r w:rsidRPr="004A77C5">
          <w:rPr>
            <w:rStyle w:val="Hiperligao"/>
            <w:noProof/>
          </w:rPr>
          <w:t>Quadro 54 - Convenções que regulam Banco de Horas (Acréscimos) (2019)</w:t>
        </w:r>
        <w:r>
          <w:rPr>
            <w:noProof/>
            <w:webHidden/>
          </w:rPr>
          <w:tab/>
        </w:r>
        <w:r>
          <w:rPr>
            <w:noProof/>
            <w:webHidden/>
          </w:rPr>
          <w:fldChar w:fldCharType="begin"/>
        </w:r>
        <w:r>
          <w:rPr>
            <w:noProof/>
            <w:webHidden/>
          </w:rPr>
          <w:instrText xml:space="preserve"> PAGEREF _Toc45716675 \h </w:instrText>
        </w:r>
        <w:r>
          <w:rPr>
            <w:noProof/>
            <w:webHidden/>
          </w:rPr>
        </w:r>
        <w:r>
          <w:rPr>
            <w:noProof/>
            <w:webHidden/>
          </w:rPr>
          <w:fldChar w:fldCharType="separate"/>
        </w:r>
        <w:r>
          <w:rPr>
            <w:noProof/>
            <w:webHidden/>
          </w:rPr>
          <w:t>131</w:t>
        </w:r>
        <w:r>
          <w:rPr>
            <w:noProof/>
            <w:webHidden/>
          </w:rPr>
          <w:fldChar w:fldCharType="end"/>
        </w:r>
      </w:hyperlink>
    </w:p>
    <w:p w14:paraId="1607AA2D"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76" w:history="1">
        <w:r w:rsidRPr="004A77C5">
          <w:rPr>
            <w:rStyle w:val="Hiperligao"/>
            <w:noProof/>
          </w:rPr>
          <w:t>Quadro 55 - Horário Concentrado (2019)</w:t>
        </w:r>
        <w:r>
          <w:rPr>
            <w:noProof/>
            <w:webHidden/>
          </w:rPr>
          <w:tab/>
        </w:r>
        <w:r>
          <w:rPr>
            <w:noProof/>
            <w:webHidden/>
          </w:rPr>
          <w:fldChar w:fldCharType="begin"/>
        </w:r>
        <w:r>
          <w:rPr>
            <w:noProof/>
            <w:webHidden/>
          </w:rPr>
          <w:instrText xml:space="preserve"> PAGEREF _Toc45716676 \h </w:instrText>
        </w:r>
        <w:r>
          <w:rPr>
            <w:noProof/>
            <w:webHidden/>
          </w:rPr>
        </w:r>
        <w:r>
          <w:rPr>
            <w:noProof/>
            <w:webHidden/>
          </w:rPr>
          <w:fldChar w:fldCharType="separate"/>
        </w:r>
        <w:r>
          <w:rPr>
            <w:noProof/>
            <w:webHidden/>
          </w:rPr>
          <w:t>134</w:t>
        </w:r>
        <w:r>
          <w:rPr>
            <w:noProof/>
            <w:webHidden/>
          </w:rPr>
          <w:fldChar w:fldCharType="end"/>
        </w:r>
      </w:hyperlink>
    </w:p>
    <w:p w14:paraId="3F1833C0"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77" w:history="1">
        <w:r w:rsidRPr="004A77C5">
          <w:rPr>
            <w:rStyle w:val="Hiperligao"/>
            <w:noProof/>
          </w:rPr>
          <w:t>Quadro 56 - Prevenção ou Disponibilidade (por tipo) – (2019)</w:t>
        </w:r>
        <w:r>
          <w:rPr>
            <w:noProof/>
            <w:webHidden/>
          </w:rPr>
          <w:tab/>
        </w:r>
        <w:r>
          <w:rPr>
            <w:noProof/>
            <w:webHidden/>
          </w:rPr>
          <w:fldChar w:fldCharType="begin"/>
        </w:r>
        <w:r>
          <w:rPr>
            <w:noProof/>
            <w:webHidden/>
          </w:rPr>
          <w:instrText xml:space="preserve"> PAGEREF _Toc45716677 \h </w:instrText>
        </w:r>
        <w:r>
          <w:rPr>
            <w:noProof/>
            <w:webHidden/>
          </w:rPr>
        </w:r>
        <w:r>
          <w:rPr>
            <w:noProof/>
            <w:webHidden/>
          </w:rPr>
          <w:fldChar w:fldCharType="separate"/>
        </w:r>
        <w:r>
          <w:rPr>
            <w:noProof/>
            <w:webHidden/>
          </w:rPr>
          <w:t>135</w:t>
        </w:r>
        <w:r>
          <w:rPr>
            <w:noProof/>
            <w:webHidden/>
          </w:rPr>
          <w:fldChar w:fldCharType="end"/>
        </w:r>
      </w:hyperlink>
    </w:p>
    <w:p w14:paraId="1E861775"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78" w:history="1">
        <w:r w:rsidRPr="004A77C5">
          <w:rPr>
            <w:rStyle w:val="Hiperligao"/>
            <w:noProof/>
          </w:rPr>
          <w:t>Quadro 57 - Convenções publicadas em 2019 com regimes de prevenção ou disponibilidade(2019)</w:t>
        </w:r>
        <w:r>
          <w:rPr>
            <w:noProof/>
            <w:webHidden/>
          </w:rPr>
          <w:tab/>
        </w:r>
        <w:r>
          <w:rPr>
            <w:noProof/>
            <w:webHidden/>
          </w:rPr>
          <w:fldChar w:fldCharType="begin"/>
        </w:r>
        <w:r>
          <w:rPr>
            <w:noProof/>
            <w:webHidden/>
          </w:rPr>
          <w:instrText xml:space="preserve"> PAGEREF _Toc45716678 \h </w:instrText>
        </w:r>
        <w:r>
          <w:rPr>
            <w:noProof/>
            <w:webHidden/>
          </w:rPr>
        </w:r>
        <w:r>
          <w:rPr>
            <w:noProof/>
            <w:webHidden/>
          </w:rPr>
          <w:fldChar w:fldCharType="separate"/>
        </w:r>
        <w:r>
          <w:rPr>
            <w:noProof/>
            <w:webHidden/>
          </w:rPr>
          <w:t>137</w:t>
        </w:r>
        <w:r>
          <w:rPr>
            <w:noProof/>
            <w:webHidden/>
          </w:rPr>
          <w:fldChar w:fldCharType="end"/>
        </w:r>
      </w:hyperlink>
    </w:p>
    <w:p w14:paraId="193E9AA7"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79" w:history="1">
        <w:r w:rsidRPr="004A77C5">
          <w:rPr>
            <w:rStyle w:val="Hiperligao"/>
            <w:noProof/>
          </w:rPr>
          <w:t>Quadro 58 - Convenções publicadas em 2019 com cláusulas sobre trabalho suplementar (por subtipo)</w:t>
        </w:r>
        <w:r>
          <w:rPr>
            <w:noProof/>
            <w:webHidden/>
          </w:rPr>
          <w:tab/>
        </w:r>
        <w:r>
          <w:rPr>
            <w:noProof/>
            <w:webHidden/>
          </w:rPr>
          <w:fldChar w:fldCharType="begin"/>
        </w:r>
        <w:r>
          <w:rPr>
            <w:noProof/>
            <w:webHidden/>
          </w:rPr>
          <w:instrText xml:space="preserve"> PAGEREF _Toc45716679 \h </w:instrText>
        </w:r>
        <w:r>
          <w:rPr>
            <w:noProof/>
            <w:webHidden/>
          </w:rPr>
        </w:r>
        <w:r>
          <w:rPr>
            <w:noProof/>
            <w:webHidden/>
          </w:rPr>
          <w:fldChar w:fldCharType="separate"/>
        </w:r>
        <w:r>
          <w:rPr>
            <w:noProof/>
            <w:webHidden/>
          </w:rPr>
          <w:t>138</w:t>
        </w:r>
        <w:r>
          <w:rPr>
            <w:noProof/>
            <w:webHidden/>
          </w:rPr>
          <w:fldChar w:fldCharType="end"/>
        </w:r>
      </w:hyperlink>
    </w:p>
    <w:p w14:paraId="11BFC686"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80" w:history="1">
        <w:r w:rsidRPr="004A77C5">
          <w:rPr>
            <w:rStyle w:val="Hiperligao"/>
            <w:noProof/>
          </w:rPr>
          <w:t>Quadro 59 - Trabalho Suplementar – Acréscimos Remuneratórios (por subgrupos) – 2019</w:t>
        </w:r>
        <w:r>
          <w:rPr>
            <w:noProof/>
            <w:webHidden/>
          </w:rPr>
          <w:tab/>
        </w:r>
        <w:r>
          <w:rPr>
            <w:noProof/>
            <w:webHidden/>
          </w:rPr>
          <w:fldChar w:fldCharType="begin"/>
        </w:r>
        <w:r>
          <w:rPr>
            <w:noProof/>
            <w:webHidden/>
          </w:rPr>
          <w:instrText xml:space="preserve"> PAGEREF _Toc45716680 \h </w:instrText>
        </w:r>
        <w:r>
          <w:rPr>
            <w:noProof/>
            <w:webHidden/>
          </w:rPr>
        </w:r>
        <w:r>
          <w:rPr>
            <w:noProof/>
            <w:webHidden/>
          </w:rPr>
          <w:fldChar w:fldCharType="separate"/>
        </w:r>
        <w:r>
          <w:rPr>
            <w:noProof/>
            <w:webHidden/>
          </w:rPr>
          <w:t>143</w:t>
        </w:r>
        <w:r>
          <w:rPr>
            <w:noProof/>
            <w:webHidden/>
          </w:rPr>
          <w:fldChar w:fldCharType="end"/>
        </w:r>
      </w:hyperlink>
    </w:p>
    <w:p w14:paraId="052FAB98"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81" w:history="1">
        <w:r w:rsidRPr="004A77C5">
          <w:rPr>
            <w:rStyle w:val="Hiperligao"/>
            <w:noProof/>
          </w:rPr>
          <w:t>Quadro 60 - Horários Flexíveis (2019)</w:t>
        </w:r>
        <w:r>
          <w:rPr>
            <w:noProof/>
            <w:webHidden/>
          </w:rPr>
          <w:tab/>
        </w:r>
        <w:r>
          <w:rPr>
            <w:noProof/>
            <w:webHidden/>
          </w:rPr>
          <w:fldChar w:fldCharType="begin"/>
        </w:r>
        <w:r>
          <w:rPr>
            <w:noProof/>
            <w:webHidden/>
          </w:rPr>
          <w:instrText xml:space="preserve"> PAGEREF _Toc45716681 \h </w:instrText>
        </w:r>
        <w:r>
          <w:rPr>
            <w:noProof/>
            <w:webHidden/>
          </w:rPr>
        </w:r>
        <w:r>
          <w:rPr>
            <w:noProof/>
            <w:webHidden/>
          </w:rPr>
          <w:fldChar w:fldCharType="separate"/>
        </w:r>
        <w:r>
          <w:rPr>
            <w:noProof/>
            <w:webHidden/>
          </w:rPr>
          <w:t>145</w:t>
        </w:r>
        <w:r>
          <w:rPr>
            <w:noProof/>
            <w:webHidden/>
          </w:rPr>
          <w:fldChar w:fldCharType="end"/>
        </w:r>
      </w:hyperlink>
    </w:p>
    <w:p w14:paraId="10D6A071"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82" w:history="1">
        <w:r w:rsidRPr="004A77C5">
          <w:rPr>
            <w:rStyle w:val="Hiperligao"/>
            <w:noProof/>
          </w:rPr>
          <w:t>Quadro 61 - Isenção de Horário de Trabalho (2019 - 2018)</w:t>
        </w:r>
        <w:r>
          <w:rPr>
            <w:noProof/>
            <w:webHidden/>
          </w:rPr>
          <w:tab/>
        </w:r>
        <w:r>
          <w:rPr>
            <w:noProof/>
            <w:webHidden/>
          </w:rPr>
          <w:fldChar w:fldCharType="begin"/>
        </w:r>
        <w:r>
          <w:rPr>
            <w:noProof/>
            <w:webHidden/>
          </w:rPr>
          <w:instrText xml:space="preserve"> PAGEREF _Toc45716682 \h </w:instrText>
        </w:r>
        <w:r>
          <w:rPr>
            <w:noProof/>
            <w:webHidden/>
          </w:rPr>
        </w:r>
        <w:r>
          <w:rPr>
            <w:noProof/>
            <w:webHidden/>
          </w:rPr>
          <w:fldChar w:fldCharType="separate"/>
        </w:r>
        <w:r>
          <w:rPr>
            <w:noProof/>
            <w:webHidden/>
          </w:rPr>
          <w:t>147</w:t>
        </w:r>
        <w:r>
          <w:rPr>
            <w:noProof/>
            <w:webHidden/>
          </w:rPr>
          <w:fldChar w:fldCharType="end"/>
        </w:r>
      </w:hyperlink>
    </w:p>
    <w:p w14:paraId="14D5C7B3"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83" w:history="1">
        <w:r w:rsidRPr="004A77C5">
          <w:rPr>
            <w:rStyle w:val="Hiperligao"/>
            <w:noProof/>
          </w:rPr>
          <w:t>Quadro 62 - Convenções publicadas com cláusulas sobre Formação Profissional e/ou Trabalhador-Estudante (por tipo), 2019 e 2018</w:t>
        </w:r>
        <w:r>
          <w:rPr>
            <w:noProof/>
            <w:webHidden/>
          </w:rPr>
          <w:tab/>
        </w:r>
        <w:r>
          <w:rPr>
            <w:noProof/>
            <w:webHidden/>
          </w:rPr>
          <w:fldChar w:fldCharType="begin"/>
        </w:r>
        <w:r>
          <w:rPr>
            <w:noProof/>
            <w:webHidden/>
          </w:rPr>
          <w:instrText xml:space="preserve"> PAGEREF _Toc45716683 \h </w:instrText>
        </w:r>
        <w:r>
          <w:rPr>
            <w:noProof/>
            <w:webHidden/>
          </w:rPr>
        </w:r>
        <w:r>
          <w:rPr>
            <w:noProof/>
            <w:webHidden/>
          </w:rPr>
          <w:fldChar w:fldCharType="separate"/>
        </w:r>
        <w:r>
          <w:rPr>
            <w:noProof/>
            <w:webHidden/>
          </w:rPr>
          <w:t>150</w:t>
        </w:r>
        <w:r>
          <w:rPr>
            <w:noProof/>
            <w:webHidden/>
          </w:rPr>
          <w:fldChar w:fldCharType="end"/>
        </w:r>
      </w:hyperlink>
    </w:p>
    <w:p w14:paraId="685ADDCA"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84" w:history="1">
        <w:r w:rsidRPr="004A77C5">
          <w:rPr>
            <w:rStyle w:val="Hiperligao"/>
            <w:noProof/>
          </w:rPr>
          <w:t>Quadro 63 - Convenções publicadas com cláusulas sobre Formação Profissional (por subtipo) – 2019</w:t>
        </w:r>
        <w:r>
          <w:rPr>
            <w:noProof/>
            <w:webHidden/>
          </w:rPr>
          <w:tab/>
        </w:r>
        <w:r>
          <w:rPr>
            <w:noProof/>
            <w:webHidden/>
          </w:rPr>
          <w:fldChar w:fldCharType="begin"/>
        </w:r>
        <w:r>
          <w:rPr>
            <w:noProof/>
            <w:webHidden/>
          </w:rPr>
          <w:instrText xml:space="preserve"> PAGEREF _Toc45716684 \h </w:instrText>
        </w:r>
        <w:r>
          <w:rPr>
            <w:noProof/>
            <w:webHidden/>
          </w:rPr>
        </w:r>
        <w:r>
          <w:rPr>
            <w:noProof/>
            <w:webHidden/>
          </w:rPr>
          <w:fldChar w:fldCharType="separate"/>
        </w:r>
        <w:r>
          <w:rPr>
            <w:noProof/>
            <w:webHidden/>
          </w:rPr>
          <w:t>151</w:t>
        </w:r>
        <w:r>
          <w:rPr>
            <w:noProof/>
            <w:webHidden/>
          </w:rPr>
          <w:fldChar w:fldCharType="end"/>
        </w:r>
      </w:hyperlink>
    </w:p>
    <w:p w14:paraId="00FB7E54"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85" w:history="1">
        <w:r w:rsidRPr="004A77C5">
          <w:rPr>
            <w:rStyle w:val="Hiperligao"/>
            <w:noProof/>
          </w:rPr>
          <w:t>Quadro 64 - Convenções publicadas com cláusulas sobre Trabalhador-Estudante (por subtipo) (2019-2018)</w:t>
        </w:r>
        <w:r>
          <w:rPr>
            <w:noProof/>
            <w:webHidden/>
          </w:rPr>
          <w:tab/>
        </w:r>
        <w:r>
          <w:rPr>
            <w:noProof/>
            <w:webHidden/>
          </w:rPr>
          <w:fldChar w:fldCharType="begin"/>
        </w:r>
        <w:r>
          <w:rPr>
            <w:noProof/>
            <w:webHidden/>
          </w:rPr>
          <w:instrText xml:space="preserve"> PAGEREF _Toc45716685 \h </w:instrText>
        </w:r>
        <w:r>
          <w:rPr>
            <w:noProof/>
            <w:webHidden/>
          </w:rPr>
        </w:r>
        <w:r>
          <w:rPr>
            <w:noProof/>
            <w:webHidden/>
          </w:rPr>
          <w:fldChar w:fldCharType="separate"/>
        </w:r>
        <w:r>
          <w:rPr>
            <w:noProof/>
            <w:webHidden/>
          </w:rPr>
          <w:t>151</w:t>
        </w:r>
        <w:r>
          <w:rPr>
            <w:noProof/>
            <w:webHidden/>
          </w:rPr>
          <w:fldChar w:fldCharType="end"/>
        </w:r>
      </w:hyperlink>
    </w:p>
    <w:p w14:paraId="4B2A1E3A"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86" w:history="1">
        <w:r w:rsidRPr="004A77C5">
          <w:rPr>
            <w:rStyle w:val="Hiperligao"/>
            <w:noProof/>
          </w:rPr>
          <w:t>Quadro 65</w:t>
        </w:r>
        <w:r w:rsidRPr="004A77C5">
          <w:rPr>
            <w:rStyle w:val="Hiperligao"/>
            <w:rFonts w:ascii="Calibri" w:hAnsi="Calibri" w:cs="Calibri"/>
            <w:noProof/>
          </w:rPr>
          <w:t xml:space="preserve"> - Igualdade e não discriminação e parentalidade (2019-2018)</w:t>
        </w:r>
        <w:r>
          <w:rPr>
            <w:noProof/>
            <w:webHidden/>
          </w:rPr>
          <w:tab/>
        </w:r>
        <w:r>
          <w:rPr>
            <w:noProof/>
            <w:webHidden/>
          </w:rPr>
          <w:fldChar w:fldCharType="begin"/>
        </w:r>
        <w:r>
          <w:rPr>
            <w:noProof/>
            <w:webHidden/>
          </w:rPr>
          <w:instrText xml:space="preserve"> PAGEREF _Toc45716686 \h </w:instrText>
        </w:r>
        <w:r>
          <w:rPr>
            <w:noProof/>
            <w:webHidden/>
          </w:rPr>
        </w:r>
        <w:r>
          <w:rPr>
            <w:noProof/>
            <w:webHidden/>
          </w:rPr>
          <w:fldChar w:fldCharType="separate"/>
        </w:r>
        <w:r>
          <w:rPr>
            <w:noProof/>
            <w:webHidden/>
          </w:rPr>
          <w:t>160</w:t>
        </w:r>
        <w:r>
          <w:rPr>
            <w:noProof/>
            <w:webHidden/>
          </w:rPr>
          <w:fldChar w:fldCharType="end"/>
        </w:r>
      </w:hyperlink>
    </w:p>
    <w:p w14:paraId="29D67C60"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87" w:history="1">
        <w:r w:rsidRPr="004A77C5">
          <w:rPr>
            <w:rStyle w:val="Hiperligao"/>
            <w:noProof/>
          </w:rPr>
          <w:t>Quadro 66 - Igualdade e não discriminação - assédio moral (2019)</w:t>
        </w:r>
        <w:r>
          <w:rPr>
            <w:noProof/>
            <w:webHidden/>
          </w:rPr>
          <w:tab/>
        </w:r>
        <w:r>
          <w:rPr>
            <w:noProof/>
            <w:webHidden/>
          </w:rPr>
          <w:fldChar w:fldCharType="begin"/>
        </w:r>
        <w:r>
          <w:rPr>
            <w:noProof/>
            <w:webHidden/>
          </w:rPr>
          <w:instrText xml:space="preserve"> PAGEREF _Toc45716687 \h </w:instrText>
        </w:r>
        <w:r>
          <w:rPr>
            <w:noProof/>
            <w:webHidden/>
          </w:rPr>
        </w:r>
        <w:r>
          <w:rPr>
            <w:noProof/>
            <w:webHidden/>
          </w:rPr>
          <w:fldChar w:fldCharType="separate"/>
        </w:r>
        <w:r>
          <w:rPr>
            <w:noProof/>
            <w:webHidden/>
          </w:rPr>
          <w:t>161</w:t>
        </w:r>
        <w:r>
          <w:rPr>
            <w:noProof/>
            <w:webHidden/>
          </w:rPr>
          <w:fldChar w:fldCharType="end"/>
        </w:r>
      </w:hyperlink>
    </w:p>
    <w:p w14:paraId="246E43FF"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88" w:history="1">
        <w:r w:rsidRPr="004A77C5">
          <w:rPr>
            <w:rStyle w:val="Hiperligao"/>
            <w:noProof/>
          </w:rPr>
          <w:t>Quadro 67</w:t>
        </w:r>
        <w:r w:rsidRPr="004A77C5">
          <w:rPr>
            <w:rStyle w:val="Hiperligao"/>
            <w:rFonts w:ascii="Calibri" w:hAnsi="Calibri" w:cs="Calibri"/>
            <w:noProof/>
          </w:rPr>
          <w:t xml:space="preserve"> - Conciliação da vida familiar e profissional – 2019</w:t>
        </w:r>
        <w:r>
          <w:rPr>
            <w:noProof/>
            <w:webHidden/>
          </w:rPr>
          <w:tab/>
        </w:r>
        <w:r>
          <w:rPr>
            <w:noProof/>
            <w:webHidden/>
          </w:rPr>
          <w:fldChar w:fldCharType="begin"/>
        </w:r>
        <w:r>
          <w:rPr>
            <w:noProof/>
            <w:webHidden/>
          </w:rPr>
          <w:instrText xml:space="preserve"> PAGEREF _Toc45716688 \h </w:instrText>
        </w:r>
        <w:r>
          <w:rPr>
            <w:noProof/>
            <w:webHidden/>
          </w:rPr>
        </w:r>
        <w:r>
          <w:rPr>
            <w:noProof/>
            <w:webHidden/>
          </w:rPr>
          <w:fldChar w:fldCharType="separate"/>
        </w:r>
        <w:r>
          <w:rPr>
            <w:noProof/>
            <w:webHidden/>
          </w:rPr>
          <w:t>166</w:t>
        </w:r>
        <w:r>
          <w:rPr>
            <w:noProof/>
            <w:webHidden/>
          </w:rPr>
          <w:fldChar w:fldCharType="end"/>
        </w:r>
      </w:hyperlink>
    </w:p>
    <w:p w14:paraId="35334E4D"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89" w:history="1">
        <w:r w:rsidRPr="004A77C5">
          <w:rPr>
            <w:rStyle w:val="Hiperligao"/>
            <w:noProof/>
          </w:rPr>
          <w:t>Quadro 68 - Proteção de dados pessoais em Convenções publicadas, por tipo (2019)</w:t>
        </w:r>
        <w:r>
          <w:rPr>
            <w:noProof/>
            <w:webHidden/>
          </w:rPr>
          <w:tab/>
        </w:r>
        <w:r>
          <w:rPr>
            <w:noProof/>
            <w:webHidden/>
          </w:rPr>
          <w:fldChar w:fldCharType="begin"/>
        </w:r>
        <w:r>
          <w:rPr>
            <w:noProof/>
            <w:webHidden/>
          </w:rPr>
          <w:instrText xml:space="preserve"> PAGEREF _Toc45716689 \h </w:instrText>
        </w:r>
        <w:r>
          <w:rPr>
            <w:noProof/>
            <w:webHidden/>
          </w:rPr>
        </w:r>
        <w:r>
          <w:rPr>
            <w:noProof/>
            <w:webHidden/>
          </w:rPr>
          <w:fldChar w:fldCharType="separate"/>
        </w:r>
        <w:r>
          <w:rPr>
            <w:noProof/>
            <w:webHidden/>
          </w:rPr>
          <w:t>170</w:t>
        </w:r>
        <w:r>
          <w:rPr>
            <w:noProof/>
            <w:webHidden/>
          </w:rPr>
          <w:fldChar w:fldCharType="end"/>
        </w:r>
      </w:hyperlink>
    </w:p>
    <w:p w14:paraId="0C4FB073"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90" w:history="1">
        <w:r w:rsidRPr="004A77C5">
          <w:rPr>
            <w:rStyle w:val="Hiperligao"/>
            <w:noProof/>
          </w:rPr>
          <w:t>Quadro 69 - Novas tecnologias e relações de trabalho, em 2019</w:t>
        </w:r>
        <w:r>
          <w:rPr>
            <w:noProof/>
            <w:webHidden/>
          </w:rPr>
          <w:tab/>
        </w:r>
        <w:r>
          <w:rPr>
            <w:noProof/>
            <w:webHidden/>
          </w:rPr>
          <w:fldChar w:fldCharType="begin"/>
        </w:r>
        <w:r>
          <w:rPr>
            <w:noProof/>
            <w:webHidden/>
          </w:rPr>
          <w:instrText xml:space="preserve"> PAGEREF _Toc45716690 \h </w:instrText>
        </w:r>
        <w:r>
          <w:rPr>
            <w:noProof/>
            <w:webHidden/>
          </w:rPr>
        </w:r>
        <w:r>
          <w:rPr>
            <w:noProof/>
            <w:webHidden/>
          </w:rPr>
          <w:fldChar w:fldCharType="separate"/>
        </w:r>
        <w:r>
          <w:rPr>
            <w:noProof/>
            <w:webHidden/>
          </w:rPr>
          <w:t>171</w:t>
        </w:r>
        <w:r>
          <w:rPr>
            <w:noProof/>
            <w:webHidden/>
          </w:rPr>
          <w:fldChar w:fldCharType="end"/>
        </w:r>
      </w:hyperlink>
    </w:p>
    <w:p w14:paraId="6830E266"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91" w:history="1">
        <w:r w:rsidRPr="004A77C5">
          <w:rPr>
            <w:rStyle w:val="Hiperligao"/>
            <w:noProof/>
          </w:rPr>
          <w:t>Quadro 70 - Avaliação de desempenho (2019-2018)</w:t>
        </w:r>
        <w:r>
          <w:rPr>
            <w:noProof/>
            <w:webHidden/>
          </w:rPr>
          <w:tab/>
        </w:r>
        <w:r>
          <w:rPr>
            <w:noProof/>
            <w:webHidden/>
          </w:rPr>
          <w:fldChar w:fldCharType="begin"/>
        </w:r>
        <w:r>
          <w:rPr>
            <w:noProof/>
            <w:webHidden/>
          </w:rPr>
          <w:instrText xml:space="preserve"> PAGEREF _Toc45716691 \h </w:instrText>
        </w:r>
        <w:r>
          <w:rPr>
            <w:noProof/>
            <w:webHidden/>
          </w:rPr>
        </w:r>
        <w:r>
          <w:rPr>
            <w:noProof/>
            <w:webHidden/>
          </w:rPr>
          <w:fldChar w:fldCharType="separate"/>
        </w:r>
        <w:r>
          <w:rPr>
            <w:noProof/>
            <w:webHidden/>
          </w:rPr>
          <w:t>174</w:t>
        </w:r>
        <w:r>
          <w:rPr>
            <w:noProof/>
            <w:webHidden/>
          </w:rPr>
          <w:fldChar w:fldCharType="end"/>
        </w:r>
      </w:hyperlink>
    </w:p>
    <w:p w14:paraId="366A4CDB"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92" w:history="1">
        <w:r w:rsidRPr="004A77C5">
          <w:rPr>
            <w:rStyle w:val="Hiperligao"/>
            <w:noProof/>
          </w:rPr>
          <w:t>Quadro 71</w:t>
        </w:r>
        <w:r w:rsidRPr="004A77C5">
          <w:rPr>
            <w:rStyle w:val="Hiperligao"/>
            <w:rFonts w:ascii="Calibri" w:eastAsia="Calibri" w:hAnsi="Calibri" w:cs="Calibri"/>
            <w:noProof/>
            <w:lang w:eastAsia="pt-PT"/>
          </w:rPr>
          <w:t xml:space="preserve"> - Convenções publicadas com cláusulas sobre Atividade Sindical na Empresa – 2019</w:t>
        </w:r>
        <w:r>
          <w:rPr>
            <w:noProof/>
            <w:webHidden/>
          </w:rPr>
          <w:tab/>
        </w:r>
        <w:r>
          <w:rPr>
            <w:noProof/>
            <w:webHidden/>
          </w:rPr>
          <w:fldChar w:fldCharType="begin"/>
        </w:r>
        <w:r>
          <w:rPr>
            <w:noProof/>
            <w:webHidden/>
          </w:rPr>
          <w:instrText xml:space="preserve"> PAGEREF _Toc45716692 \h </w:instrText>
        </w:r>
        <w:r>
          <w:rPr>
            <w:noProof/>
            <w:webHidden/>
          </w:rPr>
        </w:r>
        <w:r>
          <w:rPr>
            <w:noProof/>
            <w:webHidden/>
          </w:rPr>
          <w:fldChar w:fldCharType="separate"/>
        </w:r>
        <w:r>
          <w:rPr>
            <w:noProof/>
            <w:webHidden/>
          </w:rPr>
          <w:t>177</w:t>
        </w:r>
        <w:r>
          <w:rPr>
            <w:noProof/>
            <w:webHidden/>
          </w:rPr>
          <w:fldChar w:fldCharType="end"/>
        </w:r>
      </w:hyperlink>
    </w:p>
    <w:p w14:paraId="27133352"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93" w:history="1">
        <w:r w:rsidRPr="004A77C5">
          <w:rPr>
            <w:rStyle w:val="Hiperligao"/>
            <w:noProof/>
          </w:rPr>
          <w:t>Quadro 72 - Direitos dos Trabalhadores no exercício da atividade sindical na empresa (2019)</w:t>
        </w:r>
        <w:r>
          <w:rPr>
            <w:noProof/>
            <w:webHidden/>
          </w:rPr>
          <w:tab/>
        </w:r>
        <w:r>
          <w:rPr>
            <w:noProof/>
            <w:webHidden/>
          </w:rPr>
          <w:fldChar w:fldCharType="begin"/>
        </w:r>
        <w:r>
          <w:rPr>
            <w:noProof/>
            <w:webHidden/>
          </w:rPr>
          <w:instrText xml:space="preserve"> PAGEREF _Toc45716693 \h </w:instrText>
        </w:r>
        <w:r>
          <w:rPr>
            <w:noProof/>
            <w:webHidden/>
          </w:rPr>
        </w:r>
        <w:r>
          <w:rPr>
            <w:noProof/>
            <w:webHidden/>
          </w:rPr>
          <w:fldChar w:fldCharType="separate"/>
        </w:r>
        <w:r>
          <w:rPr>
            <w:noProof/>
            <w:webHidden/>
          </w:rPr>
          <w:t>178</w:t>
        </w:r>
        <w:r>
          <w:rPr>
            <w:noProof/>
            <w:webHidden/>
          </w:rPr>
          <w:fldChar w:fldCharType="end"/>
        </w:r>
      </w:hyperlink>
    </w:p>
    <w:p w14:paraId="26A48863"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94" w:history="1">
        <w:r w:rsidRPr="004A77C5">
          <w:rPr>
            <w:rStyle w:val="Hiperligao"/>
            <w:noProof/>
          </w:rPr>
          <w:t>Quadro 73</w:t>
        </w:r>
        <w:r w:rsidRPr="004A77C5">
          <w:rPr>
            <w:rStyle w:val="Hiperligao"/>
            <w:rFonts w:ascii="Calibri" w:hAnsi="Calibri" w:cs="Calibri"/>
            <w:noProof/>
          </w:rPr>
          <w:t xml:space="preserve"> - convenções que abordam apoios sociais complementares (por tipo e subtipo) (2019-2018)</w:t>
        </w:r>
        <w:r>
          <w:rPr>
            <w:noProof/>
            <w:webHidden/>
          </w:rPr>
          <w:tab/>
        </w:r>
        <w:r>
          <w:rPr>
            <w:noProof/>
            <w:webHidden/>
          </w:rPr>
          <w:fldChar w:fldCharType="begin"/>
        </w:r>
        <w:r>
          <w:rPr>
            <w:noProof/>
            <w:webHidden/>
          </w:rPr>
          <w:instrText xml:space="preserve"> PAGEREF _Toc45716694 \h </w:instrText>
        </w:r>
        <w:r>
          <w:rPr>
            <w:noProof/>
            <w:webHidden/>
          </w:rPr>
        </w:r>
        <w:r>
          <w:rPr>
            <w:noProof/>
            <w:webHidden/>
          </w:rPr>
          <w:fldChar w:fldCharType="separate"/>
        </w:r>
        <w:r>
          <w:rPr>
            <w:noProof/>
            <w:webHidden/>
          </w:rPr>
          <w:t>182</w:t>
        </w:r>
        <w:r>
          <w:rPr>
            <w:noProof/>
            <w:webHidden/>
          </w:rPr>
          <w:fldChar w:fldCharType="end"/>
        </w:r>
      </w:hyperlink>
    </w:p>
    <w:p w14:paraId="11110F44"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95" w:history="1">
        <w:r w:rsidRPr="004A77C5">
          <w:rPr>
            <w:rStyle w:val="Hiperligao"/>
            <w:noProof/>
          </w:rPr>
          <w:t>Quadro 74</w:t>
        </w:r>
        <w:r w:rsidRPr="004A77C5">
          <w:rPr>
            <w:rStyle w:val="Hiperligao"/>
            <w:rFonts w:ascii="Calibri" w:hAnsi="Calibri" w:cs="Calibri"/>
            <w:noProof/>
          </w:rPr>
          <w:t xml:space="preserve"> - Convenções que abordam Apoios Sociais complementares – 2019</w:t>
        </w:r>
        <w:r>
          <w:rPr>
            <w:noProof/>
            <w:webHidden/>
          </w:rPr>
          <w:tab/>
        </w:r>
        <w:r>
          <w:rPr>
            <w:noProof/>
            <w:webHidden/>
          </w:rPr>
          <w:fldChar w:fldCharType="begin"/>
        </w:r>
        <w:r>
          <w:rPr>
            <w:noProof/>
            <w:webHidden/>
          </w:rPr>
          <w:instrText xml:space="preserve"> PAGEREF _Toc45716695 \h </w:instrText>
        </w:r>
        <w:r>
          <w:rPr>
            <w:noProof/>
            <w:webHidden/>
          </w:rPr>
        </w:r>
        <w:r>
          <w:rPr>
            <w:noProof/>
            <w:webHidden/>
          </w:rPr>
          <w:fldChar w:fldCharType="separate"/>
        </w:r>
        <w:r>
          <w:rPr>
            <w:noProof/>
            <w:webHidden/>
          </w:rPr>
          <w:t>183</w:t>
        </w:r>
        <w:r>
          <w:rPr>
            <w:noProof/>
            <w:webHidden/>
          </w:rPr>
          <w:fldChar w:fldCharType="end"/>
        </w:r>
      </w:hyperlink>
    </w:p>
    <w:p w14:paraId="56835A40"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96" w:history="1">
        <w:r w:rsidRPr="004A77C5">
          <w:rPr>
            <w:rStyle w:val="Hiperligao"/>
            <w:noProof/>
          </w:rPr>
          <w:t>Quadro 75</w:t>
        </w:r>
        <w:r w:rsidRPr="004A77C5">
          <w:rPr>
            <w:rStyle w:val="Hiperligao"/>
            <w:rFonts w:ascii="Calibri" w:hAnsi="Calibri" w:cs="Calibri"/>
            <w:noProof/>
          </w:rPr>
          <w:t xml:space="preserve"> – Alterações ao Código do Trabalho pela Lei n.º 93/2019, 4/9 face às convenções de 2019</w:t>
        </w:r>
        <w:r>
          <w:rPr>
            <w:noProof/>
            <w:webHidden/>
          </w:rPr>
          <w:tab/>
        </w:r>
        <w:r>
          <w:rPr>
            <w:noProof/>
            <w:webHidden/>
          </w:rPr>
          <w:fldChar w:fldCharType="begin"/>
        </w:r>
        <w:r>
          <w:rPr>
            <w:noProof/>
            <w:webHidden/>
          </w:rPr>
          <w:instrText xml:space="preserve"> PAGEREF _Toc45716696 \h </w:instrText>
        </w:r>
        <w:r>
          <w:rPr>
            <w:noProof/>
            <w:webHidden/>
          </w:rPr>
        </w:r>
        <w:r>
          <w:rPr>
            <w:noProof/>
            <w:webHidden/>
          </w:rPr>
          <w:fldChar w:fldCharType="separate"/>
        </w:r>
        <w:r>
          <w:rPr>
            <w:noProof/>
            <w:webHidden/>
          </w:rPr>
          <w:t>188</w:t>
        </w:r>
        <w:r>
          <w:rPr>
            <w:noProof/>
            <w:webHidden/>
          </w:rPr>
          <w:fldChar w:fldCharType="end"/>
        </w:r>
      </w:hyperlink>
    </w:p>
    <w:p w14:paraId="082A2C16"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97" w:history="1">
        <w:r w:rsidRPr="004A77C5">
          <w:rPr>
            <w:rStyle w:val="Hiperligao"/>
            <w:noProof/>
          </w:rPr>
          <w:t>Quadro 76 - ACT publicados entre 2009 e 2019</w:t>
        </w:r>
        <w:r>
          <w:rPr>
            <w:noProof/>
            <w:webHidden/>
          </w:rPr>
          <w:tab/>
        </w:r>
        <w:r>
          <w:rPr>
            <w:noProof/>
            <w:webHidden/>
          </w:rPr>
          <w:fldChar w:fldCharType="begin"/>
        </w:r>
        <w:r>
          <w:rPr>
            <w:noProof/>
            <w:webHidden/>
          </w:rPr>
          <w:instrText xml:space="preserve"> PAGEREF _Toc45716697 \h </w:instrText>
        </w:r>
        <w:r>
          <w:rPr>
            <w:noProof/>
            <w:webHidden/>
          </w:rPr>
        </w:r>
        <w:r>
          <w:rPr>
            <w:noProof/>
            <w:webHidden/>
          </w:rPr>
          <w:fldChar w:fldCharType="separate"/>
        </w:r>
        <w:r>
          <w:rPr>
            <w:noProof/>
            <w:webHidden/>
          </w:rPr>
          <w:t>190</w:t>
        </w:r>
        <w:r>
          <w:rPr>
            <w:noProof/>
            <w:webHidden/>
          </w:rPr>
          <w:fldChar w:fldCharType="end"/>
        </w:r>
      </w:hyperlink>
    </w:p>
    <w:p w14:paraId="54E9EB82"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98" w:history="1">
        <w:r w:rsidRPr="004A77C5">
          <w:rPr>
            <w:rStyle w:val="Hiperligao"/>
            <w:noProof/>
          </w:rPr>
          <w:t>Quadro 77 - IRCT negociais celebrados no âmbito da Administração Pública em 2019</w:t>
        </w:r>
        <w:r>
          <w:rPr>
            <w:noProof/>
            <w:webHidden/>
          </w:rPr>
          <w:tab/>
        </w:r>
        <w:r>
          <w:rPr>
            <w:noProof/>
            <w:webHidden/>
          </w:rPr>
          <w:fldChar w:fldCharType="begin"/>
        </w:r>
        <w:r>
          <w:rPr>
            <w:noProof/>
            <w:webHidden/>
          </w:rPr>
          <w:instrText xml:space="preserve"> PAGEREF _Toc45716698 \h </w:instrText>
        </w:r>
        <w:r>
          <w:rPr>
            <w:noProof/>
            <w:webHidden/>
          </w:rPr>
        </w:r>
        <w:r>
          <w:rPr>
            <w:noProof/>
            <w:webHidden/>
          </w:rPr>
          <w:fldChar w:fldCharType="separate"/>
        </w:r>
        <w:r>
          <w:rPr>
            <w:noProof/>
            <w:webHidden/>
          </w:rPr>
          <w:t>191</w:t>
        </w:r>
        <w:r>
          <w:rPr>
            <w:noProof/>
            <w:webHidden/>
          </w:rPr>
          <w:fldChar w:fldCharType="end"/>
        </w:r>
      </w:hyperlink>
    </w:p>
    <w:p w14:paraId="2CFCB7D0"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699" w:history="1">
        <w:r w:rsidRPr="004A77C5">
          <w:rPr>
            <w:rStyle w:val="Hiperligao"/>
            <w:noProof/>
          </w:rPr>
          <w:t>Quadro 78 - Distribuição do número de ACT e AA por área geográfica e por tipo de Administração - em 2019</w:t>
        </w:r>
        <w:r>
          <w:rPr>
            <w:noProof/>
            <w:webHidden/>
          </w:rPr>
          <w:tab/>
        </w:r>
        <w:r>
          <w:rPr>
            <w:noProof/>
            <w:webHidden/>
          </w:rPr>
          <w:fldChar w:fldCharType="begin"/>
        </w:r>
        <w:r>
          <w:rPr>
            <w:noProof/>
            <w:webHidden/>
          </w:rPr>
          <w:instrText xml:space="preserve"> PAGEREF _Toc45716699 \h </w:instrText>
        </w:r>
        <w:r>
          <w:rPr>
            <w:noProof/>
            <w:webHidden/>
          </w:rPr>
        </w:r>
        <w:r>
          <w:rPr>
            <w:noProof/>
            <w:webHidden/>
          </w:rPr>
          <w:fldChar w:fldCharType="separate"/>
        </w:r>
        <w:r>
          <w:rPr>
            <w:noProof/>
            <w:webHidden/>
          </w:rPr>
          <w:t>192</w:t>
        </w:r>
        <w:r>
          <w:rPr>
            <w:noProof/>
            <w:webHidden/>
          </w:rPr>
          <w:fldChar w:fldCharType="end"/>
        </w:r>
      </w:hyperlink>
    </w:p>
    <w:p w14:paraId="76247B61" w14:textId="77777777" w:rsidR="00E742C1"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716700" w:history="1">
        <w:r w:rsidRPr="004A77C5">
          <w:rPr>
            <w:rStyle w:val="Hiperligao"/>
            <w:noProof/>
          </w:rPr>
          <w:t>Quadro 79 - Distribuição do número de ACT e AA por tipo de outorgante sindical e por tipo de Administração (2019)</w:t>
        </w:r>
        <w:r>
          <w:rPr>
            <w:noProof/>
            <w:webHidden/>
          </w:rPr>
          <w:tab/>
        </w:r>
        <w:r>
          <w:rPr>
            <w:noProof/>
            <w:webHidden/>
          </w:rPr>
          <w:fldChar w:fldCharType="begin"/>
        </w:r>
        <w:r>
          <w:rPr>
            <w:noProof/>
            <w:webHidden/>
          </w:rPr>
          <w:instrText xml:space="preserve"> PAGEREF _Toc45716700 \h </w:instrText>
        </w:r>
        <w:r>
          <w:rPr>
            <w:noProof/>
            <w:webHidden/>
          </w:rPr>
        </w:r>
        <w:r>
          <w:rPr>
            <w:noProof/>
            <w:webHidden/>
          </w:rPr>
          <w:fldChar w:fldCharType="separate"/>
        </w:r>
        <w:r>
          <w:rPr>
            <w:noProof/>
            <w:webHidden/>
          </w:rPr>
          <w:t>192</w:t>
        </w:r>
        <w:r>
          <w:rPr>
            <w:noProof/>
            <w:webHidden/>
          </w:rPr>
          <w:fldChar w:fldCharType="end"/>
        </w:r>
      </w:hyperlink>
    </w:p>
    <w:p w14:paraId="62773512" w14:textId="77777777" w:rsidR="00821541" w:rsidRPr="009A539C" w:rsidRDefault="00821541" w:rsidP="00821541">
      <w:pPr>
        <w:spacing w:after="0"/>
        <w:rPr>
          <w:rFonts w:cstheme="minorHAnsi"/>
          <w:b/>
          <w:sz w:val="18"/>
          <w:szCs w:val="18"/>
          <w:u w:val="single"/>
        </w:rPr>
      </w:pPr>
      <w:r w:rsidRPr="009A539C">
        <w:rPr>
          <w:rFonts w:cstheme="minorHAnsi"/>
          <w:b/>
          <w:sz w:val="18"/>
          <w:szCs w:val="18"/>
          <w:u w:val="single"/>
        </w:rPr>
        <w:fldChar w:fldCharType="end"/>
      </w:r>
    </w:p>
    <w:p w14:paraId="123BD10D" w14:textId="77777777" w:rsidR="00821541" w:rsidRPr="009A539C" w:rsidRDefault="00821541" w:rsidP="00821541">
      <w:pPr>
        <w:spacing w:after="0"/>
        <w:rPr>
          <w:rFonts w:cstheme="minorHAnsi"/>
          <w:b/>
          <w:sz w:val="18"/>
          <w:szCs w:val="18"/>
          <w:u w:val="single"/>
        </w:rPr>
      </w:pPr>
      <w:r w:rsidRPr="009A539C">
        <w:rPr>
          <w:rFonts w:cstheme="minorHAnsi"/>
          <w:b/>
          <w:sz w:val="18"/>
          <w:szCs w:val="18"/>
          <w:u w:val="single"/>
        </w:rPr>
        <w:br w:type="page"/>
      </w:r>
    </w:p>
    <w:p w14:paraId="15BCAC39" w14:textId="77777777" w:rsidR="00EF6372" w:rsidRPr="009A539C" w:rsidRDefault="00EF6372" w:rsidP="00821541">
      <w:pPr>
        <w:spacing w:after="0"/>
        <w:rPr>
          <w:rFonts w:cstheme="minorHAnsi"/>
          <w:b/>
          <w:sz w:val="18"/>
          <w:szCs w:val="18"/>
          <w:u w:val="single"/>
        </w:rPr>
      </w:pPr>
    </w:p>
    <w:p w14:paraId="0227C92C" w14:textId="77777777" w:rsidR="00EF6372" w:rsidRPr="009A539C" w:rsidRDefault="00EF6372" w:rsidP="00821541">
      <w:pPr>
        <w:spacing w:after="0"/>
        <w:rPr>
          <w:rFonts w:cstheme="minorHAnsi"/>
          <w:b/>
          <w:sz w:val="18"/>
          <w:szCs w:val="18"/>
          <w:u w:val="single"/>
        </w:rPr>
      </w:pPr>
    </w:p>
    <w:p w14:paraId="4B5D54E1" w14:textId="77777777" w:rsidR="00EF6372" w:rsidRPr="009A539C" w:rsidRDefault="00EF6372" w:rsidP="00821541">
      <w:pPr>
        <w:spacing w:after="0"/>
        <w:rPr>
          <w:rFonts w:cstheme="minorHAnsi"/>
          <w:b/>
          <w:sz w:val="18"/>
          <w:szCs w:val="18"/>
          <w:u w:val="single"/>
        </w:rPr>
      </w:pPr>
    </w:p>
    <w:p w14:paraId="568E28E9" w14:textId="77777777" w:rsidR="00EF6372" w:rsidRPr="009A539C" w:rsidRDefault="00EF6372" w:rsidP="00821541">
      <w:pPr>
        <w:spacing w:after="0"/>
        <w:rPr>
          <w:rFonts w:cstheme="minorHAnsi"/>
          <w:b/>
          <w:sz w:val="18"/>
          <w:szCs w:val="18"/>
          <w:u w:val="single"/>
        </w:rPr>
      </w:pPr>
    </w:p>
    <w:p w14:paraId="26C45614" w14:textId="77777777" w:rsidR="00EF6372" w:rsidRPr="009A539C" w:rsidRDefault="00EF6372" w:rsidP="00821541">
      <w:pPr>
        <w:spacing w:after="0"/>
        <w:rPr>
          <w:rFonts w:cstheme="minorHAnsi"/>
          <w:b/>
          <w:sz w:val="18"/>
          <w:szCs w:val="18"/>
          <w:u w:val="single"/>
        </w:rPr>
      </w:pPr>
    </w:p>
    <w:p w14:paraId="5526F22A" w14:textId="77777777" w:rsidR="00EF6372" w:rsidRPr="009A539C" w:rsidRDefault="00EF6372" w:rsidP="00821541">
      <w:pPr>
        <w:spacing w:after="0"/>
        <w:rPr>
          <w:rFonts w:cstheme="minorHAnsi"/>
          <w:b/>
          <w:sz w:val="18"/>
          <w:szCs w:val="18"/>
          <w:u w:val="single"/>
        </w:rPr>
      </w:pPr>
    </w:p>
    <w:p w14:paraId="5225183D" w14:textId="77777777" w:rsidR="00EF6372" w:rsidRPr="009A539C" w:rsidRDefault="00EF6372" w:rsidP="00821541">
      <w:pPr>
        <w:spacing w:after="0"/>
        <w:rPr>
          <w:rFonts w:cstheme="minorHAnsi"/>
          <w:b/>
          <w:sz w:val="18"/>
          <w:szCs w:val="18"/>
          <w:u w:val="single"/>
        </w:rPr>
      </w:pPr>
    </w:p>
    <w:p w14:paraId="741FB3F9" w14:textId="77777777" w:rsidR="00EF6372" w:rsidRPr="009A539C" w:rsidRDefault="00EF6372" w:rsidP="00821541">
      <w:pPr>
        <w:spacing w:after="0"/>
        <w:rPr>
          <w:rFonts w:cstheme="minorHAnsi"/>
          <w:b/>
          <w:sz w:val="18"/>
          <w:szCs w:val="18"/>
          <w:u w:val="single"/>
        </w:rPr>
      </w:pPr>
    </w:p>
    <w:p w14:paraId="7F485329" w14:textId="77777777" w:rsidR="00EF6372" w:rsidRPr="009A539C" w:rsidRDefault="00EF6372" w:rsidP="00821541">
      <w:pPr>
        <w:spacing w:after="0"/>
        <w:rPr>
          <w:rFonts w:cstheme="minorHAnsi"/>
          <w:b/>
          <w:sz w:val="18"/>
          <w:szCs w:val="18"/>
          <w:u w:val="single"/>
        </w:rPr>
      </w:pPr>
    </w:p>
    <w:p w14:paraId="14AB47E7" w14:textId="77777777" w:rsidR="00EF6372" w:rsidRPr="009A539C" w:rsidRDefault="00EF6372" w:rsidP="00821541">
      <w:pPr>
        <w:spacing w:after="0"/>
        <w:rPr>
          <w:rFonts w:cstheme="minorHAnsi"/>
          <w:b/>
          <w:sz w:val="18"/>
          <w:szCs w:val="18"/>
          <w:u w:val="single"/>
        </w:rPr>
      </w:pPr>
    </w:p>
    <w:p w14:paraId="09F23413" w14:textId="77777777" w:rsidR="00EF6372" w:rsidRPr="009A539C" w:rsidRDefault="00EF6372" w:rsidP="00821541">
      <w:pPr>
        <w:spacing w:after="0"/>
        <w:rPr>
          <w:rFonts w:cstheme="minorHAnsi"/>
          <w:b/>
          <w:sz w:val="18"/>
          <w:szCs w:val="18"/>
          <w:u w:val="single"/>
        </w:rPr>
      </w:pPr>
    </w:p>
    <w:p w14:paraId="2BC4777F" w14:textId="77777777" w:rsidR="00EF6372" w:rsidRPr="009A539C" w:rsidRDefault="00EF6372" w:rsidP="00821541">
      <w:pPr>
        <w:spacing w:after="0"/>
        <w:rPr>
          <w:rFonts w:cstheme="minorHAnsi"/>
          <w:b/>
          <w:sz w:val="18"/>
          <w:szCs w:val="18"/>
          <w:u w:val="single"/>
        </w:rPr>
      </w:pPr>
    </w:p>
    <w:p w14:paraId="2B291EA0" w14:textId="77777777" w:rsidR="00EF6372" w:rsidRPr="009A539C" w:rsidRDefault="00EF6372" w:rsidP="00821541">
      <w:pPr>
        <w:spacing w:after="0"/>
        <w:rPr>
          <w:rFonts w:cstheme="minorHAnsi"/>
          <w:b/>
          <w:sz w:val="18"/>
          <w:szCs w:val="18"/>
          <w:u w:val="single"/>
        </w:rPr>
      </w:pPr>
    </w:p>
    <w:p w14:paraId="6388B1A5" w14:textId="77777777" w:rsidR="00EF6372" w:rsidRPr="009A539C" w:rsidRDefault="00EF6372" w:rsidP="00821541">
      <w:pPr>
        <w:spacing w:after="0"/>
        <w:rPr>
          <w:rFonts w:cstheme="minorHAnsi"/>
          <w:b/>
          <w:sz w:val="18"/>
          <w:szCs w:val="18"/>
          <w:u w:val="single"/>
        </w:rPr>
      </w:pPr>
    </w:p>
    <w:p w14:paraId="0E13F8C3" w14:textId="77777777" w:rsidR="00EF6372" w:rsidRPr="009A539C" w:rsidRDefault="00EF6372" w:rsidP="00821541">
      <w:pPr>
        <w:spacing w:after="0"/>
        <w:rPr>
          <w:rFonts w:cstheme="minorHAnsi"/>
          <w:b/>
          <w:sz w:val="18"/>
          <w:szCs w:val="18"/>
          <w:u w:val="single"/>
        </w:rPr>
      </w:pPr>
    </w:p>
    <w:p w14:paraId="2F3B00F2" w14:textId="77777777" w:rsidR="00EF6372" w:rsidRPr="009A539C" w:rsidRDefault="00EF6372" w:rsidP="00821541">
      <w:pPr>
        <w:spacing w:after="0"/>
        <w:rPr>
          <w:rFonts w:cstheme="minorHAnsi"/>
          <w:b/>
          <w:sz w:val="18"/>
          <w:szCs w:val="18"/>
          <w:u w:val="single"/>
        </w:rPr>
      </w:pPr>
    </w:p>
    <w:p w14:paraId="05A00EEC" w14:textId="77777777" w:rsidR="00EF6372" w:rsidRPr="009A539C" w:rsidRDefault="00EF6372" w:rsidP="00821541">
      <w:pPr>
        <w:spacing w:after="0"/>
        <w:rPr>
          <w:rFonts w:cstheme="minorHAnsi"/>
          <w:b/>
          <w:sz w:val="18"/>
          <w:szCs w:val="18"/>
          <w:u w:val="single"/>
        </w:rPr>
      </w:pPr>
    </w:p>
    <w:p w14:paraId="68692064" w14:textId="77777777" w:rsidR="00EF6372" w:rsidRPr="009A539C" w:rsidRDefault="00EF6372" w:rsidP="00821541">
      <w:pPr>
        <w:spacing w:after="0"/>
        <w:rPr>
          <w:rFonts w:cstheme="minorHAnsi"/>
          <w:b/>
          <w:sz w:val="18"/>
          <w:szCs w:val="18"/>
          <w:u w:val="single"/>
        </w:rPr>
      </w:pPr>
    </w:p>
    <w:p w14:paraId="240C800F" w14:textId="77777777" w:rsidR="00EF6372" w:rsidRPr="009A539C" w:rsidRDefault="00EF6372" w:rsidP="00821541">
      <w:pPr>
        <w:spacing w:after="0"/>
        <w:rPr>
          <w:rFonts w:cstheme="minorHAnsi"/>
          <w:b/>
          <w:sz w:val="18"/>
          <w:szCs w:val="18"/>
          <w:u w:val="single"/>
        </w:rPr>
      </w:pPr>
    </w:p>
    <w:p w14:paraId="0E99903A" w14:textId="77777777" w:rsidR="00EF6372" w:rsidRPr="009A539C" w:rsidRDefault="00EF6372" w:rsidP="00821541">
      <w:pPr>
        <w:spacing w:after="0"/>
        <w:rPr>
          <w:rFonts w:cstheme="minorHAnsi"/>
          <w:b/>
          <w:sz w:val="18"/>
          <w:szCs w:val="18"/>
          <w:u w:val="single"/>
        </w:rPr>
      </w:pPr>
    </w:p>
    <w:p w14:paraId="343EAD34" w14:textId="77777777" w:rsidR="00EF6372" w:rsidRPr="009A539C" w:rsidRDefault="00EF6372" w:rsidP="00821541">
      <w:pPr>
        <w:spacing w:after="0"/>
        <w:rPr>
          <w:rFonts w:cstheme="minorHAnsi"/>
          <w:b/>
          <w:sz w:val="18"/>
          <w:szCs w:val="18"/>
          <w:u w:val="single"/>
        </w:rPr>
      </w:pPr>
    </w:p>
    <w:p w14:paraId="63877D34" w14:textId="77777777" w:rsidR="00EF6372" w:rsidRPr="009A539C" w:rsidRDefault="00EF6372" w:rsidP="00821541">
      <w:pPr>
        <w:spacing w:after="0"/>
        <w:rPr>
          <w:rFonts w:cstheme="minorHAnsi"/>
          <w:b/>
          <w:sz w:val="18"/>
          <w:szCs w:val="18"/>
          <w:u w:val="single"/>
        </w:rPr>
      </w:pPr>
    </w:p>
    <w:p w14:paraId="5FDB2182" w14:textId="77777777" w:rsidR="00EF6372" w:rsidRPr="009A539C" w:rsidRDefault="00EF6372" w:rsidP="00821541">
      <w:pPr>
        <w:spacing w:after="0"/>
        <w:rPr>
          <w:rFonts w:cstheme="minorHAnsi"/>
          <w:b/>
          <w:sz w:val="18"/>
          <w:szCs w:val="18"/>
          <w:u w:val="single"/>
        </w:rPr>
      </w:pPr>
    </w:p>
    <w:p w14:paraId="74A16E76" w14:textId="77777777" w:rsidR="00EF6372" w:rsidRPr="009A539C" w:rsidRDefault="00EF6372" w:rsidP="00821541">
      <w:pPr>
        <w:spacing w:after="0"/>
        <w:rPr>
          <w:rFonts w:cstheme="minorHAnsi"/>
          <w:b/>
          <w:sz w:val="18"/>
          <w:szCs w:val="18"/>
          <w:u w:val="single"/>
        </w:rPr>
      </w:pPr>
    </w:p>
    <w:p w14:paraId="701796D5" w14:textId="77777777" w:rsidR="00EF6372" w:rsidRPr="009A539C" w:rsidRDefault="00EF6372" w:rsidP="00821541">
      <w:pPr>
        <w:spacing w:after="0"/>
        <w:rPr>
          <w:rFonts w:cstheme="minorHAnsi"/>
          <w:b/>
          <w:sz w:val="18"/>
          <w:szCs w:val="18"/>
          <w:u w:val="single"/>
        </w:rPr>
      </w:pPr>
    </w:p>
    <w:p w14:paraId="54024DDB" w14:textId="77777777" w:rsidR="00EF6372" w:rsidRPr="009A539C" w:rsidRDefault="00EF6372" w:rsidP="00821541">
      <w:pPr>
        <w:spacing w:after="0"/>
        <w:rPr>
          <w:rFonts w:cstheme="minorHAnsi"/>
          <w:b/>
          <w:sz w:val="18"/>
          <w:szCs w:val="18"/>
          <w:u w:val="single"/>
        </w:rPr>
      </w:pPr>
    </w:p>
    <w:p w14:paraId="7771BAB9" w14:textId="77777777" w:rsidR="00EF6372" w:rsidRPr="009A539C" w:rsidRDefault="00EF6372" w:rsidP="00821541">
      <w:pPr>
        <w:spacing w:after="0"/>
        <w:rPr>
          <w:rFonts w:cstheme="minorHAnsi"/>
          <w:b/>
          <w:sz w:val="18"/>
          <w:szCs w:val="18"/>
          <w:u w:val="single"/>
        </w:rPr>
      </w:pPr>
    </w:p>
    <w:p w14:paraId="61154830" w14:textId="77777777" w:rsidR="00EF6372" w:rsidRPr="009A539C" w:rsidRDefault="00EF6372" w:rsidP="00821541">
      <w:pPr>
        <w:spacing w:after="0"/>
        <w:rPr>
          <w:rFonts w:cstheme="minorHAnsi"/>
          <w:b/>
          <w:sz w:val="18"/>
          <w:szCs w:val="18"/>
          <w:u w:val="single"/>
        </w:rPr>
      </w:pPr>
    </w:p>
    <w:p w14:paraId="087F3262" w14:textId="77777777" w:rsidR="00EF6372" w:rsidRPr="009A539C" w:rsidRDefault="00EF6372" w:rsidP="00821541">
      <w:pPr>
        <w:spacing w:after="0"/>
        <w:rPr>
          <w:rFonts w:cstheme="minorHAnsi"/>
          <w:b/>
          <w:sz w:val="18"/>
          <w:szCs w:val="18"/>
          <w:u w:val="single"/>
        </w:rPr>
      </w:pPr>
    </w:p>
    <w:p w14:paraId="12BC7E05" w14:textId="77777777" w:rsidR="00EF6372" w:rsidRPr="009A539C" w:rsidRDefault="00EF6372" w:rsidP="00821541">
      <w:pPr>
        <w:spacing w:after="0"/>
        <w:rPr>
          <w:rFonts w:cstheme="minorHAnsi"/>
          <w:b/>
          <w:sz w:val="18"/>
          <w:szCs w:val="18"/>
          <w:u w:val="single"/>
        </w:rPr>
      </w:pPr>
    </w:p>
    <w:p w14:paraId="643B43EE" w14:textId="77777777" w:rsidR="00EF6372" w:rsidRPr="009A539C" w:rsidRDefault="00EF6372" w:rsidP="00821541">
      <w:pPr>
        <w:spacing w:after="0"/>
        <w:rPr>
          <w:rFonts w:cstheme="minorHAnsi"/>
          <w:b/>
          <w:sz w:val="18"/>
          <w:szCs w:val="18"/>
          <w:u w:val="single"/>
        </w:rPr>
      </w:pPr>
    </w:p>
    <w:p w14:paraId="50A9F18E" w14:textId="77777777" w:rsidR="00EF6372" w:rsidRPr="009A539C" w:rsidRDefault="00EF6372" w:rsidP="00821541">
      <w:pPr>
        <w:spacing w:after="0"/>
        <w:rPr>
          <w:rFonts w:cstheme="minorHAnsi"/>
          <w:b/>
          <w:sz w:val="18"/>
          <w:szCs w:val="18"/>
          <w:u w:val="single"/>
        </w:rPr>
      </w:pPr>
    </w:p>
    <w:p w14:paraId="22A4A43D" w14:textId="77777777" w:rsidR="00EF6372" w:rsidRPr="009A539C" w:rsidRDefault="00EF6372" w:rsidP="00821541">
      <w:pPr>
        <w:spacing w:after="0"/>
        <w:rPr>
          <w:rFonts w:cstheme="minorHAnsi"/>
          <w:b/>
          <w:sz w:val="18"/>
          <w:szCs w:val="18"/>
          <w:u w:val="single"/>
        </w:rPr>
      </w:pPr>
    </w:p>
    <w:p w14:paraId="213D6EDC" w14:textId="77777777" w:rsidR="00EF6372" w:rsidRPr="009A539C" w:rsidRDefault="00EF6372" w:rsidP="00821541">
      <w:pPr>
        <w:spacing w:after="0"/>
        <w:rPr>
          <w:rFonts w:cstheme="minorHAnsi"/>
          <w:b/>
          <w:sz w:val="18"/>
          <w:szCs w:val="18"/>
          <w:u w:val="single"/>
        </w:rPr>
      </w:pPr>
    </w:p>
    <w:p w14:paraId="4CD2B853" w14:textId="77777777" w:rsidR="00EF6372" w:rsidRPr="009A539C" w:rsidRDefault="00EF6372" w:rsidP="00821541">
      <w:pPr>
        <w:spacing w:after="0"/>
        <w:rPr>
          <w:rFonts w:cstheme="minorHAnsi"/>
          <w:b/>
          <w:sz w:val="18"/>
          <w:szCs w:val="18"/>
          <w:u w:val="single"/>
        </w:rPr>
      </w:pPr>
    </w:p>
    <w:p w14:paraId="4AF63027" w14:textId="77777777" w:rsidR="00EF6372" w:rsidRPr="009A539C" w:rsidRDefault="00EF6372" w:rsidP="00821541">
      <w:pPr>
        <w:spacing w:after="0"/>
        <w:rPr>
          <w:rFonts w:cstheme="minorHAnsi"/>
          <w:b/>
          <w:sz w:val="18"/>
          <w:szCs w:val="18"/>
          <w:u w:val="single"/>
        </w:rPr>
      </w:pPr>
    </w:p>
    <w:p w14:paraId="61A22680" w14:textId="77777777" w:rsidR="00EF6372" w:rsidRPr="009A539C" w:rsidRDefault="00EF6372" w:rsidP="00821541">
      <w:pPr>
        <w:spacing w:after="0"/>
        <w:rPr>
          <w:rFonts w:cstheme="minorHAnsi"/>
          <w:b/>
          <w:sz w:val="18"/>
          <w:szCs w:val="18"/>
          <w:u w:val="single"/>
        </w:rPr>
      </w:pPr>
    </w:p>
    <w:p w14:paraId="24ABF0A4" w14:textId="77777777" w:rsidR="00EF6372" w:rsidRPr="009A539C" w:rsidRDefault="00EF6372" w:rsidP="00821541">
      <w:pPr>
        <w:spacing w:after="0"/>
        <w:rPr>
          <w:rFonts w:cstheme="minorHAnsi"/>
          <w:b/>
          <w:sz w:val="18"/>
          <w:szCs w:val="18"/>
          <w:u w:val="single"/>
        </w:rPr>
      </w:pPr>
    </w:p>
    <w:p w14:paraId="733B8BE2" w14:textId="77777777" w:rsidR="00EF6372" w:rsidRPr="009A539C" w:rsidRDefault="00EF6372" w:rsidP="00821541">
      <w:pPr>
        <w:spacing w:after="0"/>
        <w:rPr>
          <w:rFonts w:cstheme="minorHAnsi"/>
          <w:b/>
          <w:sz w:val="18"/>
          <w:szCs w:val="18"/>
          <w:u w:val="single"/>
        </w:rPr>
      </w:pPr>
    </w:p>
    <w:p w14:paraId="4E7241CE" w14:textId="77777777" w:rsidR="00EF6372" w:rsidRPr="009A539C" w:rsidRDefault="00EF6372" w:rsidP="00821541">
      <w:pPr>
        <w:spacing w:after="0"/>
        <w:rPr>
          <w:rFonts w:cstheme="minorHAnsi"/>
          <w:b/>
          <w:sz w:val="18"/>
          <w:szCs w:val="18"/>
          <w:u w:val="single"/>
        </w:rPr>
      </w:pPr>
    </w:p>
    <w:p w14:paraId="10535A79" w14:textId="77777777" w:rsidR="00EF6372" w:rsidRPr="009A539C" w:rsidRDefault="00EF6372" w:rsidP="00821541">
      <w:pPr>
        <w:spacing w:after="0"/>
        <w:rPr>
          <w:rFonts w:cstheme="minorHAnsi"/>
          <w:b/>
          <w:sz w:val="18"/>
          <w:szCs w:val="18"/>
          <w:u w:val="single"/>
        </w:rPr>
      </w:pPr>
    </w:p>
    <w:p w14:paraId="68C2973E" w14:textId="77777777" w:rsidR="00EF6372" w:rsidRPr="009A539C" w:rsidRDefault="00EF6372" w:rsidP="00821541">
      <w:pPr>
        <w:spacing w:after="0"/>
        <w:rPr>
          <w:rFonts w:cstheme="minorHAnsi"/>
          <w:b/>
          <w:sz w:val="18"/>
          <w:szCs w:val="18"/>
          <w:u w:val="single"/>
        </w:rPr>
      </w:pPr>
    </w:p>
    <w:p w14:paraId="0C3103B6" w14:textId="77777777" w:rsidR="00EF6372" w:rsidRPr="009A539C" w:rsidRDefault="00EF6372" w:rsidP="00821541">
      <w:pPr>
        <w:spacing w:after="0"/>
        <w:rPr>
          <w:rFonts w:cstheme="minorHAnsi"/>
          <w:b/>
          <w:sz w:val="18"/>
          <w:szCs w:val="18"/>
          <w:u w:val="single"/>
        </w:rPr>
      </w:pPr>
    </w:p>
    <w:p w14:paraId="4F681CF5" w14:textId="77777777" w:rsidR="00EF6372" w:rsidRPr="009A539C" w:rsidRDefault="00EF6372" w:rsidP="00821541">
      <w:pPr>
        <w:spacing w:after="0"/>
        <w:rPr>
          <w:rFonts w:cstheme="minorHAnsi"/>
          <w:b/>
          <w:sz w:val="18"/>
          <w:szCs w:val="18"/>
          <w:u w:val="single"/>
        </w:rPr>
      </w:pPr>
    </w:p>
    <w:p w14:paraId="682BB38D" w14:textId="77777777" w:rsidR="00EF6372" w:rsidRPr="009A539C" w:rsidRDefault="00EF6372" w:rsidP="00821541">
      <w:pPr>
        <w:spacing w:after="0"/>
        <w:rPr>
          <w:rFonts w:cstheme="minorHAnsi"/>
          <w:b/>
          <w:sz w:val="18"/>
          <w:szCs w:val="18"/>
          <w:u w:val="single"/>
        </w:rPr>
      </w:pPr>
    </w:p>
    <w:p w14:paraId="6F940C2D" w14:textId="77777777" w:rsidR="00EF6372" w:rsidRPr="009A539C" w:rsidRDefault="00EF6372" w:rsidP="00821541">
      <w:pPr>
        <w:spacing w:after="0"/>
        <w:rPr>
          <w:rFonts w:cstheme="minorHAnsi"/>
          <w:b/>
          <w:sz w:val="18"/>
          <w:szCs w:val="18"/>
          <w:u w:val="single"/>
        </w:rPr>
      </w:pPr>
    </w:p>
    <w:p w14:paraId="1DA40007" w14:textId="77777777" w:rsidR="00EF6372" w:rsidRPr="009A539C" w:rsidRDefault="00EF6372" w:rsidP="00821541">
      <w:pPr>
        <w:spacing w:after="0"/>
        <w:rPr>
          <w:rFonts w:cstheme="minorHAnsi"/>
          <w:b/>
          <w:sz w:val="18"/>
          <w:szCs w:val="18"/>
          <w:u w:val="single"/>
        </w:rPr>
      </w:pPr>
    </w:p>
    <w:p w14:paraId="37A1D2C0" w14:textId="77777777" w:rsidR="00EF6372" w:rsidRPr="009A539C" w:rsidRDefault="00EF6372" w:rsidP="00821541">
      <w:pPr>
        <w:spacing w:after="0"/>
        <w:rPr>
          <w:rFonts w:cstheme="minorHAnsi"/>
          <w:b/>
          <w:sz w:val="18"/>
          <w:szCs w:val="18"/>
          <w:u w:val="single"/>
        </w:rPr>
      </w:pPr>
    </w:p>
    <w:p w14:paraId="561EF128" w14:textId="77777777" w:rsidR="00EF6372" w:rsidRPr="009A539C" w:rsidRDefault="00EF6372" w:rsidP="00821541">
      <w:pPr>
        <w:spacing w:after="0"/>
        <w:rPr>
          <w:rFonts w:cstheme="minorHAnsi"/>
          <w:b/>
          <w:sz w:val="18"/>
          <w:szCs w:val="18"/>
          <w:u w:val="single"/>
        </w:rPr>
      </w:pPr>
    </w:p>
    <w:p w14:paraId="7C166A76" w14:textId="77777777" w:rsidR="00EF6372" w:rsidRPr="009A539C" w:rsidRDefault="00EF6372" w:rsidP="00821541">
      <w:pPr>
        <w:spacing w:after="0"/>
        <w:rPr>
          <w:rFonts w:cstheme="minorHAnsi"/>
          <w:b/>
          <w:sz w:val="18"/>
          <w:szCs w:val="18"/>
          <w:u w:val="single"/>
        </w:rPr>
      </w:pPr>
    </w:p>
    <w:p w14:paraId="02FF3665" w14:textId="77777777" w:rsidR="00EF6372" w:rsidRPr="009A539C" w:rsidRDefault="00EF6372" w:rsidP="00821541">
      <w:pPr>
        <w:spacing w:after="0"/>
        <w:rPr>
          <w:rFonts w:cstheme="minorHAnsi"/>
          <w:b/>
          <w:sz w:val="18"/>
          <w:szCs w:val="18"/>
          <w:u w:val="single"/>
        </w:rPr>
      </w:pPr>
    </w:p>
    <w:p w14:paraId="13D66808" w14:textId="77777777" w:rsidR="00EF6372" w:rsidRPr="009A539C" w:rsidRDefault="00EF6372" w:rsidP="00821541">
      <w:pPr>
        <w:spacing w:after="0"/>
        <w:rPr>
          <w:rFonts w:cstheme="minorHAnsi"/>
          <w:b/>
          <w:sz w:val="18"/>
          <w:szCs w:val="18"/>
          <w:u w:val="single"/>
        </w:rPr>
      </w:pPr>
    </w:p>
    <w:p w14:paraId="2361BC40" w14:textId="77777777" w:rsidR="00EF6372" w:rsidRPr="009A539C" w:rsidRDefault="00EF6372" w:rsidP="00821541">
      <w:pPr>
        <w:spacing w:after="0"/>
        <w:rPr>
          <w:rFonts w:cstheme="minorHAnsi"/>
          <w:b/>
          <w:sz w:val="18"/>
          <w:szCs w:val="18"/>
          <w:u w:val="single"/>
        </w:rPr>
      </w:pPr>
    </w:p>
    <w:p w14:paraId="777F9659" w14:textId="77777777" w:rsidR="00EF6372" w:rsidRPr="009A539C" w:rsidRDefault="00EF6372" w:rsidP="00821541">
      <w:pPr>
        <w:spacing w:after="0"/>
        <w:rPr>
          <w:rFonts w:cstheme="minorHAnsi"/>
          <w:b/>
          <w:sz w:val="18"/>
          <w:szCs w:val="18"/>
          <w:u w:val="single"/>
        </w:rPr>
      </w:pPr>
    </w:p>
    <w:p w14:paraId="74B7CFE3" w14:textId="77777777" w:rsidR="00EF6372" w:rsidRPr="009A539C" w:rsidRDefault="00EF6372" w:rsidP="00821541">
      <w:pPr>
        <w:spacing w:after="0"/>
        <w:rPr>
          <w:rFonts w:cstheme="minorHAnsi"/>
          <w:b/>
          <w:sz w:val="18"/>
          <w:szCs w:val="18"/>
          <w:u w:val="single"/>
        </w:rPr>
      </w:pPr>
    </w:p>
    <w:p w14:paraId="0942AFAE" w14:textId="77777777" w:rsidR="00821541" w:rsidRPr="009A539C" w:rsidRDefault="00821541" w:rsidP="00821541">
      <w:pPr>
        <w:spacing w:after="0"/>
        <w:rPr>
          <w:rFonts w:cs="Times New Roman"/>
          <w:b/>
          <w:sz w:val="28"/>
          <w:u w:val="single"/>
        </w:rPr>
      </w:pPr>
      <w:r w:rsidRPr="009A539C">
        <w:rPr>
          <w:rFonts w:cs="Times New Roman"/>
          <w:b/>
          <w:sz w:val="28"/>
          <w:u w:val="single"/>
        </w:rPr>
        <w:t>ÍNDICE de GRÁFICOS</w:t>
      </w:r>
    </w:p>
    <w:p w14:paraId="5E5A606E" w14:textId="77777777" w:rsidR="00821541" w:rsidRPr="009A539C" w:rsidRDefault="00821541" w:rsidP="00821541">
      <w:pPr>
        <w:spacing w:after="0"/>
        <w:rPr>
          <w:rFonts w:cs="Times New Roman"/>
          <w:b/>
          <w:sz w:val="28"/>
          <w:u w:val="single"/>
        </w:rPr>
      </w:pPr>
    </w:p>
    <w:p w14:paraId="53B1510A" w14:textId="77777777" w:rsidR="00B97D74" w:rsidRPr="009A539C" w:rsidRDefault="00821541">
      <w:pPr>
        <w:pStyle w:val="ndicedeilustraes"/>
        <w:tabs>
          <w:tab w:val="right" w:leader="dot" w:pos="10621"/>
        </w:tabs>
        <w:rPr>
          <w:rFonts w:eastAsiaTheme="minorEastAsia" w:cstheme="minorBidi"/>
          <w:b/>
          <w:smallCaps w:val="0"/>
          <w:noProof/>
          <w:color w:val="auto"/>
          <w:szCs w:val="18"/>
          <w:lang w:eastAsia="pt-PT"/>
        </w:rPr>
      </w:pPr>
      <w:r w:rsidRPr="009A539C">
        <w:rPr>
          <w:smallCaps w:val="0"/>
          <w:noProof/>
          <w:color w:val="0000FF" w:themeColor="hyperlink"/>
          <w:szCs w:val="18"/>
          <w:u w:val="single"/>
        </w:rPr>
        <w:fldChar w:fldCharType="begin"/>
      </w:r>
      <w:r w:rsidRPr="009A539C">
        <w:rPr>
          <w:noProof/>
          <w:color w:val="0000FF" w:themeColor="hyperlink"/>
          <w:szCs w:val="18"/>
          <w:u w:val="single"/>
        </w:rPr>
        <w:instrText xml:space="preserve"> TOC \h \z \c "Gráfico" </w:instrText>
      </w:r>
      <w:r w:rsidRPr="009A539C">
        <w:rPr>
          <w:smallCaps w:val="0"/>
          <w:noProof/>
          <w:color w:val="0000FF" w:themeColor="hyperlink"/>
          <w:szCs w:val="18"/>
          <w:u w:val="single"/>
        </w:rPr>
        <w:fldChar w:fldCharType="separate"/>
      </w:r>
      <w:hyperlink w:anchor="_Toc44665203" w:history="1">
        <w:r w:rsidR="00B97D74" w:rsidRPr="009A539C">
          <w:rPr>
            <w:rStyle w:val="Hiperligao"/>
            <w:b/>
            <w:noProof/>
            <w:szCs w:val="18"/>
          </w:rPr>
          <w:t>Gráfico 1 - Evolução da Taxa de Crescimento do PIB (2005-2019)</w:t>
        </w:r>
        <w:r w:rsidR="00B97D74" w:rsidRPr="009A539C">
          <w:rPr>
            <w:b/>
            <w:noProof/>
            <w:webHidden/>
            <w:szCs w:val="18"/>
          </w:rPr>
          <w:tab/>
        </w:r>
        <w:r w:rsidR="00B97D74" w:rsidRPr="009A539C">
          <w:rPr>
            <w:b/>
            <w:noProof/>
            <w:webHidden/>
            <w:szCs w:val="18"/>
          </w:rPr>
          <w:fldChar w:fldCharType="begin"/>
        </w:r>
        <w:r w:rsidR="00B97D74" w:rsidRPr="009A539C">
          <w:rPr>
            <w:b/>
            <w:noProof/>
            <w:webHidden/>
            <w:szCs w:val="18"/>
          </w:rPr>
          <w:instrText xml:space="preserve"> PAGEREF _Toc44665203 \h </w:instrText>
        </w:r>
        <w:r w:rsidR="00B97D74" w:rsidRPr="009A539C">
          <w:rPr>
            <w:b/>
            <w:noProof/>
            <w:webHidden/>
            <w:szCs w:val="18"/>
          </w:rPr>
        </w:r>
        <w:r w:rsidR="00B97D74" w:rsidRPr="009A539C">
          <w:rPr>
            <w:b/>
            <w:noProof/>
            <w:webHidden/>
            <w:szCs w:val="18"/>
          </w:rPr>
          <w:fldChar w:fldCharType="separate"/>
        </w:r>
        <w:r w:rsidR="00D821DE">
          <w:rPr>
            <w:b/>
            <w:noProof/>
            <w:webHidden/>
            <w:szCs w:val="18"/>
          </w:rPr>
          <w:t>32</w:t>
        </w:r>
        <w:r w:rsidR="00B97D74" w:rsidRPr="009A539C">
          <w:rPr>
            <w:b/>
            <w:noProof/>
            <w:webHidden/>
            <w:szCs w:val="18"/>
          </w:rPr>
          <w:fldChar w:fldCharType="end"/>
        </w:r>
      </w:hyperlink>
    </w:p>
    <w:p w14:paraId="547EDF0C" w14:textId="77777777" w:rsidR="00B97D74" w:rsidRPr="009A539C" w:rsidRDefault="00E742C1">
      <w:pPr>
        <w:pStyle w:val="ndicedeilustraes"/>
        <w:tabs>
          <w:tab w:val="right" w:leader="dot" w:pos="10621"/>
        </w:tabs>
        <w:rPr>
          <w:rFonts w:eastAsiaTheme="minorEastAsia" w:cstheme="minorBidi"/>
          <w:b/>
          <w:smallCaps w:val="0"/>
          <w:noProof/>
          <w:color w:val="auto"/>
          <w:szCs w:val="18"/>
          <w:lang w:eastAsia="pt-PT"/>
        </w:rPr>
      </w:pPr>
      <w:hyperlink w:anchor="_Toc44665204" w:history="1">
        <w:r w:rsidR="00B97D74" w:rsidRPr="009A539C">
          <w:rPr>
            <w:rStyle w:val="Hiperligao"/>
            <w:b/>
            <w:noProof/>
            <w:szCs w:val="18"/>
          </w:rPr>
          <w:t>Gráfico 2 - Valor Acrescentado Bruto por setor de atividade, em % do PIB, 2018 e 2019</w:t>
        </w:r>
        <w:r w:rsidR="00B97D74" w:rsidRPr="009A539C">
          <w:rPr>
            <w:b/>
            <w:noProof/>
            <w:webHidden/>
            <w:szCs w:val="18"/>
          </w:rPr>
          <w:tab/>
        </w:r>
        <w:r w:rsidR="00B97D74" w:rsidRPr="009A539C">
          <w:rPr>
            <w:b/>
            <w:noProof/>
            <w:webHidden/>
            <w:szCs w:val="18"/>
          </w:rPr>
          <w:fldChar w:fldCharType="begin"/>
        </w:r>
        <w:r w:rsidR="00B97D74" w:rsidRPr="009A539C">
          <w:rPr>
            <w:b/>
            <w:noProof/>
            <w:webHidden/>
            <w:szCs w:val="18"/>
          </w:rPr>
          <w:instrText xml:space="preserve"> PAGEREF _Toc44665204 \h </w:instrText>
        </w:r>
        <w:r w:rsidR="00B97D74" w:rsidRPr="009A539C">
          <w:rPr>
            <w:b/>
            <w:noProof/>
            <w:webHidden/>
            <w:szCs w:val="18"/>
          </w:rPr>
        </w:r>
        <w:r w:rsidR="00B97D74" w:rsidRPr="009A539C">
          <w:rPr>
            <w:b/>
            <w:noProof/>
            <w:webHidden/>
            <w:szCs w:val="18"/>
          </w:rPr>
          <w:fldChar w:fldCharType="separate"/>
        </w:r>
        <w:r w:rsidR="00D821DE">
          <w:rPr>
            <w:b/>
            <w:noProof/>
            <w:webHidden/>
            <w:szCs w:val="18"/>
          </w:rPr>
          <w:t>33</w:t>
        </w:r>
        <w:r w:rsidR="00B97D74" w:rsidRPr="009A539C">
          <w:rPr>
            <w:b/>
            <w:noProof/>
            <w:webHidden/>
            <w:szCs w:val="18"/>
          </w:rPr>
          <w:fldChar w:fldCharType="end"/>
        </w:r>
      </w:hyperlink>
    </w:p>
    <w:p w14:paraId="223FB736" w14:textId="77777777" w:rsidR="00B97D74" w:rsidRPr="009A539C" w:rsidRDefault="00E742C1">
      <w:pPr>
        <w:pStyle w:val="ndicedeilustraes"/>
        <w:tabs>
          <w:tab w:val="right" w:leader="dot" w:pos="10621"/>
        </w:tabs>
        <w:rPr>
          <w:rFonts w:eastAsiaTheme="minorEastAsia" w:cstheme="minorBidi"/>
          <w:b/>
          <w:smallCaps w:val="0"/>
          <w:noProof/>
          <w:color w:val="auto"/>
          <w:szCs w:val="18"/>
          <w:lang w:eastAsia="pt-PT"/>
        </w:rPr>
      </w:pPr>
      <w:hyperlink w:anchor="_Toc44665205" w:history="1">
        <w:r w:rsidR="00B97D74" w:rsidRPr="009A539C">
          <w:rPr>
            <w:rStyle w:val="Hiperligao"/>
            <w:b/>
            <w:bCs/>
            <w:noProof/>
            <w:szCs w:val="18"/>
          </w:rPr>
          <w:t>Gráfico 3 - Evolução do índice de preços no consumidor - taxa de inflação (%)</w:t>
        </w:r>
        <w:r w:rsidR="00B97D74" w:rsidRPr="009A539C">
          <w:rPr>
            <w:b/>
            <w:noProof/>
            <w:webHidden/>
            <w:szCs w:val="18"/>
          </w:rPr>
          <w:tab/>
        </w:r>
        <w:r w:rsidR="00B97D74" w:rsidRPr="009A539C">
          <w:rPr>
            <w:b/>
            <w:noProof/>
            <w:webHidden/>
            <w:szCs w:val="18"/>
          </w:rPr>
          <w:fldChar w:fldCharType="begin"/>
        </w:r>
        <w:r w:rsidR="00B97D74" w:rsidRPr="009A539C">
          <w:rPr>
            <w:b/>
            <w:noProof/>
            <w:webHidden/>
            <w:szCs w:val="18"/>
          </w:rPr>
          <w:instrText xml:space="preserve"> PAGEREF _Toc44665205 \h </w:instrText>
        </w:r>
        <w:r w:rsidR="00B97D74" w:rsidRPr="009A539C">
          <w:rPr>
            <w:b/>
            <w:noProof/>
            <w:webHidden/>
            <w:szCs w:val="18"/>
          </w:rPr>
        </w:r>
        <w:r w:rsidR="00B97D74" w:rsidRPr="009A539C">
          <w:rPr>
            <w:b/>
            <w:noProof/>
            <w:webHidden/>
            <w:szCs w:val="18"/>
          </w:rPr>
          <w:fldChar w:fldCharType="separate"/>
        </w:r>
        <w:r w:rsidR="00D821DE">
          <w:rPr>
            <w:b/>
            <w:noProof/>
            <w:webHidden/>
            <w:szCs w:val="18"/>
          </w:rPr>
          <w:t>33</w:t>
        </w:r>
        <w:r w:rsidR="00B97D74" w:rsidRPr="009A539C">
          <w:rPr>
            <w:b/>
            <w:noProof/>
            <w:webHidden/>
            <w:szCs w:val="18"/>
          </w:rPr>
          <w:fldChar w:fldCharType="end"/>
        </w:r>
      </w:hyperlink>
    </w:p>
    <w:p w14:paraId="01646305" w14:textId="77777777" w:rsidR="00B97D74" w:rsidRPr="009A539C" w:rsidRDefault="00E742C1">
      <w:pPr>
        <w:pStyle w:val="ndicedeilustraes"/>
        <w:tabs>
          <w:tab w:val="right" w:leader="dot" w:pos="10621"/>
        </w:tabs>
        <w:rPr>
          <w:rFonts w:eastAsiaTheme="minorEastAsia" w:cstheme="minorBidi"/>
          <w:b/>
          <w:smallCaps w:val="0"/>
          <w:noProof/>
          <w:color w:val="auto"/>
          <w:szCs w:val="18"/>
          <w:lang w:eastAsia="pt-PT"/>
        </w:rPr>
      </w:pPr>
      <w:hyperlink w:anchor="_Toc44665206" w:history="1">
        <w:r w:rsidR="00B97D74" w:rsidRPr="009A539C">
          <w:rPr>
            <w:rStyle w:val="Hiperligao"/>
            <w:b/>
            <w:noProof/>
            <w:szCs w:val="18"/>
          </w:rPr>
          <w:t>Gráfico 4 - Evolução do número de Empregados e Desempregados, em milhares (2005-2019)</w:t>
        </w:r>
        <w:r w:rsidR="00B97D74" w:rsidRPr="009A539C">
          <w:rPr>
            <w:b/>
            <w:noProof/>
            <w:webHidden/>
            <w:szCs w:val="18"/>
          </w:rPr>
          <w:tab/>
        </w:r>
        <w:r w:rsidR="00B97D74" w:rsidRPr="009A539C">
          <w:rPr>
            <w:b/>
            <w:noProof/>
            <w:webHidden/>
            <w:szCs w:val="18"/>
          </w:rPr>
          <w:fldChar w:fldCharType="begin"/>
        </w:r>
        <w:r w:rsidR="00B97D74" w:rsidRPr="009A539C">
          <w:rPr>
            <w:b/>
            <w:noProof/>
            <w:webHidden/>
            <w:szCs w:val="18"/>
          </w:rPr>
          <w:instrText xml:space="preserve"> PAGEREF _Toc44665206 \h </w:instrText>
        </w:r>
        <w:r w:rsidR="00B97D74" w:rsidRPr="009A539C">
          <w:rPr>
            <w:b/>
            <w:noProof/>
            <w:webHidden/>
            <w:szCs w:val="18"/>
          </w:rPr>
        </w:r>
        <w:r w:rsidR="00B97D74" w:rsidRPr="009A539C">
          <w:rPr>
            <w:b/>
            <w:noProof/>
            <w:webHidden/>
            <w:szCs w:val="18"/>
          </w:rPr>
          <w:fldChar w:fldCharType="separate"/>
        </w:r>
        <w:r w:rsidR="00D821DE">
          <w:rPr>
            <w:b/>
            <w:noProof/>
            <w:webHidden/>
            <w:szCs w:val="18"/>
          </w:rPr>
          <w:t>36</w:t>
        </w:r>
        <w:r w:rsidR="00B97D74" w:rsidRPr="009A539C">
          <w:rPr>
            <w:b/>
            <w:noProof/>
            <w:webHidden/>
            <w:szCs w:val="18"/>
          </w:rPr>
          <w:fldChar w:fldCharType="end"/>
        </w:r>
      </w:hyperlink>
    </w:p>
    <w:p w14:paraId="0337667A" w14:textId="77777777" w:rsidR="00B97D74" w:rsidRPr="009A539C" w:rsidRDefault="00E742C1">
      <w:pPr>
        <w:pStyle w:val="ndicedeilustraes"/>
        <w:tabs>
          <w:tab w:val="right" w:leader="dot" w:pos="10621"/>
        </w:tabs>
        <w:rPr>
          <w:rFonts w:eastAsiaTheme="minorEastAsia" w:cstheme="minorBidi"/>
          <w:b/>
          <w:smallCaps w:val="0"/>
          <w:noProof/>
          <w:color w:val="auto"/>
          <w:szCs w:val="18"/>
          <w:lang w:eastAsia="pt-PT"/>
        </w:rPr>
      </w:pPr>
      <w:hyperlink w:anchor="_Toc44665207" w:history="1">
        <w:r w:rsidR="00B97D74" w:rsidRPr="009A539C">
          <w:rPr>
            <w:rStyle w:val="Hiperligao"/>
            <w:b/>
            <w:bCs/>
            <w:noProof/>
            <w:szCs w:val="18"/>
          </w:rPr>
          <w:t>Gráfico 5 - Evolução do número de IRCT (AE, AC, CC; AA, PE) de 2005 a 2019</w:t>
        </w:r>
        <w:r w:rsidR="00B97D74" w:rsidRPr="009A539C">
          <w:rPr>
            <w:b/>
            <w:noProof/>
            <w:webHidden/>
            <w:szCs w:val="18"/>
          </w:rPr>
          <w:tab/>
        </w:r>
        <w:r w:rsidR="00B97D74" w:rsidRPr="009A539C">
          <w:rPr>
            <w:b/>
            <w:noProof/>
            <w:webHidden/>
            <w:szCs w:val="18"/>
          </w:rPr>
          <w:fldChar w:fldCharType="begin"/>
        </w:r>
        <w:r w:rsidR="00B97D74" w:rsidRPr="009A539C">
          <w:rPr>
            <w:b/>
            <w:noProof/>
            <w:webHidden/>
            <w:szCs w:val="18"/>
          </w:rPr>
          <w:instrText xml:space="preserve"> PAGEREF _Toc44665207 \h </w:instrText>
        </w:r>
        <w:r w:rsidR="00B97D74" w:rsidRPr="009A539C">
          <w:rPr>
            <w:b/>
            <w:noProof/>
            <w:webHidden/>
            <w:szCs w:val="18"/>
          </w:rPr>
        </w:r>
        <w:r w:rsidR="00B97D74" w:rsidRPr="009A539C">
          <w:rPr>
            <w:b/>
            <w:noProof/>
            <w:webHidden/>
            <w:szCs w:val="18"/>
          </w:rPr>
          <w:fldChar w:fldCharType="separate"/>
        </w:r>
        <w:r w:rsidR="00D821DE">
          <w:rPr>
            <w:b/>
            <w:noProof/>
            <w:webHidden/>
            <w:szCs w:val="18"/>
          </w:rPr>
          <w:t>46</w:t>
        </w:r>
        <w:r w:rsidR="00B97D74" w:rsidRPr="009A539C">
          <w:rPr>
            <w:b/>
            <w:noProof/>
            <w:webHidden/>
            <w:szCs w:val="18"/>
          </w:rPr>
          <w:fldChar w:fldCharType="end"/>
        </w:r>
      </w:hyperlink>
    </w:p>
    <w:p w14:paraId="7F62F783" w14:textId="77777777" w:rsidR="00B97D74" w:rsidRPr="009A539C" w:rsidRDefault="00E742C1">
      <w:pPr>
        <w:pStyle w:val="ndicedeilustraes"/>
        <w:tabs>
          <w:tab w:val="right" w:leader="dot" w:pos="10621"/>
        </w:tabs>
        <w:rPr>
          <w:rFonts w:eastAsiaTheme="minorEastAsia" w:cstheme="minorBidi"/>
          <w:b/>
          <w:smallCaps w:val="0"/>
          <w:noProof/>
          <w:color w:val="auto"/>
          <w:szCs w:val="18"/>
          <w:lang w:eastAsia="pt-PT"/>
        </w:rPr>
      </w:pPr>
      <w:hyperlink w:anchor="_Toc44665208" w:history="1">
        <w:r w:rsidR="00B97D74" w:rsidRPr="009A539C">
          <w:rPr>
            <w:rStyle w:val="Hiperligao"/>
            <w:b/>
            <w:bCs/>
            <w:noProof/>
            <w:szCs w:val="18"/>
          </w:rPr>
          <w:t>Gráfico 6 - Evolução do nº de convenções publicadas entre 2005 e 2019 (por tipo)</w:t>
        </w:r>
        <w:r w:rsidR="00B97D74" w:rsidRPr="009A539C">
          <w:rPr>
            <w:b/>
            <w:noProof/>
            <w:webHidden/>
            <w:szCs w:val="18"/>
          </w:rPr>
          <w:tab/>
        </w:r>
        <w:r w:rsidR="00B97D74" w:rsidRPr="009A539C">
          <w:rPr>
            <w:b/>
            <w:noProof/>
            <w:webHidden/>
            <w:szCs w:val="18"/>
          </w:rPr>
          <w:fldChar w:fldCharType="begin"/>
        </w:r>
        <w:r w:rsidR="00B97D74" w:rsidRPr="009A539C">
          <w:rPr>
            <w:b/>
            <w:noProof/>
            <w:webHidden/>
            <w:szCs w:val="18"/>
          </w:rPr>
          <w:instrText xml:space="preserve"> PAGEREF _Toc44665208 \h </w:instrText>
        </w:r>
        <w:r w:rsidR="00B97D74" w:rsidRPr="009A539C">
          <w:rPr>
            <w:b/>
            <w:noProof/>
            <w:webHidden/>
            <w:szCs w:val="18"/>
          </w:rPr>
        </w:r>
        <w:r w:rsidR="00B97D74" w:rsidRPr="009A539C">
          <w:rPr>
            <w:b/>
            <w:noProof/>
            <w:webHidden/>
            <w:szCs w:val="18"/>
          </w:rPr>
          <w:fldChar w:fldCharType="separate"/>
        </w:r>
        <w:r w:rsidR="00D821DE">
          <w:rPr>
            <w:b/>
            <w:noProof/>
            <w:webHidden/>
            <w:szCs w:val="18"/>
          </w:rPr>
          <w:t>47</w:t>
        </w:r>
        <w:r w:rsidR="00B97D74" w:rsidRPr="009A539C">
          <w:rPr>
            <w:b/>
            <w:noProof/>
            <w:webHidden/>
            <w:szCs w:val="18"/>
          </w:rPr>
          <w:fldChar w:fldCharType="end"/>
        </w:r>
      </w:hyperlink>
    </w:p>
    <w:p w14:paraId="12BE53D7" w14:textId="77777777" w:rsidR="00B97D74" w:rsidRPr="009A539C" w:rsidRDefault="00E742C1">
      <w:pPr>
        <w:pStyle w:val="ndicedeilustraes"/>
        <w:tabs>
          <w:tab w:val="right" w:leader="dot" w:pos="10621"/>
        </w:tabs>
        <w:rPr>
          <w:rFonts w:eastAsiaTheme="minorEastAsia" w:cstheme="minorBidi"/>
          <w:b/>
          <w:smallCaps w:val="0"/>
          <w:noProof/>
          <w:color w:val="auto"/>
          <w:szCs w:val="18"/>
          <w:lang w:eastAsia="pt-PT"/>
        </w:rPr>
      </w:pPr>
      <w:hyperlink w:anchor="_Toc44665209" w:history="1">
        <w:r w:rsidR="00B97D74" w:rsidRPr="009A539C">
          <w:rPr>
            <w:rStyle w:val="Hiperligao"/>
            <w:b/>
            <w:bCs/>
            <w:noProof/>
            <w:szCs w:val="18"/>
          </w:rPr>
          <w:t>Gráfico 7 - Evolução do n.º de convenções publicadas e de trabalhadores potencialmente abrangidos, 2005 a 2019</w:t>
        </w:r>
        <w:r w:rsidR="00B97D74" w:rsidRPr="009A539C">
          <w:rPr>
            <w:b/>
            <w:noProof/>
            <w:webHidden/>
            <w:szCs w:val="18"/>
          </w:rPr>
          <w:tab/>
        </w:r>
        <w:r w:rsidR="00B97D74" w:rsidRPr="009A539C">
          <w:rPr>
            <w:b/>
            <w:noProof/>
            <w:webHidden/>
            <w:szCs w:val="18"/>
          </w:rPr>
          <w:fldChar w:fldCharType="begin"/>
        </w:r>
        <w:r w:rsidR="00B97D74" w:rsidRPr="009A539C">
          <w:rPr>
            <w:b/>
            <w:noProof/>
            <w:webHidden/>
            <w:szCs w:val="18"/>
          </w:rPr>
          <w:instrText xml:space="preserve"> PAGEREF _Toc44665209 \h </w:instrText>
        </w:r>
        <w:r w:rsidR="00B97D74" w:rsidRPr="009A539C">
          <w:rPr>
            <w:b/>
            <w:noProof/>
            <w:webHidden/>
            <w:szCs w:val="18"/>
          </w:rPr>
        </w:r>
        <w:r w:rsidR="00B97D74" w:rsidRPr="009A539C">
          <w:rPr>
            <w:b/>
            <w:noProof/>
            <w:webHidden/>
            <w:szCs w:val="18"/>
          </w:rPr>
          <w:fldChar w:fldCharType="separate"/>
        </w:r>
        <w:r w:rsidR="00D821DE">
          <w:rPr>
            <w:b/>
            <w:noProof/>
            <w:webHidden/>
            <w:szCs w:val="18"/>
          </w:rPr>
          <w:t>47</w:t>
        </w:r>
        <w:r w:rsidR="00B97D74" w:rsidRPr="009A539C">
          <w:rPr>
            <w:b/>
            <w:noProof/>
            <w:webHidden/>
            <w:szCs w:val="18"/>
          </w:rPr>
          <w:fldChar w:fldCharType="end"/>
        </w:r>
      </w:hyperlink>
    </w:p>
    <w:p w14:paraId="2AA311D5" w14:textId="77777777" w:rsidR="00B97D74" w:rsidRPr="009A539C" w:rsidRDefault="00E742C1">
      <w:pPr>
        <w:pStyle w:val="ndicedeilustraes"/>
        <w:tabs>
          <w:tab w:val="right" w:leader="dot" w:pos="10621"/>
        </w:tabs>
        <w:rPr>
          <w:rFonts w:eastAsiaTheme="minorEastAsia" w:cstheme="minorBidi"/>
          <w:b/>
          <w:smallCaps w:val="0"/>
          <w:noProof/>
          <w:color w:val="auto"/>
          <w:szCs w:val="18"/>
          <w:lang w:eastAsia="pt-PT"/>
        </w:rPr>
      </w:pPr>
      <w:hyperlink w:anchor="_Toc44665210" w:history="1">
        <w:r w:rsidR="00B97D74" w:rsidRPr="009A539C">
          <w:rPr>
            <w:rStyle w:val="Hiperligao"/>
            <w:b/>
            <w:bCs/>
            <w:noProof/>
            <w:szCs w:val="18"/>
          </w:rPr>
          <w:t>Gráfico 8 - Taxa de cobertura das convenções coletivas em vigor e publicadas (2005-2018)</w:t>
        </w:r>
        <w:r w:rsidR="00B97D74" w:rsidRPr="009A539C">
          <w:rPr>
            <w:b/>
            <w:noProof/>
            <w:webHidden/>
            <w:szCs w:val="18"/>
          </w:rPr>
          <w:tab/>
        </w:r>
        <w:r w:rsidR="00B97D74" w:rsidRPr="009A539C">
          <w:rPr>
            <w:b/>
            <w:noProof/>
            <w:webHidden/>
            <w:szCs w:val="18"/>
          </w:rPr>
          <w:fldChar w:fldCharType="begin"/>
        </w:r>
        <w:r w:rsidR="00B97D74" w:rsidRPr="009A539C">
          <w:rPr>
            <w:b/>
            <w:noProof/>
            <w:webHidden/>
            <w:szCs w:val="18"/>
          </w:rPr>
          <w:instrText xml:space="preserve"> PAGEREF _Toc44665210 \h </w:instrText>
        </w:r>
        <w:r w:rsidR="00B97D74" w:rsidRPr="009A539C">
          <w:rPr>
            <w:b/>
            <w:noProof/>
            <w:webHidden/>
            <w:szCs w:val="18"/>
          </w:rPr>
        </w:r>
        <w:r w:rsidR="00B97D74" w:rsidRPr="009A539C">
          <w:rPr>
            <w:b/>
            <w:noProof/>
            <w:webHidden/>
            <w:szCs w:val="18"/>
          </w:rPr>
          <w:fldChar w:fldCharType="separate"/>
        </w:r>
        <w:r w:rsidR="00D821DE">
          <w:rPr>
            <w:b/>
            <w:noProof/>
            <w:webHidden/>
            <w:szCs w:val="18"/>
          </w:rPr>
          <w:t>48</w:t>
        </w:r>
        <w:r w:rsidR="00B97D74" w:rsidRPr="009A539C">
          <w:rPr>
            <w:b/>
            <w:noProof/>
            <w:webHidden/>
            <w:szCs w:val="18"/>
          </w:rPr>
          <w:fldChar w:fldCharType="end"/>
        </w:r>
      </w:hyperlink>
    </w:p>
    <w:p w14:paraId="4CEFF118" w14:textId="77777777" w:rsidR="00B97D74" w:rsidRPr="009A539C" w:rsidRDefault="00E742C1">
      <w:pPr>
        <w:pStyle w:val="ndicedeilustraes"/>
        <w:tabs>
          <w:tab w:val="right" w:leader="dot" w:pos="10621"/>
        </w:tabs>
        <w:rPr>
          <w:rFonts w:eastAsiaTheme="minorEastAsia" w:cstheme="minorBidi"/>
          <w:b/>
          <w:smallCaps w:val="0"/>
          <w:noProof/>
          <w:color w:val="auto"/>
          <w:szCs w:val="18"/>
          <w:lang w:eastAsia="pt-PT"/>
        </w:rPr>
      </w:pPr>
      <w:hyperlink w:anchor="_Toc44665211" w:history="1">
        <w:r w:rsidR="00B97D74" w:rsidRPr="009A539C">
          <w:rPr>
            <w:rStyle w:val="Hiperligao"/>
            <w:b/>
            <w:bCs/>
            <w:noProof/>
            <w:szCs w:val="18"/>
          </w:rPr>
          <w:t>Gráfico 9 - Trabalhadores por conta de outrem potencialmente abrangidos por alterações salariais e (%) variação salarial nominal e real (2005 a 2019)</w:t>
        </w:r>
        <w:r w:rsidR="00B97D74" w:rsidRPr="009A539C">
          <w:rPr>
            <w:b/>
            <w:noProof/>
            <w:webHidden/>
            <w:szCs w:val="18"/>
          </w:rPr>
          <w:tab/>
        </w:r>
        <w:r w:rsidR="00B97D74" w:rsidRPr="009A539C">
          <w:rPr>
            <w:b/>
            <w:noProof/>
            <w:webHidden/>
            <w:szCs w:val="18"/>
          </w:rPr>
          <w:fldChar w:fldCharType="begin"/>
        </w:r>
        <w:r w:rsidR="00B97D74" w:rsidRPr="009A539C">
          <w:rPr>
            <w:b/>
            <w:noProof/>
            <w:webHidden/>
            <w:szCs w:val="18"/>
          </w:rPr>
          <w:instrText xml:space="preserve"> PAGEREF _Toc44665211 \h </w:instrText>
        </w:r>
        <w:r w:rsidR="00B97D74" w:rsidRPr="009A539C">
          <w:rPr>
            <w:b/>
            <w:noProof/>
            <w:webHidden/>
            <w:szCs w:val="18"/>
          </w:rPr>
        </w:r>
        <w:r w:rsidR="00B97D74" w:rsidRPr="009A539C">
          <w:rPr>
            <w:b/>
            <w:noProof/>
            <w:webHidden/>
            <w:szCs w:val="18"/>
          </w:rPr>
          <w:fldChar w:fldCharType="separate"/>
        </w:r>
        <w:r w:rsidR="00D821DE">
          <w:rPr>
            <w:b/>
            <w:noProof/>
            <w:webHidden/>
            <w:szCs w:val="18"/>
          </w:rPr>
          <w:t>51</w:t>
        </w:r>
        <w:r w:rsidR="00B97D74" w:rsidRPr="009A539C">
          <w:rPr>
            <w:b/>
            <w:noProof/>
            <w:webHidden/>
            <w:szCs w:val="18"/>
          </w:rPr>
          <w:fldChar w:fldCharType="end"/>
        </w:r>
      </w:hyperlink>
    </w:p>
    <w:p w14:paraId="2C0101F5" w14:textId="77777777" w:rsidR="00B97D74" w:rsidRPr="009A539C" w:rsidRDefault="00E742C1">
      <w:pPr>
        <w:pStyle w:val="ndicedeilustraes"/>
        <w:tabs>
          <w:tab w:val="right" w:leader="dot" w:pos="10621"/>
        </w:tabs>
        <w:rPr>
          <w:rFonts w:eastAsiaTheme="minorEastAsia" w:cstheme="minorBidi"/>
          <w:b/>
          <w:smallCaps w:val="0"/>
          <w:noProof/>
          <w:color w:val="auto"/>
          <w:szCs w:val="18"/>
          <w:lang w:eastAsia="pt-PT"/>
        </w:rPr>
      </w:pPr>
      <w:hyperlink w:anchor="_Toc44665212" w:history="1">
        <w:r w:rsidR="00B97D74" w:rsidRPr="009A539C">
          <w:rPr>
            <w:rStyle w:val="Hiperligao"/>
            <w:b/>
            <w:bCs/>
            <w:noProof/>
            <w:szCs w:val="18"/>
          </w:rPr>
          <w:t>Gráfico 10 - Evolução do nº de AA e PE publicados entre 2005 e 2019</w:t>
        </w:r>
        <w:r w:rsidR="00B97D74" w:rsidRPr="009A539C">
          <w:rPr>
            <w:b/>
            <w:noProof/>
            <w:webHidden/>
            <w:szCs w:val="18"/>
          </w:rPr>
          <w:tab/>
        </w:r>
        <w:r w:rsidR="00B97D74" w:rsidRPr="009A539C">
          <w:rPr>
            <w:b/>
            <w:noProof/>
            <w:webHidden/>
            <w:szCs w:val="18"/>
          </w:rPr>
          <w:fldChar w:fldCharType="begin"/>
        </w:r>
        <w:r w:rsidR="00B97D74" w:rsidRPr="009A539C">
          <w:rPr>
            <w:b/>
            <w:noProof/>
            <w:webHidden/>
            <w:szCs w:val="18"/>
          </w:rPr>
          <w:instrText xml:space="preserve"> PAGEREF _Toc44665212 \h </w:instrText>
        </w:r>
        <w:r w:rsidR="00B97D74" w:rsidRPr="009A539C">
          <w:rPr>
            <w:b/>
            <w:noProof/>
            <w:webHidden/>
            <w:szCs w:val="18"/>
          </w:rPr>
        </w:r>
        <w:r w:rsidR="00B97D74" w:rsidRPr="009A539C">
          <w:rPr>
            <w:b/>
            <w:noProof/>
            <w:webHidden/>
            <w:szCs w:val="18"/>
          </w:rPr>
          <w:fldChar w:fldCharType="separate"/>
        </w:r>
        <w:r w:rsidR="00D821DE">
          <w:rPr>
            <w:b/>
            <w:noProof/>
            <w:webHidden/>
            <w:szCs w:val="18"/>
          </w:rPr>
          <w:t>54</w:t>
        </w:r>
        <w:r w:rsidR="00B97D74" w:rsidRPr="009A539C">
          <w:rPr>
            <w:b/>
            <w:noProof/>
            <w:webHidden/>
            <w:szCs w:val="18"/>
          </w:rPr>
          <w:fldChar w:fldCharType="end"/>
        </w:r>
      </w:hyperlink>
    </w:p>
    <w:p w14:paraId="3DB4DE7C" w14:textId="77777777" w:rsidR="00B97D74" w:rsidRPr="009A539C" w:rsidRDefault="00E742C1">
      <w:pPr>
        <w:pStyle w:val="ndicedeilustraes"/>
        <w:tabs>
          <w:tab w:val="right" w:leader="dot" w:pos="10621"/>
        </w:tabs>
        <w:rPr>
          <w:rFonts w:eastAsiaTheme="minorEastAsia" w:cstheme="minorBidi"/>
          <w:b/>
          <w:smallCaps w:val="0"/>
          <w:noProof/>
          <w:color w:val="auto"/>
          <w:szCs w:val="18"/>
          <w:lang w:eastAsia="pt-PT"/>
        </w:rPr>
      </w:pPr>
      <w:hyperlink w:anchor="_Toc44665213" w:history="1">
        <w:r w:rsidR="00B97D74" w:rsidRPr="009A539C">
          <w:rPr>
            <w:rStyle w:val="Hiperligao"/>
            <w:b/>
            <w:bCs/>
            <w:noProof/>
            <w:szCs w:val="18"/>
          </w:rPr>
          <w:t>Gráfico 11 - Portarias de extensão publicadas e nº de convenções objeto de extensão (2008 a 2019)</w:t>
        </w:r>
        <w:r w:rsidR="00B97D74" w:rsidRPr="009A539C">
          <w:rPr>
            <w:b/>
            <w:noProof/>
            <w:webHidden/>
            <w:szCs w:val="18"/>
          </w:rPr>
          <w:tab/>
        </w:r>
        <w:r w:rsidR="00B97D74" w:rsidRPr="009A539C">
          <w:rPr>
            <w:b/>
            <w:noProof/>
            <w:webHidden/>
            <w:szCs w:val="18"/>
          </w:rPr>
          <w:fldChar w:fldCharType="begin"/>
        </w:r>
        <w:r w:rsidR="00B97D74" w:rsidRPr="009A539C">
          <w:rPr>
            <w:b/>
            <w:noProof/>
            <w:webHidden/>
            <w:szCs w:val="18"/>
          </w:rPr>
          <w:instrText xml:space="preserve"> PAGEREF _Toc44665213 \h </w:instrText>
        </w:r>
        <w:r w:rsidR="00B97D74" w:rsidRPr="009A539C">
          <w:rPr>
            <w:b/>
            <w:noProof/>
            <w:webHidden/>
            <w:szCs w:val="18"/>
          </w:rPr>
        </w:r>
        <w:r w:rsidR="00B97D74" w:rsidRPr="009A539C">
          <w:rPr>
            <w:b/>
            <w:noProof/>
            <w:webHidden/>
            <w:szCs w:val="18"/>
          </w:rPr>
          <w:fldChar w:fldCharType="separate"/>
        </w:r>
        <w:r w:rsidR="00D821DE">
          <w:rPr>
            <w:b/>
            <w:noProof/>
            <w:webHidden/>
            <w:szCs w:val="18"/>
          </w:rPr>
          <w:t>55</w:t>
        </w:r>
        <w:r w:rsidR="00B97D74" w:rsidRPr="009A539C">
          <w:rPr>
            <w:b/>
            <w:noProof/>
            <w:webHidden/>
            <w:szCs w:val="18"/>
          </w:rPr>
          <w:fldChar w:fldCharType="end"/>
        </w:r>
      </w:hyperlink>
    </w:p>
    <w:p w14:paraId="5EC803A7" w14:textId="77777777" w:rsidR="00B97D74" w:rsidRPr="009A539C" w:rsidRDefault="00E742C1">
      <w:pPr>
        <w:pStyle w:val="ndicedeilustraes"/>
        <w:tabs>
          <w:tab w:val="right" w:leader="dot" w:pos="10621"/>
        </w:tabs>
        <w:rPr>
          <w:rFonts w:eastAsiaTheme="minorEastAsia" w:cstheme="minorBidi"/>
          <w:b/>
          <w:smallCaps w:val="0"/>
          <w:noProof/>
          <w:color w:val="auto"/>
          <w:szCs w:val="18"/>
          <w:lang w:eastAsia="pt-PT"/>
        </w:rPr>
      </w:pPr>
      <w:hyperlink w:anchor="_Toc44665214" w:history="1">
        <w:r w:rsidR="00B97D74" w:rsidRPr="009A539C">
          <w:rPr>
            <w:rStyle w:val="Hiperligao"/>
            <w:b/>
            <w:bCs/>
            <w:noProof/>
            <w:szCs w:val="18"/>
          </w:rPr>
          <w:t>Gráfico 12 - Pedidos de publicação de avisos sobre a data da cessação de vigência de convenção coletiva (2005 a 2019)</w:t>
        </w:r>
        <w:r w:rsidR="00B97D74" w:rsidRPr="009A539C">
          <w:rPr>
            <w:b/>
            <w:noProof/>
            <w:webHidden/>
            <w:szCs w:val="18"/>
          </w:rPr>
          <w:tab/>
        </w:r>
        <w:r w:rsidR="00B97D74" w:rsidRPr="009A539C">
          <w:rPr>
            <w:b/>
            <w:noProof/>
            <w:webHidden/>
            <w:szCs w:val="18"/>
          </w:rPr>
          <w:fldChar w:fldCharType="begin"/>
        </w:r>
        <w:r w:rsidR="00B97D74" w:rsidRPr="009A539C">
          <w:rPr>
            <w:b/>
            <w:noProof/>
            <w:webHidden/>
            <w:szCs w:val="18"/>
          </w:rPr>
          <w:instrText xml:space="preserve"> PAGEREF _Toc44665214 \h </w:instrText>
        </w:r>
        <w:r w:rsidR="00B97D74" w:rsidRPr="009A539C">
          <w:rPr>
            <w:b/>
            <w:noProof/>
            <w:webHidden/>
            <w:szCs w:val="18"/>
          </w:rPr>
        </w:r>
        <w:r w:rsidR="00B97D74" w:rsidRPr="009A539C">
          <w:rPr>
            <w:b/>
            <w:noProof/>
            <w:webHidden/>
            <w:szCs w:val="18"/>
          </w:rPr>
          <w:fldChar w:fldCharType="separate"/>
        </w:r>
        <w:r w:rsidR="00D821DE">
          <w:rPr>
            <w:b/>
            <w:noProof/>
            <w:webHidden/>
            <w:szCs w:val="18"/>
          </w:rPr>
          <w:t>58</w:t>
        </w:r>
        <w:r w:rsidR="00B97D74" w:rsidRPr="009A539C">
          <w:rPr>
            <w:b/>
            <w:noProof/>
            <w:webHidden/>
            <w:szCs w:val="18"/>
          </w:rPr>
          <w:fldChar w:fldCharType="end"/>
        </w:r>
      </w:hyperlink>
    </w:p>
    <w:p w14:paraId="3A40F7E2" w14:textId="77777777" w:rsidR="00B97D74" w:rsidRPr="009A539C" w:rsidRDefault="00E742C1">
      <w:pPr>
        <w:pStyle w:val="ndicedeilustraes"/>
        <w:tabs>
          <w:tab w:val="right" w:leader="dot" w:pos="10621"/>
        </w:tabs>
        <w:rPr>
          <w:rFonts w:eastAsiaTheme="minorEastAsia" w:cstheme="minorBidi"/>
          <w:b/>
          <w:smallCaps w:val="0"/>
          <w:noProof/>
          <w:color w:val="auto"/>
          <w:szCs w:val="18"/>
          <w:lang w:eastAsia="pt-PT"/>
        </w:rPr>
      </w:pPr>
      <w:hyperlink w:anchor="_Toc44665215" w:history="1">
        <w:r w:rsidR="00B97D74" w:rsidRPr="009A539C">
          <w:rPr>
            <w:rStyle w:val="Hiperligao"/>
            <w:b/>
            <w:noProof/>
            <w:szCs w:val="18"/>
          </w:rPr>
          <w:t>Gráfico 13 - Distribuição das portarias de extensão publicadas em 2019 por CAE (83)</w:t>
        </w:r>
        <w:r w:rsidR="00B97D74" w:rsidRPr="009A539C">
          <w:rPr>
            <w:b/>
            <w:noProof/>
            <w:webHidden/>
            <w:szCs w:val="18"/>
          </w:rPr>
          <w:tab/>
        </w:r>
        <w:r w:rsidR="00B97D74" w:rsidRPr="009A539C">
          <w:rPr>
            <w:b/>
            <w:noProof/>
            <w:webHidden/>
            <w:szCs w:val="18"/>
          </w:rPr>
          <w:fldChar w:fldCharType="begin"/>
        </w:r>
        <w:r w:rsidR="00B97D74" w:rsidRPr="009A539C">
          <w:rPr>
            <w:b/>
            <w:noProof/>
            <w:webHidden/>
            <w:szCs w:val="18"/>
          </w:rPr>
          <w:instrText xml:space="preserve"> PAGEREF _Toc44665215 \h </w:instrText>
        </w:r>
        <w:r w:rsidR="00B97D74" w:rsidRPr="009A539C">
          <w:rPr>
            <w:b/>
            <w:noProof/>
            <w:webHidden/>
            <w:szCs w:val="18"/>
          </w:rPr>
        </w:r>
        <w:r w:rsidR="00B97D74" w:rsidRPr="009A539C">
          <w:rPr>
            <w:b/>
            <w:noProof/>
            <w:webHidden/>
            <w:szCs w:val="18"/>
          </w:rPr>
          <w:fldChar w:fldCharType="separate"/>
        </w:r>
        <w:r w:rsidR="00D821DE">
          <w:rPr>
            <w:b/>
            <w:noProof/>
            <w:webHidden/>
            <w:szCs w:val="18"/>
          </w:rPr>
          <w:t>71</w:t>
        </w:r>
        <w:r w:rsidR="00B97D74" w:rsidRPr="009A539C">
          <w:rPr>
            <w:b/>
            <w:noProof/>
            <w:webHidden/>
            <w:szCs w:val="18"/>
          </w:rPr>
          <w:fldChar w:fldCharType="end"/>
        </w:r>
      </w:hyperlink>
    </w:p>
    <w:p w14:paraId="69726740" w14:textId="77777777" w:rsidR="00B97D74" w:rsidRPr="009A539C" w:rsidRDefault="00E742C1">
      <w:pPr>
        <w:pStyle w:val="ndicedeilustraes"/>
        <w:tabs>
          <w:tab w:val="right" w:leader="dot" w:pos="10621"/>
        </w:tabs>
        <w:rPr>
          <w:rStyle w:val="Hiperligao"/>
          <w:b/>
          <w:noProof/>
          <w:szCs w:val="18"/>
        </w:rPr>
      </w:pPr>
      <w:hyperlink w:anchor="_Toc44665216" w:history="1">
        <w:r w:rsidR="00B97D74" w:rsidRPr="009A539C">
          <w:rPr>
            <w:rStyle w:val="Hiperligao"/>
            <w:rFonts w:eastAsia="Calibri" w:cstheme="minorHAnsi"/>
            <w:b/>
            <w:bCs/>
            <w:noProof/>
            <w:szCs w:val="18"/>
            <w:lang w:eastAsia="pt-PT"/>
          </w:rPr>
          <w:t>Gráfico 14 - Âmbito geográfico das Convenções – 2019</w:t>
        </w:r>
        <w:r w:rsidR="00B97D74" w:rsidRPr="009A539C">
          <w:rPr>
            <w:b/>
            <w:noProof/>
            <w:webHidden/>
            <w:szCs w:val="18"/>
          </w:rPr>
          <w:tab/>
        </w:r>
        <w:r w:rsidR="00B97D74" w:rsidRPr="009A539C">
          <w:rPr>
            <w:b/>
            <w:noProof/>
            <w:webHidden/>
            <w:szCs w:val="18"/>
          </w:rPr>
          <w:fldChar w:fldCharType="begin"/>
        </w:r>
        <w:r w:rsidR="00B97D74" w:rsidRPr="009A539C">
          <w:rPr>
            <w:b/>
            <w:noProof/>
            <w:webHidden/>
            <w:szCs w:val="18"/>
          </w:rPr>
          <w:instrText xml:space="preserve"> PAGEREF _Toc44665216 \h </w:instrText>
        </w:r>
        <w:r w:rsidR="00B97D74" w:rsidRPr="009A539C">
          <w:rPr>
            <w:b/>
            <w:noProof/>
            <w:webHidden/>
            <w:szCs w:val="18"/>
          </w:rPr>
        </w:r>
        <w:r w:rsidR="00B97D74" w:rsidRPr="009A539C">
          <w:rPr>
            <w:b/>
            <w:noProof/>
            <w:webHidden/>
            <w:szCs w:val="18"/>
          </w:rPr>
          <w:fldChar w:fldCharType="separate"/>
        </w:r>
        <w:r w:rsidR="00D821DE">
          <w:rPr>
            <w:b/>
            <w:noProof/>
            <w:webHidden/>
            <w:szCs w:val="18"/>
          </w:rPr>
          <w:t>97</w:t>
        </w:r>
        <w:r w:rsidR="00B97D74" w:rsidRPr="009A539C">
          <w:rPr>
            <w:b/>
            <w:noProof/>
            <w:webHidden/>
            <w:szCs w:val="18"/>
          </w:rPr>
          <w:fldChar w:fldCharType="end"/>
        </w:r>
      </w:hyperlink>
    </w:p>
    <w:p w14:paraId="3B3694B7" w14:textId="77777777" w:rsidR="00EF6372" w:rsidRPr="009A539C" w:rsidRDefault="00EF6372" w:rsidP="00EF6372"/>
    <w:p w14:paraId="468AE10B" w14:textId="77777777" w:rsidR="00821541" w:rsidRPr="009A539C" w:rsidRDefault="00821541" w:rsidP="00821541">
      <w:pPr>
        <w:tabs>
          <w:tab w:val="right" w:leader="dot" w:pos="8921"/>
        </w:tabs>
        <w:spacing w:before="120" w:after="120" w:line="240" w:lineRule="auto"/>
        <w:ind w:left="440" w:hanging="440"/>
        <w:rPr>
          <w:rFonts w:cs="Times New Roman"/>
          <w:smallCaps/>
          <w:noProof/>
          <w:color w:val="0000FF" w:themeColor="hyperlink"/>
          <w:sz w:val="18"/>
          <w:szCs w:val="18"/>
          <w:u w:val="single"/>
        </w:rPr>
      </w:pPr>
      <w:r w:rsidRPr="009A539C">
        <w:rPr>
          <w:rFonts w:cs="Times New Roman"/>
          <w:smallCaps/>
          <w:noProof/>
          <w:color w:val="0000FF" w:themeColor="hyperlink"/>
          <w:sz w:val="18"/>
          <w:szCs w:val="18"/>
          <w:u w:val="single"/>
        </w:rPr>
        <w:fldChar w:fldCharType="end"/>
      </w:r>
    </w:p>
    <w:p w14:paraId="58E840BB" w14:textId="77777777" w:rsidR="00821541" w:rsidRPr="009A539C" w:rsidRDefault="00821541" w:rsidP="00821541">
      <w:pPr>
        <w:tabs>
          <w:tab w:val="right" w:leader="dot" w:pos="8921"/>
        </w:tabs>
        <w:spacing w:before="120" w:after="120" w:line="240" w:lineRule="auto"/>
        <w:ind w:left="440" w:hanging="440"/>
        <w:rPr>
          <w:rFonts w:cs="Times New Roman"/>
          <w:smallCaps/>
          <w:noProof/>
          <w:color w:val="0000FF" w:themeColor="hyperlink"/>
          <w:u w:val="single"/>
        </w:rPr>
      </w:pPr>
    </w:p>
    <w:p w14:paraId="610828B0" w14:textId="77777777" w:rsidR="00821541" w:rsidRPr="009A539C" w:rsidRDefault="00821541" w:rsidP="00821541">
      <w:pPr>
        <w:tabs>
          <w:tab w:val="right" w:leader="dot" w:pos="8921"/>
        </w:tabs>
        <w:spacing w:before="120" w:after="120" w:line="240" w:lineRule="auto"/>
        <w:ind w:left="440" w:hanging="440"/>
        <w:rPr>
          <w:rFonts w:cs="Times New Roman"/>
          <w:smallCaps/>
          <w:noProof/>
          <w:color w:val="0000FF" w:themeColor="hyperlink"/>
          <w:u w:val="single"/>
        </w:rPr>
      </w:pPr>
    </w:p>
    <w:p w14:paraId="110DD137" w14:textId="77777777" w:rsidR="00821541" w:rsidRPr="009A539C" w:rsidRDefault="00821541" w:rsidP="00821541">
      <w:pPr>
        <w:tabs>
          <w:tab w:val="right" w:leader="dot" w:pos="8921"/>
        </w:tabs>
        <w:spacing w:before="120" w:after="120" w:line="240" w:lineRule="auto"/>
        <w:ind w:left="440" w:hanging="440"/>
        <w:rPr>
          <w:rFonts w:cs="Times New Roman"/>
          <w:smallCaps/>
          <w:noProof/>
          <w:color w:val="0000FF" w:themeColor="hyperlink"/>
          <w:u w:val="single"/>
        </w:rPr>
      </w:pPr>
    </w:p>
    <w:p w14:paraId="5A1FE653" w14:textId="77777777" w:rsidR="00821541" w:rsidRPr="009A539C" w:rsidRDefault="00821541" w:rsidP="00821541">
      <w:pPr>
        <w:tabs>
          <w:tab w:val="right" w:leader="dot" w:pos="8921"/>
        </w:tabs>
        <w:spacing w:before="120" w:after="120" w:line="240" w:lineRule="auto"/>
        <w:ind w:left="440" w:hanging="440"/>
        <w:rPr>
          <w:rFonts w:cs="Times New Roman"/>
          <w:smallCaps/>
          <w:noProof/>
          <w:color w:val="0000FF" w:themeColor="hyperlink"/>
          <w:u w:val="single"/>
        </w:rPr>
      </w:pPr>
    </w:p>
    <w:p w14:paraId="14D3D299" w14:textId="77777777" w:rsidR="00821541" w:rsidRPr="009A539C" w:rsidRDefault="00821541" w:rsidP="00821541">
      <w:pPr>
        <w:tabs>
          <w:tab w:val="right" w:leader="dot" w:pos="8921"/>
        </w:tabs>
        <w:spacing w:before="120" w:after="120" w:line="240" w:lineRule="auto"/>
        <w:ind w:left="440" w:hanging="440"/>
        <w:rPr>
          <w:rFonts w:cs="Times New Roman"/>
          <w:smallCaps/>
          <w:noProof/>
          <w:color w:val="0000FF" w:themeColor="hyperlink"/>
          <w:u w:val="single"/>
        </w:rPr>
      </w:pPr>
    </w:p>
    <w:p w14:paraId="1D430642" w14:textId="77777777" w:rsidR="00821541" w:rsidRPr="009A539C" w:rsidRDefault="00821541" w:rsidP="00821541">
      <w:pPr>
        <w:tabs>
          <w:tab w:val="right" w:leader="dot" w:pos="8921"/>
        </w:tabs>
        <w:spacing w:before="120" w:after="120" w:line="240" w:lineRule="auto"/>
        <w:ind w:left="440" w:hanging="440"/>
        <w:rPr>
          <w:rFonts w:cs="Times New Roman"/>
          <w:smallCaps/>
          <w:noProof/>
          <w:color w:val="0000FF" w:themeColor="hyperlink"/>
          <w:u w:val="single"/>
        </w:rPr>
      </w:pPr>
    </w:p>
    <w:p w14:paraId="2F53E12D" w14:textId="77777777" w:rsidR="00821541" w:rsidRPr="009A539C" w:rsidRDefault="00821541" w:rsidP="00821541">
      <w:pPr>
        <w:spacing w:after="0"/>
        <w:rPr>
          <w:rFonts w:cs="Times New Roman"/>
          <w:b/>
          <w:sz w:val="28"/>
          <w:u w:val="single"/>
        </w:rPr>
      </w:pPr>
    </w:p>
    <w:p w14:paraId="3FF254F6" w14:textId="77777777" w:rsidR="00821541" w:rsidRPr="009A539C" w:rsidRDefault="00821541" w:rsidP="00821541">
      <w:pPr>
        <w:spacing w:after="0"/>
        <w:rPr>
          <w:rFonts w:cs="Times New Roman"/>
          <w:b/>
          <w:sz w:val="28"/>
          <w:u w:val="single"/>
        </w:rPr>
      </w:pPr>
    </w:p>
    <w:p w14:paraId="4EB2447F" w14:textId="77777777" w:rsidR="00821541" w:rsidRPr="009A539C" w:rsidRDefault="00821541" w:rsidP="00821541">
      <w:pPr>
        <w:spacing w:after="0"/>
        <w:rPr>
          <w:rFonts w:cs="Times New Roman"/>
          <w:b/>
          <w:sz w:val="28"/>
          <w:u w:val="single"/>
        </w:rPr>
      </w:pPr>
    </w:p>
    <w:p w14:paraId="27FAA1E4" w14:textId="77777777" w:rsidR="00821541" w:rsidRPr="009A539C" w:rsidRDefault="00821541" w:rsidP="00821541">
      <w:pPr>
        <w:spacing w:after="0"/>
        <w:rPr>
          <w:rFonts w:cs="Times New Roman"/>
          <w:b/>
          <w:sz w:val="28"/>
          <w:u w:val="single"/>
        </w:rPr>
      </w:pPr>
    </w:p>
    <w:p w14:paraId="552174EE" w14:textId="77777777" w:rsidR="00821541" w:rsidRPr="009A539C" w:rsidRDefault="00821541" w:rsidP="00821541">
      <w:pPr>
        <w:spacing w:after="0"/>
        <w:rPr>
          <w:rFonts w:cs="Times New Roman"/>
          <w:b/>
          <w:sz w:val="28"/>
          <w:u w:val="single"/>
        </w:rPr>
      </w:pPr>
    </w:p>
    <w:p w14:paraId="7F8FA4C6" w14:textId="77777777" w:rsidR="00821541" w:rsidRPr="009A539C" w:rsidRDefault="00821541" w:rsidP="00821541">
      <w:pPr>
        <w:spacing w:after="0"/>
        <w:rPr>
          <w:rFonts w:cs="Times New Roman"/>
          <w:b/>
          <w:sz w:val="28"/>
          <w:u w:val="single"/>
        </w:rPr>
      </w:pPr>
    </w:p>
    <w:p w14:paraId="44B149B9" w14:textId="77777777" w:rsidR="00821541" w:rsidRPr="009A539C" w:rsidRDefault="00821541" w:rsidP="00821541">
      <w:pPr>
        <w:spacing w:after="0"/>
        <w:rPr>
          <w:rFonts w:cs="Times New Roman"/>
          <w:b/>
          <w:sz w:val="28"/>
          <w:u w:val="single"/>
        </w:rPr>
      </w:pPr>
    </w:p>
    <w:p w14:paraId="6066198B" w14:textId="77777777" w:rsidR="00821541" w:rsidRPr="009A539C" w:rsidRDefault="00821541" w:rsidP="00821541">
      <w:pPr>
        <w:spacing w:after="0"/>
        <w:rPr>
          <w:rFonts w:cs="Times New Roman"/>
          <w:b/>
          <w:sz w:val="28"/>
          <w:u w:val="single"/>
        </w:rPr>
      </w:pPr>
    </w:p>
    <w:p w14:paraId="47EED372" w14:textId="77777777" w:rsidR="00821541" w:rsidRPr="009A539C" w:rsidRDefault="00821541" w:rsidP="00821541">
      <w:pPr>
        <w:spacing w:after="0"/>
        <w:rPr>
          <w:rFonts w:cs="Times New Roman"/>
          <w:b/>
          <w:sz w:val="28"/>
          <w:u w:val="single"/>
        </w:rPr>
      </w:pPr>
    </w:p>
    <w:p w14:paraId="3032901C" w14:textId="77777777" w:rsidR="00821541" w:rsidRPr="009A539C" w:rsidRDefault="00821541" w:rsidP="00821541">
      <w:pPr>
        <w:spacing w:after="0"/>
        <w:rPr>
          <w:rFonts w:cs="Times New Roman"/>
          <w:b/>
          <w:sz w:val="24"/>
          <w:szCs w:val="24"/>
        </w:rPr>
      </w:pPr>
    </w:p>
    <w:p w14:paraId="1ECF57E4" w14:textId="77777777" w:rsidR="00821541" w:rsidRPr="009A539C" w:rsidRDefault="00821541" w:rsidP="00821541">
      <w:pPr>
        <w:spacing w:after="0"/>
        <w:rPr>
          <w:rFonts w:cs="Times New Roman"/>
          <w:b/>
          <w:sz w:val="24"/>
          <w:szCs w:val="24"/>
        </w:rPr>
      </w:pPr>
    </w:p>
    <w:p w14:paraId="136B97E1" w14:textId="77777777" w:rsidR="00821541" w:rsidRPr="009A539C" w:rsidRDefault="00821541" w:rsidP="00821541">
      <w:pPr>
        <w:spacing w:after="0"/>
        <w:rPr>
          <w:rFonts w:cs="Times New Roman"/>
          <w:b/>
          <w:sz w:val="24"/>
          <w:szCs w:val="24"/>
        </w:rPr>
      </w:pPr>
    </w:p>
    <w:p w14:paraId="21AE423F" w14:textId="77777777" w:rsidR="00821541" w:rsidRPr="009A539C" w:rsidRDefault="00821541" w:rsidP="00821541">
      <w:pPr>
        <w:spacing w:after="0"/>
        <w:rPr>
          <w:rFonts w:cs="Times New Roman"/>
          <w:b/>
          <w:sz w:val="24"/>
          <w:szCs w:val="24"/>
        </w:rPr>
      </w:pPr>
      <w:r w:rsidRPr="009A539C">
        <w:rPr>
          <w:rFonts w:cs="Times New Roman"/>
          <w:b/>
          <w:sz w:val="24"/>
          <w:szCs w:val="24"/>
        </w:rPr>
        <w:t>ACRÓNIMOS / SIGLAS</w:t>
      </w:r>
    </w:p>
    <w:p w14:paraId="35302482" w14:textId="77777777" w:rsidR="00821541" w:rsidRPr="009A539C" w:rsidRDefault="00821541" w:rsidP="00821541">
      <w:pPr>
        <w:spacing w:before="120" w:after="40" w:line="360" w:lineRule="auto"/>
        <w:ind w:left="284"/>
        <w:rPr>
          <w:rFonts w:cstheme="minorHAnsi"/>
        </w:rPr>
      </w:pPr>
      <w:r w:rsidRPr="009A539C">
        <w:rPr>
          <w:rFonts w:cstheme="minorHAnsi"/>
          <w:b/>
        </w:rPr>
        <w:t>AA</w:t>
      </w:r>
      <w:r w:rsidRPr="009A539C">
        <w:rPr>
          <w:rFonts w:cstheme="minorHAnsi"/>
        </w:rPr>
        <w:t xml:space="preserve"> - Acordo de Adesão</w:t>
      </w:r>
    </w:p>
    <w:p w14:paraId="12F55CDB" w14:textId="77777777" w:rsidR="00821541" w:rsidRPr="009A539C" w:rsidRDefault="00821541" w:rsidP="00821541">
      <w:pPr>
        <w:spacing w:before="120" w:after="40" w:line="360" w:lineRule="auto"/>
        <w:ind w:left="284"/>
        <w:rPr>
          <w:rFonts w:cstheme="minorHAnsi"/>
        </w:rPr>
      </w:pPr>
      <w:r w:rsidRPr="009A539C">
        <w:rPr>
          <w:rFonts w:cstheme="minorHAnsi"/>
          <w:b/>
        </w:rPr>
        <w:t>AC</w:t>
      </w:r>
      <w:r w:rsidRPr="009A539C">
        <w:rPr>
          <w:rFonts w:cstheme="minorHAnsi"/>
        </w:rPr>
        <w:t xml:space="preserve"> - Acordo Coletivo</w:t>
      </w:r>
    </w:p>
    <w:p w14:paraId="69F7F7ED" w14:textId="77777777" w:rsidR="00821541" w:rsidRPr="009A539C" w:rsidRDefault="00821541" w:rsidP="00821541">
      <w:pPr>
        <w:spacing w:before="120" w:after="40" w:line="360" w:lineRule="auto"/>
        <w:ind w:left="284"/>
        <w:rPr>
          <w:rFonts w:cstheme="minorHAnsi"/>
        </w:rPr>
      </w:pPr>
      <w:r w:rsidRPr="009A539C">
        <w:rPr>
          <w:rFonts w:cstheme="minorHAnsi"/>
          <w:b/>
        </w:rPr>
        <w:t>ACC</w:t>
      </w:r>
      <w:r w:rsidRPr="009A539C">
        <w:rPr>
          <w:rFonts w:cstheme="minorHAnsi"/>
        </w:rPr>
        <w:t xml:space="preserve"> - Acordo Coletivo de Carreira</w:t>
      </w:r>
    </w:p>
    <w:p w14:paraId="68EF2C0B" w14:textId="77777777" w:rsidR="00821541" w:rsidRPr="009A539C" w:rsidRDefault="00821541" w:rsidP="00821541">
      <w:pPr>
        <w:spacing w:before="120" w:after="40" w:line="360" w:lineRule="auto"/>
        <w:ind w:left="284"/>
        <w:rPr>
          <w:rFonts w:cstheme="minorHAnsi"/>
        </w:rPr>
      </w:pPr>
      <w:r w:rsidRPr="009A539C">
        <w:rPr>
          <w:rFonts w:cstheme="minorHAnsi"/>
          <w:b/>
        </w:rPr>
        <w:t>ACEP</w:t>
      </w:r>
      <w:r w:rsidRPr="009A539C">
        <w:rPr>
          <w:rFonts w:cstheme="minorHAnsi"/>
        </w:rPr>
        <w:t xml:space="preserve"> - Acordo Coletivo de Empregador Público</w:t>
      </w:r>
    </w:p>
    <w:p w14:paraId="3A797FE2" w14:textId="77777777" w:rsidR="00821541" w:rsidRPr="009A539C" w:rsidRDefault="00821541" w:rsidP="00821541">
      <w:pPr>
        <w:spacing w:before="120" w:after="40" w:line="360" w:lineRule="auto"/>
        <w:ind w:left="284"/>
        <w:rPr>
          <w:rFonts w:cstheme="minorHAnsi"/>
        </w:rPr>
      </w:pPr>
      <w:r w:rsidRPr="009A539C">
        <w:rPr>
          <w:rFonts w:cstheme="minorHAnsi"/>
          <w:b/>
        </w:rPr>
        <w:t>ACT</w:t>
      </w:r>
      <w:r w:rsidRPr="009A539C">
        <w:rPr>
          <w:rFonts w:cstheme="minorHAnsi"/>
        </w:rPr>
        <w:t xml:space="preserve"> - Acordo Coletivo de Trabalho </w:t>
      </w:r>
    </w:p>
    <w:p w14:paraId="622BCB6E" w14:textId="77777777" w:rsidR="00821541" w:rsidRPr="009A539C" w:rsidRDefault="00821541" w:rsidP="00821541">
      <w:pPr>
        <w:spacing w:before="120" w:after="40" w:line="360" w:lineRule="auto"/>
        <w:ind w:left="284"/>
        <w:rPr>
          <w:rFonts w:cstheme="minorHAnsi"/>
        </w:rPr>
      </w:pPr>
      <w:r w:rsidRPr="009A539C">
        <w:rPr>
          <w:rFonts w:cstheme="minorHAnsi"/>
          <w:b/>
        </w:rPr>
        <w:t>AE</w:t>
      </w:r>
      <w:r w:rsidRPr="009A539C">
        <w:rPr>
          <w:rFonts w:cstheme="minorHAnsi"/>
        </w:rPr>
        <w:t xml:space="preserve"> - Acordo de Empresa</w:t>
      </w:r>
    </w:p>
    <w:p w14:paraId="45281BFE" w14:textId="77777777" w:rsidR="00821541" w:rsidRPr="009A539C" w:rsidRDefault="00821541" w:rsidP="00821541">
      <w:pPr>
        <w:spacing w:before="120" w:after="40" w:line="360" w:lineRule="auto"/>
        <w:ind w:left="284"/>
        <w:rPr>
          <w:rFonts w:cstheme="minorHAnsi"/>
        </w:rPr>
      </w:pPr>
      <w:r w:rsidRPr="009A539C">
        <w:rPr>
          <w:rFonts w:cstheme="minorHAnsi"/>
          <w:b/>
        </w:rPr>
        <w:t>BTE</w:t>
      </w:r>
      <w:r w:rsidRPr="009A539C">
        <w:rPr>
          <w:rFonts w:cstheme="minorHAnsi"/>
        </w:rPr>
        <w:t xml:space="preserve"> - Boletim do Trabalho e Emprego</w:t>
      </w:r>
    </w:p>
    <w:p w14:paraId="2EC6C1BB" w14:textId="77777777" w:rsidR="00821541" w:rsidRPr="009A539C" w:rsidRDefault="00821541" w:rsidP="00821541">
      <w:pPr>
        <w:spacing w:before="120" w:after="40" w:line="360" w:lineRule="auto"/>
        <w:ind w:left="284"/>
        <w:rPr>
          <w:rFonts w:cstheme="minorHAnsi"/>
        </w:rPr>
      </w:pPr>
      <w:r w:rsidRPr="009A539C">
        <w:rPr>
          <w:rFonts w:cstheme="minorHAnsi"/>
          <w:b/>
        </w:rPr>
        <w:t>CAE</w:t>
      </w:r>
      <w:r w:rsidRPr="009A539C">
        <w:rPr>
          <w:rFonts w:cstheme="minorHAnsi"/>
        </w:rPr>
        <w:t xml:space="preserve"> - Classificação das Atividades Económicas</w:t>
      </w:r>
    </w:p>
    <w:p w14:paraId="1A02F056" w14:textId="77777777" w:rsidR="00821541" w:rsidRPr="009A539C" w:rsidRDefault="00821541" w:rsidP="00821541">
      <w:pPr>
        <w:spacing w:before="120" w:after="40" w:line="360" w:lineRule="auto"/>
        <w:ind w:left="284"/>
        <w:rPr>
          <w:rFonts w:cstheme="minorHAnsi"/>
        </w:rPr>
      </w:pPr>
      <w:r w:rsidRPr="009A539C">
        <w:rPr>
          <w:rFonts w:cstheme="minorHAnsi"/>
          <w:b/>
        </w:rPr>
        <w:t>CC</w:t>
      </w:r>
      <w:r w:rsidRPr="009A539C">
        <w:rPr>
          <w:rFonts w:cstheme="minorHAnsi"/>
        </w:rPr>
        <w:t xml:space="preserve"> - Contrato Coletivo</w:t>
      </w:r>
    </w:p>
    <w:p w14:paraId="7DCADF11" w14:textId="77777777" w:rsidR="00821541" w:rsidRPr="009A539C" w:rsidRDefault="00821541" w:rsidP="00821541">
      <w:pPr>
        <w:spacing w:before="120" w:after="40" w:line="360" w:lineRule="auto"/>
        <w:ind w:left="284"/>
        <w:rPr>
          <w:rFonts w:cstheme="minorHAnsi"/>
        </w:rPr>
      </w:pPr>
      <w:r w:rsidRPr="009A539C">
        <w:rPr>
          <w:rFonts w:cstheme="minorHAnsi"/>
          <w:b/>
        </w:rPr>
        <w:t>CES</w:t>
      </w:r>
      <w:r w:rsidRPr="009A539C">
        <w:rPr>
          <w:rFonts w:cstheme="minorHAnsi"/>
        </w:rPr>
        <w:t xml:space="preserve"> - Conselho Económico e Social</w:t>
      </w:r>
    </w:p>
    <w:p w14:paraId="6ADC887B" w14:textId="77777777" w:rsidR="00821541" w:rsidRPr="009A539C" w:rsidRDefault="00821541" w:rsidP="00821541">
      <w:pPr>
        <w:spacing w:before="120" w:after="40" w:line="360" w:lineRule="auto"/>
        <w:ind w:left="284"/>
        <w:rPr>
          <w:rFonts w:cstheme="minorHAnsi"/>
        </w:rPr>
      </w:pPr>
      <w:r w:rsidRPr="009A539C">
        <w:rPr>
          <w:rFonts w:cstheme="minorHAnsi"/>
          <w:b/>
        </w:rPr>
        <w:t>CPCS</w:t>
      </w:r>
      <w:r w:rsidRPr="009A539C">
        <w:rPr>
          <w:rFonts w:cstheme="minorHAnsi"/>
        </w:rPr>
        <w:t xml:space="preserve"> - Comissão Permanente de Concertação Social</w:t>
      </w:r>
    </w:p>
    <w:p w14:paraId="296CD9E2" w14:textId="77777777" w:rsidR="00821541" w:rsidRPr="009A539C" w:rsidRDefault="00821541" w:rsidP="00821541">
      <w:pPr>
        <w:spacing w:before="120" w:after="40" w:line="360" w:lineRule="auto"/>
        <w:ind w:left="284"/>
        <w:rPr>
          <w:rFonts w:cstheme="minorHAnsi"/>
        </w:rPr>
      </w:pPr>
      <w:r w:rsidRPr="009A539C">
        <w:rPr>
          <w:rFonts w:cstheme="minorHAnsi"/>
          <w:b/>
        </w:rPr>
        <w:t>CRL</w:t>
      </w:r>
      <w:r w:rsidRPr="009A539C">
        <w:rPr>
          <w:rFonts w:cstheme="minorHAnsi"/>
        </w:rPr>
        <w:t xml:space="preserve"> - Centro de Relações Laborais</w:t>
      </w:r>
    </w:p>
    <w:p w14:paraId="4FEF8F0A" w14:textId="77777777" w:rsidR="00821541" w:rsidRPr="009A539C" w:rsidRDefault="00821541" w:rsidP="00821541">
      <w:pPr>
        <w:spacing w:before="120" w:after="40" w:line="360" w:lineRule="auto"/>
        <w:ind w:left="284"/>
        <w:rPr>
          <w:rFonts w:cstheme="minorHAnsi"/>
        </w:rPr>
      </w:pPr>
      <w:r w:rsidRPr="009A539C">
        <w:rPr>
          <w:rFonts w:cstheme="minorHAnsi"/>
          <w:b/>
        </w:rPr>
        <w:t>CRP</w:t>
      </w:r>
      <w:r w:rsidRPr="009A539C">
        <w:rPr>
          <w:rFonts w:cstheme="minorHAnsi"/>
        </w:rPr>
        <w:t xml:space="preserve"> - Constituição da República Portuguesa</w:t>
      </w:r>
    </w:p>
    <w:p w14:paraId="344F479A" w14:textId="77777777" w:rsidR="00821541" w:rsidRPr="009A539C" w:rsidRDefault="00821541" w:rsidP="00821541">
      <w:pPr>
        <w:spacing w:before="120" w:after="40" w:line="360" w:lineRule="auto"/>
        <w:ind w:left="284"/>
        <w:rPr>
          <w:rFonts w:cstheme="minorHAnsi"/>
        </w:rPr>
      </w:pPr>
      <w:r w:rsidRPr="009A539C">
        <w:rPr>
          <w:rFonts w:cstheme="minorHAnsi"/>
          <w:b/>
        </w:rPr>
        <w:t xml:space="preserve">CT </w:t>
      </w:r>
      <w:r w:rsidRPr="009A539C">
        <w:rPr>
          <w:rFonts w:cstheme="minorHAnsi"/>
        </w:rPr>
        <w:t>- Código do Trabalho 2009</w:t>
      </w:r>
    </w:p>
    <w:p w14:paraId="607AB809" w14:textId="77777777" w:rsidR="00821541" w:rsidRPr="009A539C" w:rsidRDefault="00821541" w:rsidP="00821541">
      <w:pPr>
        <w:spacing w:before="120" w:after="40" w:line="360" w:lineRule="auto"/>
        <w:ind w:left="284"/>
        <w:rPr>
          <w:rFonts w:cstheme="minorHAnsi"/>
        </w:rPr>
      </w:pPr>
      <w:r w:rsidRPr="009A539C">
        <w:rPr>
          <w:rFonts w:cstheme="minorHAnsi"/>
          <w:b/>
        </w:rPr>
        <w:t>CT 2003</w:t>
      </w:r>
      <w:r w:rsidRPr="009A539C">
        <w:rPr>
          <w:rFonts w:cstheme="minorHAnsi"/>
        </w:rPr>
        <w:t xml:space="preserve"> - Código do Trabalho 2003</w:t>
      </w:r>
    </w:p>
    <w:p w14:paraId="5EF309FC" w14:textId="77777777" w:rsidR="00821541" w:rsidRPr="009A539C" w:rsidRDefault="00821541" w:rsidP="00821541">
      <w:pPr>
        <w:spacing w:before="120" w:after="40" w:line="360" w:lineRule="auto"/>
        <w:ind w:left="284"/>
        <w:rPr>
          <w:rFonts w:cstheme="minorHAnsi"/>
        </w:rPr>
      </w:pPr>
      <w:r w:rsidRPr="009A539C">
        <w:rPr>
          <w:rFonts w:cstheme="minorHAnsi"/>
          <w:b/>
        </w:rPr>
        <w:t>DA</w:t>
      </w:r>
      <w:r w:rsidRPr="009A539C">
        <w:rPr>
          <w:rFonts w:cstheme="minorHAnsi"/>
        </w:rPr>
        <w:t xml:space="preserve"> - Decisão Arbitral</w:t>
      </w:r>
    </w:p>
    <w:p w14:paraId="2CD2E4C9" w14:textId="77777777" w:rsidR="00821541" w:rsidRPr="009A539C" w:rsidRDefault="00821541" w:rsidP="00821541">
      <w:pPr>
        <w:spacing w:before="120" w:after="40" w:line="360" w:lineRule="auto"/>
        <w:ind w:left="284"/>
        <w:rPr>
          <w:rFonts w:cstheme="minorHAnsi"/>
        </w:rPr>
      </w:pPr>
      <w:r w:rsidRPr="009A539C">
        <w:rPr>
          <w:rFonts w:cstheme="minorHAnsi"/>
          <w:b/>
        </w:rPr>
        <w:t>DGAEP</w:t>
      </w:r>
      <w:r w:rsidRPr="009A539C">
        <w:rPr>
          <w:rFonts w:cstheme="minorHAnsi"/>
        </w:rPr>
        <w:t xml:space="preserve"> - Direção-Geral da Administração e do Emprego Público</w:t>
      </w:r>
    </w:p>
    <w:p w14:paraId="319FBD80" w14:textId="77777777" w:rsidR="00821541" w:rsidRPr="009A539C" w:rsidRDefault="00821541" w:rsidP="00821541">
      <w:pPr>
        <w:spacing w:before="120" w:after="40" w:line="360" w:lineRule="auto"/>
        <w:ind w:left="284"/>
        <w:rPr>
          <w:rFonts w:cstheme="minorHAnsi"/>
        </w:rPr>
      </w:pPr>
      <w:r w:rsidRPr="009A539C">
        <w:rPr>
          <w:rFonts w:cstheme="minorHAnsi"/>
          <w:b/>
        </w:rPr>
        <w:t>DGERT</w:t>
      </w:r>
      <w:r w:rsidRPr="009A539C">
        <w:rPr>
          <w:rFonts w:cstheme="minorHAnsi"/>
        </w:rPr>
        <w:t xml:space="preserve"> - Direção-Geral do Emprego e das Relações de Trabalho</w:t>
      </w:r>
    </w:p>
    <w:p w14:paraId="5835A01B" w14:textId="77777777" w:rsidR="00821541" w:rsidRPr="009A539C" w:rsidRDefault="00821541" w:rsidP="00821541">
      <w:pPr>
        <w:spacing w:before="120" w:after="40" w:line="360" w:lineRule="auto"/>
        <w:ind w:left="284"/>
        <w:rPr>
          <w:rFonts w:cstheme="minorHAnsi"/>
        </w:rPr>
      </w:pPr>
      <w:r w:rsidRPr="009A539C">
        <w:rPr>
          <w:rFonts w:cstheme="minorHAnsi"/>
          <w:b/>
        </w:rPr>
        <w:t>DL</w:t>
      </w:r>
      <w:r w:rsidRPr="009A539C">
        <w:rPr>
          <w:rFonts w:cstheme="minorHAnsi"/>
        </w:rPr>
        <w:t xml:space="preserve"> - Decreto-Lei</w:t>
      </w:r>
    </w:p>
    <w:p w14:paraId="1C4C0606" w14:textId="77777777" w:rsidR="00821541" w:rsidRPr="009A539C" w:rsidRDefault="00821541" w:rsidP="00821541">
      <w:pPr>
        <w:spacing w:before="120" w:after="40" w:line="360" w:lineRule="auto"/>
        <w:ind w:left="284"/>
        <w:rPr>
          <w:rFonts w:cstheme="minorHAnsi"/>
          <w:b/>
        </w:rPr>
      </w:pPr>
      <w:r w:rsidRPr="009A539C">
        <w:rPr>
          <w:rFonts w:cstheme="minorHAnsi"/>
          <w:b/>
        </w:rPr>
        <w:t>DR</w:t>
      </w:r>
      <w:r w:rsidRPr="009A539C">
        <w:rPr>
          <w:rFonts w:cstheme="minorHAnsi"/>
          <w:b/>
        </w:rPr>
        <w:tab/>
      </w:r>
      <w:r w:rsidRPr="009A539C">
        <w:rPr>
          <w:rFonts w:cstheme="minorHAnsi"/>
        </w:rPr>
        <w:t>- Diário da República</w:t>
      </w:r>
      <w:r w:rsidRPr="009A539C">
        <w:rPr>
          <w:rFonts w:cstheme="minorHAnsi"/>
          <w:b/>
        </w:rPr>
        <w:t xml:space="preserve"> </w:t>
      </w:r>
    </w:p>
    <w:p w14:paraId="2B8FE255" w14:textId="77777777" w:rsidR="00821541" w:rsidRPr="009A539C" w:rsidRDefault="00821541" w:rsidP="00821541">
      <w:pPr>
        <w:spacing w:before="120" w:after="40" w:line="360" w:lineRule="auto"/>
        <w:ind w:left="284"/>
        <w:rPr>
          <w:rFonts w:cstheme="minorHAnsi"/>
        </w:rPr>
      </w:pPr>
      <w:r w:rsidRPr="009A539C">
        <w:rPr>
          <w:rFonts w:cstheme="minorHAnsi"/>
          <w:b/>
        </w:rPr>
        <w:t>GEE</w:t>
      </w:r>
      <w:r w:rsidRPr="009A539C">
        <w:rPr>
          <w:rFonts w:cstheme="minorHAnsi"/>
        </w:rPr>
        <w:t xml:space="preserve"> - Gabinete de Estratégia e Estudos</w:t>
      </w:r>
    </w:p>
    <w:p w14:paraId="49EA9BAA" w14:textId="77777777" w:rsidR="00821541" w:rsidRPr="009A539C" w:rsidRDefault="00821541" w:rsidP="00821541">
      <w:pPr>
        <w:spacing w:before="120" w:after="40" w:line="360" w:lineRule="auto"/>
        <w:ind w:left="284"/>
        <w:rPr>
          <w:rFonts w:cstheme="minorHAnsi"/>
        </w:rPr>
      </w:pPr>
      <w:r w:rsidRPr="009A539C">
        <w:rPr>
          <w:rFonts w:cstheme="minorHAnsi"/>
          <w:b/>
        </w:rPr>
        <w:t>GEP</w:t>
      </w:r>
      <w:r w:rsidRPr="009A539C">
        <w:rPr>
          <w:rFonts w:cstheme="minorHAnsi"/>
        </w:rPr>
        <w:t xml:space="preserve"> - Gabinete de Estratégia e Planeamento</w:t>
      </w:r>
    </w:p>
    <w:p w14:paraId="486298DB" w14:textId="77777777" w:rsidR="00821541" w:rsidRPr="009A539C" w:rsidRDefault="00821541" w:rsidP="00821541">
      <w:pPr>
        <w:spacing w:before="120" w:after="40" w:line="360" w:lineRule="auto"/>
        <w:ind w:left="284"/>
        <w:rPr>
          <w:rFonts w:cstheme="minorHAnsi"/>
        </w:rPr>
      </w:pPr>
      <w:r w:rsidRPr="009A539C">
        <w:rPr>
          <w:rFonts w:cstheme="minorHAnsi"/>
          <w:b/>
        </w:rPr>
        <w:t xml:space="preserve">IHT </w:t>
      </w:r>
      <w:r w:rsidRPr="009A539C">
        <w:rPr>
          <w:rFonts w:cstheme="minorHAnsi"/>
        </w:rPr>
        <w:t>– Isenção de Horário de Trabalho</w:t>
      </w:r>
    </w:p>
    <w:p w14:paraId="098EEA12" w14:textId="77777777" w:rsidR="00821541" w:rsidRPr="009A539C" w:rsidRDefault="00821541" w:rsidP="00821541">
      <w:pPr>
        <w:spacing w:before="120" w:after="40" w:line="360" w:lineRule="auto"/>
        <w:ind w:left="284"/>
        <w:rPr>
          <w:rFonts w:cstheme="minorHAnsi"/>
        </w:rPr>
      </w:pPr>
      <w:r w:rsidRPr="009A539C">
        <w:rPr>
          <w:rFonts w:cstheme="minorHAnsi"/>
          <w:b/>
        </w:rPr>
        <w:t>IRCT</w:t>
      </w:r>
      <w:r w:rsidRPr="009A539C">
        <w:rPr>
          <w:rFonts w:cstheme="minorHAnsi"/>
        </w:rPr>
        <w:t xml:space="preserve"> - Instrumentos de Regulamentação Coletiva de Trabalho</w:t>
      </w:r>
    </w:p>
    <w:p w14:paraId="4AB66637" w14:textId="77777777" w:rsidR="00821541" w:rsidRPr="009A539C" w:rsidRDefault="00821541" w:rsidP="00821541">
      <w:pPr>
        <w:spacing w:before="120" w:after="40" w:line="360" w:lineRule="auto"/>
        <w:ind w:left="284"/>
        <w:rPr>
          <w:rFonts w:cstheme="minorHAnsi"/>
          <w:b/>
        </w:rPr>
      </w:pPr>
    </w:p>
    <w:p w14:paraId="527C363A" w14:textId="77777777" w:rsidR="00821541" w:rsidRPr="009A539C" w:rsidRDefault="00821541" w:rsidP="00821541">
      <w:pPr>
        <w:spacing w:before="120" w:after="40" w:line="360" w:lineRule="auto"/>
        <w:ind w:left="284"/>
        <w:rPr>
          <w:rFonts w:cstheme="minorHAnsi"/>
        </w:rPr>
      </w:pPr>
      <w:r w:rsidRPr="009A539C">
        <w:rPr>
          <w:rFonts w:cstheme="minorHAnsi"/>
          <w:b/>
        </w:rPr>
        <w:t>LAT</w:t>
      </w:r>
      <w:r w:rsidRPr="009A539C">
        <w:rPr>
          <w:rFonts w:cstheme="minorHAnsi"/>
        </w:rPr>
        <w:t xml:space="preserve"> - Lei dos Acidentes de Trabalho</w:t>
      </w:r>
    </w:p>
    <w:p w14:paraId="02393EA5" w14:textId="77777777" w:rsidR="00821541" w:rsidRPr="009A539C" w:rsidRDefault="00821541" w:rsidP="00821541">
      <w:pPr>
        <w:spacing w:before="120" w:after="40" w:line="360" w:lineRule="auto"/>
        <w:ind w:left="284"/>
        <w:rPr>
          <w:rFonts w:cstheme="minorHAnsi"/>
        </w:rPr>
      </w:pPr>
      <w:r w:rsidRPr="009A539C">
        <w:rPr>
          <w:rFonts w:cstheme="minorHAnsi"/>
          <w:b/>
        </w:rPr>
        <w:t>LOE</w:t>
      </w:r>
      <w:r w:rsidRPr="009A539C">
        <w:rPr>
          <w:rFonts w:cstheme="minorHAnsi"/>
        </w:rPr>
        <w:t xml:space="preserve"> - Lei do Orçamento do Estado </w:t>
      </w:r>
    </w:p>
    <w:p w14:paraId="6924DECF" w14:textId="77777777" w:rsidR="00821541" w:rsidRPr="009A539C" w:rsidRDefault="00821541" w:rsidP="00821541">
      <w:pPr>
        <w:spacing w:before="120" w:after="40" w:line="360" w:lineRule="auto"/>
        <w:ind w:left="284"/>
        <w:rPr>
          <w:rFonts w:cstheme="minorHAnsi"/>
        </w:rPr>
      </w:pPr>
      <w:r w:rsidRPr="009A539C">
        <w:rPr>
          <w:rFonts w:cstheme="minorHAnsi"/>
          <w:b/>
        </w:rPr>
        <w:t xml:space="preserve">LRCT </w:t>
      </w:r>
      <w:r w:rsidRPr="009A539C">
        <w:rPr>
          <w:rFonts w:cstheme="minorHAnsi"/>
        </w:rPr>
        <w:t>- Lei das Relações Coletivas de Trabalho (Decreto-Lei n.º 519-C1/79, de 29 de dezembro)</w:t>
      </w:r>
    </w:p>
    <w:p w14:paraId="4684A51C" w14:textId="77777777" w:rsidR="00821541" w:rsidRPr="009A539C" w:rsidRDefault="00821541" w:rsidP="00821541">
      <w:pPr>
        <w:spacing w:before="120" w:after="40" w:line="360" w:lineRule="auto"/>
        <w:ind w:left="284"/>
        <w:rPr>
          <w:rFonts w:cstheme="minorHAnsi"/>
        </w:rPr>
      </w:pPr>
      <w:r w:rsidRPr="009A539C">
        <w:rPr>
          <w:rFonts w:cstheme="minorHAnsi"/>
          <w:b/>
        </w:rPr>
        <w:t>LTFP</w:t>
      </w:r>
      <w:r w:rsidRPr="009A539C">
        <w:rPr>
          <w:rFonts w:cstheme="minorHAnsi"/>
        </w:rPr>
        <w:t xml:space="preserve"> - Lei Geral do Trabalho em Funções Públicas</w:t>
      </w:r>
    </w:p>
    <w:p w14:paraId="69BF01F4" w14:textId="77777777" w:rsidR="00821541" w:rsidRPr="009A539C" w:rsidRDefault="00821541" w:rsidP="00821541">
      <w:pPr>
        <w:spacing w:before="120" w:after="40" w:line="360" w:lineRule="auto"/>
        <w:ind w:left="284"/>
        <w:rPr>
          <w:rFonts w:cstheme="minorHAnsi"/>
        </w:rPr>
      </w:pPr>
      <w:r w:rsidRPr="009A539C">
        <w:rPr>
          <w:rFonts w:cstheme="minorHAnsi"/>
          <w:b/>
        </w:rPr>
        <w:t>LVCR</w:t>
      </w:r>
      <w:r w:rsidRPr="009A539C">
        <w:rPr>
          <w:rFonts w:cstheme="minorHAnsi"/>
        </w:rPr>
        <w:t xml:space="preserve"> - Lei dos Vínculos, Carreiras e Remunerações  </w:t>
      </w:r>
    </w:p>
    <w:p w14:paraId="5FBAE539" w14:textId="77777777" w:rsidR="00821541" w:rsidRPr="009A539C" w:rsidRDefault="00821541" w:rsidP="00821541">
      <w:pPr>
        <w:spacing w:before="120" w:after="40" w:line="360" w:lineRule="auto"/>
        <w:ind w:left="284"/>
        <w:rPr>
          <w:rFonts w:cstheme="minorHAnsi"/>
        </w:rPr>
      </w:pPr>
      <w:r w:rsidRPr="009A539C">
        <w:rPr>
          <w:rFonts w:cstheme="minorHAnsi"/>
          <w:b/>
        </w:rPr>
        <w:t>ME</w:t>
      </w:r>
      <w:r w:rsidRPr="009A539C">
        <w:rPr>
          <w:rFonts w:cstheme="minorHAnsi"/>
        </w:rPr>
        <w:t xml:space="preserve"> - Ministério da Economia</w:t>
      </w:r>
    </w:p>
    <w:p w14:paraId="1FF8B804" w14:textId="77777777" w:rsidR="00821541" w:rsidRPr="009A539C" w:rsidRDefault="00821541" w:rsidP="00821541">
      <w:pPr>
        <w:spacing w:before="120" w:after="40" w:line="360" w:lineRule="auto"/>
        <w:ind w:left="284"/>
        <w:rPr>
          <w:rFonts w:cstheme="minorHAnsi"/>
        </w:rPr>
      </w:pPr>
      <w:r w:rsidRPr="009A539C">
        <w:rPr>
          <w:rFonts w:cstheme="minorHAnsi"/>
          <w:b/>
        </w:rPr>
        <w:t>MTSSS</w:t>
      </w:r>
      <w:r w:rsidRPr="009A539C">
        <w:rPr>
          <w:rFonts w:cstheme="minorHAnsi"/>
        </w:rPr>
        <w:t xml:space="preserve"> - Ministério do Trabalho, Solidariedade e Segurança Social</w:t>
      </w:r>
    </w:p>
    <w:p w14:paraId="23B8320B" w14:textId="77777777" w:rsidR="00821541" w:rsidRPr="009A539C" w:rsidRDefault="00821541" w:rsidP="00821541">
      <w:pPr>
        <w:spacing w:before="120" w:after="40" w:line="360" w:lineRule="auto"/>
        <w:ind w:left="284"/>
        <w:rPr>
          <w:rFonts w:cstheme="minorHAnsi"/>
        </w:rPr>
      </w:pPr>
      <w:r w:rsidRPr="009A539C">
        <w:rPr>
          <w:rFonts w:cstheme="minorHAnsi"/>
          <w:b/>
        </w:rPr>
        <w:t xml:space="preserve">PAEF </w:t>
      </w:r>
      <w:r w:rsidRPr="009A539C">
        <w:rPr>
          <w:rFonts w:cstheme="minorHAnsi"/>
        </w:rPr>
        <w:t>- Programa de Assistência Económica e Financeira</w:t>
      </w:r>
    </w:p>
    <w:p w14:paraId="6C649980" w14:textId="77777777" w:rsidR="00821541" w:rsidRPr="009A539C" w:rsidRDefault="00821541" w:rsidP="00821541">
      <w:pPr>
        <w:spacing w:before="120" w:after="40" w:line="360" w:lineRule="auto"/>
        <w:ind w:left="284"/>
        <w:rPr>
          <w:rFonts w:cstheme="minorHAnsi"/>
        </w:rPr>
      </w:pPr>
      <w:r w:rsidRPr="009A539C">
        <w:rPr>
          <w:rFonts w:cstheme="minorHAnsi"/>
          <w:b/>
        </w:rPr>
        <w:t>PCT</w:t>
      </w:r>
      <w:r w:rsidRPr="009A539C">
        <w:rPr>
          <w:rFonts w:cstheme="minorHAnsi"/>
        </w:rPr>
        <w:t xml:space="preserve"> - Portaria de Condições de Trabalho</w:t>
      </w:r>
    </w:p>
    <w:p w14:paraId="6A61A49B" w14:textId="77777777" w:rsidR="00821541" w:rsidRPr="009A539C" w:rsidRDefault="00821541" w:rsidP="00821541">
      <w:pPr>
        <w:spacing w:before="120" w:after="40" w:line="360" w:lineRule="auto"/>
        <w:ind w:left="284"/>
        <w:rPr>
          <w:rFonts w:cstheme="minorHAnsi"/>
        </w:rPr>
      </w:pPr>
      <w:r w:rsidRPr="009A539C">
        <w:rPr>
          <w:rFonts w:cstheme="minorHAnsi"/>
          <w:b/>
        </w:rPr>
        <w:t>PE</w:t>
      </w:r>
      <w:r w:rsidRPr="009A539C">
        <w:rPr>
          <w:rFonts w:cstheme="minorHAnsi"/>
        </w:rPr>
        <w:t xml:space="preserve"> - Portaria de Extensão</w:t>
      </w:r>
    </w:p>
    <w:p w14:paraId="3EF4B7BC" w14:textId="77777777" w:rsidR="00821541" w:rsidRPr="009A539C" w:rsidRDefault="00821541" w:rsidP="00821541">
      <w:pPr>
        <w:spacing w:before="120" w:after="40" w:line="360" w:lineRule="auto"/>
        <w:ind w:left="284"/>
        <w:rPr>
          <w:rFonts w:cstheme="minorHAnsi"/>
        </w:rPr>
      </w:pPr>
      <w:r w:rsidRPr="009A539C">
        <w:rPr>
          <w:rFonts w:cstheme="minorHAnsi"/>
          <w:b/>
        </w:rPr>
        <w:t>PIB</w:t>
      </w:r>
      <w:r w:rsidRPr="009A539C">
        <w:rPr>
          <w:rFonts w:cstheme="minorHAnsi"/>
        </w:rPr>
        <w:t xml:space="preserve"> - Produto Interno Bruto</w:t>
      </w:r>
    </w:p>
    <w:p w14:paraId="4D397094" w14:textId="77777777" w:rsidR="00821541" w:rsidRPr="009A539C" w:rsidRDefault="00821541" w:rsidP="00821541">
      <w:pPr>
        <w:spacing w:before="120" w:after="40" w:line="360" w:lineRule="auto"/>
        <w:ind w:left="284"/>
        <w:rPr>
          <w:rFonts w:cstheme="minorHAnsi"/>
        </w:rPr>
      </w:pPr>
      <w:r w:rsidRPr="009A539C">
        <w:rPr>
          <w:rFonts w:cstheme="minorHAnsi"/>
          <w:b/>
        </w:rPr>
        <w:t xml:space="preserve">PNT </w:t>
      </w:r>
      <w:r w:rsidRPr="009A539C">
        <w:rPr>
          <w:rFonts w:cstheme="minorHAnsi"/>
        </w:rPr>
        <w:t>- Período Normal de Trabalho</w:t>
      </w:r>
    </w:p>
    <w:p w14:paraId="2FA0A9F8" w14:textId="77777777" w:rsidR="00821541" w:rsidRPr="009A539C" w:rsidRDefault="00821541" w:rsidP="00821541">
      <w:pPr>
        <w:spacing w:before="120" w:after="40" w:line="360" w:lineRule="auto"/>
        <w:ind w:left="284"/>
        <w:rPr>
          <w:rFonts w:cstheme="minorHAnsi"/>
        </w:rPr>
      </w:pPr>
      <w:r w:rsidRPr="009A539C">
        <w:rPr>
          <w:rFonts w:cstheme="minorHAnsi"/>
          <w:b/>
        </w:rPr>
        <w:t>PRT</w:t>
      </w:r>
      <w:r w:rsidRPr="009A539C">
        <w:rPr>
          <w:rFonts w:cstheme="minorHAnsi"/>
        </w:rPr>
        <w:t xml:space="preserve"> - Portaria de Regulamentação do Trabalho</w:t>
      </w:r>
    </w:p>
    <w:p w14:paraId="41A55E85" w14:textId="77777777" w:rsidR="00821541" w:rsidRPr="009A539C" w:rsidRDefault="00821541" w:rsidP="00821541">
      <w:pPr>
        <w:spacing w:before="120" w:after="40" w:line="360" w:lineRule="auto"/>
        <w:ind w:left="284"/>
        <w:rPr>
          <w:rFonts w:cstheme="minorHAnsi"/>
        </w:rPr>
      </w:pPr>
      <w:r w:rsidRPr="009A539C">
        <w:rPr>
          <w:rFonts w:cstheme="minorHAnsi"/>
          <w:b/>
        </w:rPr>
        <w:t xml:space="preserve">RA </w:t>
      </w:r>
      <w:r w:rsidRPr="009A539C">
        <w:rPr>
          <w:rFonts w:cstheme="minorHAnsi"/>
        </w:rPr>
        <w:t xml:space="preserve">– Região Autónoma </w:t>
      </w:r>
    </w:p>
    <w:p w14:paraId="0027DC7A" w14:textId="77777777" w:rsidR="00821541" w:rsidRPr="009A539C" w:rsidRDefault="00821541" w:rsidP="00821541">
      <w:pPr>
        <w:spacing w:before="120" w:after="40" w:line="360" w:lineRule="auto"/>
        <w:ind w:left="284"/>
        <w:rPr>
          <w:rFonts w:cstheme="minorHAnsi"/>
        </w:rPr>
      </w:pPr>
      <w:r w:rsidRPr="009A539C">
        <w:rPr>
          <w:rFonts w:cstheme="minorHAnsi"/>
          <w:b/>
        </w:rPr>
        <w:t>RCM</w:t>
      </w:r>
      <w:r w:rsidRPr="009A539C">
        <w:rPr>
          <w:rFonts w:cstheme="minorHAnsi"/>
        </w:rPr>
        <w:t xml:space="preserve"> - Resolução do Conselho de Ministros</w:t>
      </w:r>
    </w:p>
    <w:p w14:paraId="1441E4BA" w14:textId="77777777" w:rsidR="00821541" w:rsidRPr="009A539C" w:rsidRDefault="00821541" w:rsidP="00821541">
      <w:pPr>
        <w:spacing w:before="120" w:after="40" w:line="360" w:lineRule="auto"/>
        <w:ind w:left="284"/>
        <w:rPr>
          <w:rFonts w:cstheme="minorHAnsi"/>
        </w:rPr>
      </w:pPr>
      <w:r w:rsidRPr="009A539C">
        <w:rPr>
          <w:rFonts w:cstheme="minorHAnsi"/>
          <w:b/>
        </w:rPr>
        <w:t>RCTFP</w:t>
      </w:r>
      <w:r w:rsidRPr="009A539C">
        <w:rPr>
          <w:rFonts w:cstheme="minorHAnsi"/>
        </w:rPr>
        <w:t xml:space="preserve"> - Regime do Contrato de Trabalho em Funções Públicas</w:t>
      </w:r>
    </w:p>
    <w:p w14:paraId="3EF07416" w14:textId="77777777" w:rsidR="00821541" w:rsidRPr="009A539C" w:rsidRDefault="00821541" w:rsidP="00821541">
      <w:pPr>
        <w:spacing w:before="120" w:after="40" w:line="360" w:lineRule="auto"/>
        <w:ind w:left="284"/>
        <w:rPr>
          <w:rFonts w:cstheme="minorHAnsi"/>
        </w:rPr>
      </w:pPr>
      <w:r w:rsidRPr="009A539C">
        <w:rPr>
          <w:rFonts w:cstheme="minorHAnsi"/>
          <w:b/>
        </w:rPr>
        <w:t>RVCC</w:t>
      </w:r>
      <w:r w:rsidRPr="009A539C">
        <w:rPr>
          <w:rFonts w:cstheme="minorHAnsi"/>
        </w:rPr>
        <w:t xml:space="preserve"> - </w:t>
      </w:r>
      <w:r w:rsidRPr="009A539C">
        <w:rPr>
          <w:rFonts w:ascii="Arial" w:hAnsi="Arial" w:cs="Arial"/>
          <w:b/>
          <w:bCs/>
          <w:color w:val="727272"/>
          <w:shd w:val="clear" w:color="auto" w:fill="FFFFFF"/>
        </w:rPr>
        <w:t xml:space="preserve">  </w:t>
      </w:r>
      <w:r w:rsidRPr="009A539C">
        <w:rPr>
          <w:rFonts w:cstheme="minorHAnsi"/>
          <w:bCs/>
        </w:rPr>
        <w:t>Reconhecimento, Validação e Certificação de Competências</w:t>
      </w:r>
    </w:p>
    <w:p w14:paraId="29A240E6" w14:textId="211B2863" w:rsidR="00821541" w:rsidRPr="009A539C" w:rsidRDefault="00821541" w:rsidP="00821541">
      <w:pPr>
        <w:spacing w:before="120" w:after="40" w:line="360" w:lineRule="auto"/>
        <w:ind w:left="284"/>
        <w:rPr>
          <w:rFonts w:cstheme="minorHAnsi"/>
        </w:rPr>
      </w:pPr>
      <w:r w:rsidRPr="009A539C">
        <w:rPr>
          <w:rFonts w:cstheme="minorHAnsi"/>
          <w:b/>
        </w:rPr>
        <w:t xml:space="preserve">SEE </w:t>
      </w:r>
      <w:r w:rsidR="005D207C" w:rsidRPr="009A539C">
        <w:rPr>
          <w:rFonts w:cstheme="minorHAnsi"/>
        </w:rPr>
        <w:t>- Se</w:t>
      </w:r>
      <w:r w:rsidRPr="009A539C">
        <w:rPr>
          <w:rFonts w:cstheme="minorHAnsi"/>
        </w:rPr>
        <w:t>tor Empresarial do Estado</w:t>
      </w:r>
    </w:p>
    <w:p w14:paraId="50A0797E" w14:textId="700F2E09" w:rsidR="00821541" w:rsidRPr="009A539C" w:rsidRDefault="00821541" w:rsidP="00821541">
      <w:pPr>
        <w:spacing w:before="120" w:after="40" w:line="360" w:lineRule="auto"/>
        <w:ind w:left="284"/>
        <w:rPr>
          <w:rFonts w:cstheme="minorHAnsi"/>
        </w:rPr>
      </w:pPr>
      <w:r w:rsidRPr="009A539C">
        <w:rPr>
          <w:rFonts w:cstheme="minorHAnsi"/>
          <w:b/>
        </w:rPr>
        <w:t xml:space="preserve">SEL </w:t>
      </w:r>
      <w:r w:rsidR="005D207C" w:rsidRPr="009A539C">
        <w:rPr>
          <w:rFonts w:cstheme="minorHAnsi"/>
        </w:rPr>
        <w:t>- Se</w:t>
      </w:r>
      <w:r w:rsidRPr="009A539C">
        <w:rPr>
          <w:rFonts w:cstheme="minorHAnsi"/>
        </w:rPr>
        <w:t>tor Empresarial Local</w:t>
      </w:r>
    </w:p>
    <w:p w14:paraId="3761AA9E" w14:textId="77777777" w:rsidR="00821541" w:rsidRPr="009A539C" w:rsidRDefault="00821541" w:rsidP="00821541">
      <w:pPr>
        <w:spacing w:before="120" w:after="40" w:line="360" w:lineRule="auto"/>
        <w:ind w:left="284"/>
        <w:rPr>
          <w:rFonts w:cstheme="minorHAnsi"/>
        </w:rPr>
      </w:pPr>
      <w:r w:rsidRPr="009A539C">
        <w:rPr>
          <w:rFonts w:cstheme="minorHAnsi"/>
          <w:b/>
        </w:rPr>
        <w:t>STJ</w:t>
      </w:r>
      <w:r w:rsidRPr="009A539C">
        <w:rPr>
          <w:rFonts w:cstheme="minorHAnsi"/>
        </w:rPr>
        <w:t xml:space="preserve"> - Supremo Tribunal de Justiça</w:t>
      </w:r>
    </w:p>
    <w:p w14:paraId="38DB530E" w14:textId="77777777" w:rsidR="00821541" w:rsidRPr="009A539C" w:rsidRDefault="00821541" w:rsidP="00821541">
      <w:pPr>
        <w:spacing w:before="120" w:after="40" w:line="360" w:lineRule="auto"/>
        <w:ind w:left="284"/>
        <w:rPr>
          <w:rFonts w:cstheme="minorHAnsi"/>
        </w:rPr>
      </w:pPr>
      <w:r w:rsidRPr="009A539C">
        <w:rPr>
          <w:rFonts w:cstheme="minorHAnsi"/>
          <w:b/>
        </w:rPr>
        <w:t>TCO</w:t>
      </w:r>
      <w:r w:rsidRPr="009A539C">
        <w:rPr>
          <w:rFonts w:cstheme="minorHAnsi"/>
        </w:rPr>
        <w:t xml:space="preserve"> - Trabalhadores por conta de outrem</w:t>
      </w:r>
    </w:p>
    <w:p w14:paraId="510E09E4" w14:textId="77777777" w:rsidR="00821541" w:rsidRPr="009A539C" w:rsidRDefault="00821541" w:rsidP="00821541">
      <w:pPr>
        <w:spacing w:before="120" w:after="40" w:line="360" w:lineRule="auto"/>
        <w:ind w:left="284"/>
        <w:rPr>
          <w:rFonts w:cstheme="minorHAnsi"/>
        </w:rPr>
      </w:pPr>
      <w:r w:rsidRPr="009A539C">
        <w:rPr>
          <w:rFonts w:cstheme="minorHAnsi"/>
          <w:b/>
        </w:rPr>
        <w:t>TS</w:t>
      </w:r>
      <w:r w:rsidRPr="009A539C">
        <w:rPr>
          <w:rFonts w:cstheme="minorHAnsi"/>
        </w:rPr>
        <w:t xml:space="preserve"> - Trabalho Suplementar</w:t>
      </w:r>
    </w:p>
    <w:p w14:paraId="10D568B5" w14:textId="77777777" w:rsidR="00821541" w:rsidRPr="009A539C" w:rsidRDefault="00821541">
      <w:pPr>
        <w:rPr>
          <w:rFonts w:ascii="Calibri" w:hAnsi="Calibri" w:cs="Calibri"/>
        </w:rPr>
      </w:pPr>
    </w:p>
    <w:p w14:paraId="661EA9FD" w14:textId="77777777" w:rsidR="00821541" w:rsidRPr="009A539C" w:rsidRDefault="00821541">
      <w:pPr>
        <w:rPr>
          <w:rFonts w:ascii="Calibri" w:hAnsi="Calibri" w:cs="Calibri"/>
        </w:rPr>
      </w:pPr>
    </w:p>
    <w:p w14:paraId="416C3EA1" w14:textId="77777777" w:rsidR="00821541" w:rsidRPr="009A539C" w:rsidRDefault="00821541">
      <w:pPr>
        <w:rPr>
          <w:rFonts w:ascii="Calibri" w:hAnsi="Calibri" w:cs="Calibri"/>
        </w:rPr>
      </w:pPr>
    </w:p>
    <w:p w14:paraId="70AB79A8" w14:textId="77777777" w:rsidR="00821541" w:rsidRPr="009A539C" w:rsidRDefault="00821541">
      <w:pPr>
        <w:rPr>
          <w:rFonts w:ascii="Calibri" w:hAnsi="Calibri" w:cs="Calibri"/>
        </w:rPr>
      </w:pPr>
    </w:p>
    <w:p w14:paraId="26B3FDA3" w14:textId="77777777" w:rsidR="00821541" w:rsidRPr="009A539C" w:rsidRDefault="00821541">
      <w:pPr>
        <w:rPr>
          <w:rFonts w:ascii="Calibri" w:hAnsi="Calibri" w:cs="Calibri"/>
        </w:rPr>
      </w:pPr>
    </w:p>
    <w:p w14:paraId="2A32601D" w14:textId="2BB451C1" w:rsidR="00B4129D" w:rsidRPr="009A539C" w:rsidRDefault="005E7447" w:rsidP="00041A5C">
      <w:pPr>
        <w:pStyle w:val="Cabealho1"/>
        <w:ind w:right="-1"/>
        <w:rPr>
          <w:rFonts w:ascii="Calibri" w:hAnsi="Calibri" w:cs="Calibri"/>
          <w:color w:val="auto"/>
        </w:rPr>
      </w:pPr>
      <w:bookmarkStart w:id="19" w:name="_Toc45535676"/>
      <w:r w:rsidRPr="009A539C">
        <w:rPr>
          <w:rFonts w:ascii="Calibri" w:hAnsi="Calibri" w:cs="Calibri"/>
          <w:color w:val="auto"/>
        </w:rPr>
        <w:t>INTRODUÇÃO</w:t>
      </w:r>
      <w:bookmarkEnd w:id="17"/>
      <w:bookmarkEnd w:id="19"/>
    </w:p>
    <w:p w14:paraId="51DAEA65" w14:textId="77777777" w:rsidR="00812E65" w:rsidRPr="009A539C" w:rsidRDefault="00812E65" w:rsidP="00B4129D">
      <w:pPr>
        <w:spacing w:after="0" w:line="360" w:lineRule="auto"/>
        <w:jc w:val="both"/>
        <w:rPr>
          <w:rFonts w:eastAsia="Cambria" w:cstheme="minorHAnsi"/>
        </w:rPr>
      </w:pPr>
    </w:p>
    <w:p w14:paraId="699DF527" w14:textId="3A0E4E34" w:rsidR="00B4129D" w:rsidRPr="009A539C" w:rsidRDefault="00B4129D" w:rsidP="00B4129D">
      <w:pPr>
        <w:spacing w:after="0" w:line="360" w:lineRule="auto"/>
        <w:jc w:val="both"/>
        <w:rPr>
          <w:rFonts w:eastAsia="Cambria" w:cstheme="minorHAnsi"/>
        </w:rPr>
      </w:pPr>
      <w:r w:rsidRPr="009A539C">
        <w:rPr>
          <w:rFonts w:eastAsia="Cambria" w:cstheme="minorHAnsi"/>
        </w:rPr>
        <w:t xml:space="preserve">O Centro de Relações Laborais (CRL) é um organismo público criado pelo Decreto-Lei n.º 189/2012, de 22 de agosto. Trata-se de um órgão colegial, de caráter tripartido, constituído por quatro representantes do Ministério responsável pela área laboral, um representante de cada uma das Associações de Empregadores com assento na Comissão Permanente de Concertação Social (CPCS), e dois representantes de cada uma das Associações Sindicais com assento na mesma Comissão. A sua presidência é assumida anualmente de forma rotativa por um dos seus membros. </w:t>
      </w:r>
    </w:p>
    <w:p w14:paraId="6BD2BF5E" w14:textId="77777777" w:rsidR="00B4129D" w:rsidRPr="009A539C" w:rsidRDefault="00B4129D" w:rsidP="00B4129D">
      <w:pPr>
        <w:spacing w:after="0" w:line="360" w:lineRule="auto"/>
        <w:jc w:val="both"/>
        <w:rPr>
          <w:rFonts w:eastAsia="Cambria" w:cstheme="minorHAnsi"/>
        </w:rPr>
      </w:pPr>
    </w:p>
    <w:p w14:paraId="0F047010" w14:textId="77777777" w:rsidR="00B4129D" w:rsidRPr="009A539C" w:rsidRDefault="00B4129D" w:rsidP="00B4129D">
      <w:pPr>
        <w:spacing w:after="0" w:line="360" w:lineRule="auto"/>
        <w:jc w:val="both"/>
        <w:rPr>
          <w:rFonts w:eastAsia="Cambria" w:cstheme="minorHAnsi"/>
        </w:rPr>
      </w:pPr>
      <w:r w:rsidRPr="009A539C">
        <w:rPr>
          <w:rFonts w:eastAsia="Cambria" w:cstheme="minorHAnsi"/>
        </w:rPr>
        <w:t>Em conformidade com o previsto na lei orgânica e no regulamento interno, o CRL realiza anualmente  um Relatório anual sobre a evolução da Negociação Coletiva, nesta edição, centrada em 2019.</w:t>
      </w:r>
    </w:p>
    <w:p w14:paraId="384BD37B" w14:textId="77777777" w:rsidR="00B4129D" w:rsidRPr="009A539C" w:rsidRDefault="00B4129D" w:rsidP="00B4129D">
      <w:pPr>
        <w:spacing w:after="0" w:line="360" w:lineRule="auto"/>
        <w:jc w:val="both"/>
        <w:rPr>
          <w:rFonts w:eastAsia="Cambria" w:cstheme="minorHAnsi"/>
        </w:rPr>
      </w:pPr>
    </w:p>
    <w:p w14:paraId="4FFCDBF7" w14:textId="77777777" w:rsidR="00B4129D" w:rsidRPr="009A539C" w:rsidRDefault="00B4129D" w:rsidP="00B4129D">
      <w:pPr>
        <w:spacing w:after="0" w:line="360" w:lineRule="auto"/>
        <w:jc w:val="both"/>
        <w:rPr>
          <w:rFonts w:eastAsia="Cambria" w:cstheme="minorHAnsi"/>
        </w:rPr>
      </w:pPr>
      <w:r w:rsidRPr="009A539C">
        <w:rPr>
          <w:rFonts w:eastAsia="Cambria" w:cstheme="minorHAnsi"/>
        </w:rPr>
        <w:t xml:space="preserve">Trata-se  do quinto ano consecutivo em que este trabalho  é realizado, seguindo idêntica matriz de análise, estrutura, fontes e os critérios, o que permite  ter uma panorâmica aprofundada  da dinâmica da contratação coletiva, segundo parâmetros não só quantitativos, como também qualitativos.  </w:t>
      </w:r>
    </w:p>
    <w:p w14:paraId="328F7B1B" w14:textId="77777777" w:rsidR="00B4129D" w:rsidRPr="009A539C" w:rsidRDefault="00B4129D" w:rsidP="00B4129D">
      <w:pPr>
        <w:spacing w:after="0" w:line="360" w:lineRule="auto"/>
        <w:jc w:val="both"/>
        <w:rPr>
          <w:rFonts w:eastAsia="Cambria" w:cstheme="minorHAnsi"/>
        </w:rPr>
      </w:pPr>
    </w:p>
    <w:p w14:paraId="4572959F" w14:textId="77777777" w:rsidR="00B4129D" w:rsidRPr="009A539C" w:rsidRDefault="00B4129D" w:rsidP="00B4129D">
      <w:pPr>
        <w:spacing w:after="0" w:line="360" w:lineRule="auto"/>
        <w:jc w:val="both"/>
        <w:rPr>
          <w:rFonts w:eastAsia="Cambria" w:cstheme="minorHAnsi"/>
        </w:rPr>
      </w:pPr>
      <w:r w:rsidRPr="009A539C">
        <w:rPr>
          <w:rFonts w:eastAsia="Cambria" w:cstheme="minorHAnsi"/>
        </w:rPr>
        <w:t xml:space="preserve">Este trabalho é o resultado de um processo participado, que beneficia do envolvimento de um conjunto alargado de agentes. Assim, é assegurado: </w:t>
      </w:r>
    </w:p>
    <w:p w14:paraId="57E2D44B" w14:textId="77777777" w:rsidR="00B4129D" w:rsidRPr="009A539C" w:rsidRDefault="00B4129D" w:rsidP="00AF188D">
      <w:pPr>
        <w:numPr>
          <w:ilvl w:val="0"/>
          <w:numId w:val="58"/>
        </w:numPr>
        <w:spacing w:after="0" w:line="360" w:lineRule="auto"/>
        <w:ind w:left="426" w:hanging="426"/>
        <w:contextualSpacing/>
        <w:jc w:val="both"/>
        <w:rPr>
          <w:rFonts w:ascii="Calibri" w:eastAsia="Cambria" w:hAnsi="Calibri" w:cstheme="minorHAnsi"/>
        </w:rPr>
      </w:pPr>
      <w:r w:rsidRPr="009A539C">
        <w:rPr>
          <w:rFonts w:ascii="Calibri" w:eastAsia="Cambria" w:hAnsi="Calibri" w:cstheme="minorHAnsi"/>
        </w:rPr>
        <w:t xml:space="preserve">o acompanhamento e aprovação pelo Plenário do CRL; </w:t>
      </w:r>
    </w:p>
    <w:p w14:paraId="33F731CA" w14:textId="77777777" w:rsidR="00B4129D" w:rsidRPr="009A539C" w:rsidRDefault="00B4129D" w:rsidP="00AF188D">
      <w:pPr>
        <w:numPr>
          <w:ilvl w:val="0"/>
          <w:numId w:val="58"/>
        </w:numPr>
        <w:spacing w:after="0" w:line="360" w:lineRule="auto"/>
        <w:ind w:left="426" w:hanging="426"/>
        <w:contextualSpacing/>
        <w:jc w:val="both"/>
        <w:rPr>
          <w:rFonts w:ascii="Calibri" w:eastAsia="Cambria" w:hAnsi="Calibri" w:cstheme="minorHAnsi"/>
        </w:rPr>
      </w:pPr>
      <w:r w:rsidRPr="009A539C">
        <w:rPr>
          <w:rFonts w:ascii="Calibri" w:eastAsia="Cambria" w:hAnsi="Calibri" w:cstheme="minorHAnsi"/>
        </w:rPr>
        <w:t>o apoio da Comissão Científica constituída por cinco membros, pertencentes à Comunidade Académica;</w:t>
      </w:r>
    </w:p>
    <w:p w14:paraId="2D3DE57B" w14:textId="77777777" w:rsidR="00B4129D" w:rsidRPr="009A539C" w:rsidRDefault="00B4129D" w:rsidP="00AF188D">
      <w:pPr>
        <w:numPr>
          <w:ilvl w:val="0"/>
          <w:numId w:val="58"/>
        </w:numPr>
        <w:spacing w:after="0" w:line="360" w:lineRule="auto"/>
        <w:ind w:left="426" w:hanging="426"/>
        <w:contextualSpacing/>
        <w:jc w:val="both"/>
        <w:rPr>
          <w:rFonts w:ascii="Calibri" w:eastAsia="Cambria" w:hAnsi="Calibri" w:cstheme="minorHAnsi"/>
        </w:rPr>
      </w:pPr>
      <w:r w:rsidRPr="009A539C">
        <w:rPr>
          <w:rFonts w:ascii="Calibri" w:eastAsia="Cambria" w:hAnsi="Calibri" w:cstheme="minorHAnsi"/>
        </w:rPr>
        <w:t>a coordenação científica de um especialista/professor universitário em direito do trabalho;</w:t>
      </w:r>
    </w:p>
    <w:p w14:paraId="3A996405" w14:textId="77777777" w:rsidR="00B4129D" w:rsidRPr="009A539C" w:rsidRDefault="00B4129D" w:rsidP="00AF188D">
      <w:pPr>
        <w:numPr>
          <w:ilvl w:val="0"/>
          <w:numId w:val="58"/>
        </w:numPr>
        <w:spacing w:after="0" w:line="360" w:lineRule="auto"/>
        <w:ind w:left="426" w:hanging="426"/>
        <w:contextualSpacing/>
        <w:jc w:val="both"/>
        <w:rPr>
          <w:rFonts w:ascii="Calibri" w:eastAsia="Cambria" w:hAnsi="Calibri" w:cstheme="minorHAnsi"/>
        </w:rPr>
      </w:pPr>
      <w:r w:rsidRPr="009A539C">
        <w:rPr>
          <w:rFonts w:ascii="Calibri" w:eastAsia="Cambria" w:hAnsi="Calibri" w:cstheme="minorHAnsi"/>
        </w:rPr>
        <w:t>a elaboração pela equipa técnica do CRL, em colaboração com o perito.</w:t>
      </w:r>
    </w:p>
    <w:p w14:paraId="299EE078" w14:textId="77777777" w:rsidR="00B4129D" w:rsidRPr="009A539C" w:rsidRDefault="00B4129D" w:rsidP="00B4129D">
      <w:pPr>
        <w:spacing w:after="0" w:line="360" w:lineRule="auto"/>
        <w:ind w:left="426" w:hanging="426"/>
        <w:jc w:val="both"/>
        <w:rPr>
          <w:rFonts w:eastAsia="Cambria" w:cstheme="minorHAnsi"/>
        </w:rPr>
      </w:pPr>
      <w:r w:rsidRPr="009A539C">
        <w:rPr>
          <w:rFonts w:eastAsia="Cambria" w:cstheme="minorHAnsi"/>
        </w:rPr>
        <w:t xml:space="preserve"> </w:t>
      </w:r>
    </w:p>
    <w:p w14:paraId="4F162E77" w14:textId="75E20C95" w:rsidR="00B4129D" w:rsidRPr="009A539C" w:rsidRDefault="003466A0" w:rsidP="00B4129D">
      <w:pPr>
        <w:spacing w:after="0" w:line="360" w:lineRule="auto"/>
        <w:ind w:left="426" w:hanging="426"/>
        <w:jc w:val="both"/>
        <w:rPr>
          <w:rFonts w:eastAsia="Cambria" w:cstheme="minorHAnsi"/>
        </w:rPr>
      </w:pPr>
      <w:r w:rsidRPr="009A539C">
        <w:rPr>
          <w:rFonts w:eastAsia="Cambria" w:cstheme="minorHAnsi"/>
        </w:rPr>
        <w:t xml:space="preserve">Durante a sua </w:t>
      </w:r>
      <w:r w:rsidR="00B4129D" w:rsidRPr="009A539C">
        <w:rPr>
          <w:rFonts w:eastAsia="Cambria" w:cstheme="minorHAnsi"/>
        </w:rPr>
        <w:t>elaboração o</w:t>
      </w:r>
      <w:r w:rsidRPr="009A539C">
        <w:rPr>
          <w:rFonts w:eastAsia="Cambria" w:cstheme="minorHAnsi"/>
        </w:rPr>
        <w:t xml:space="preserve"> relatório percorreu as etapas </w:t>
      </w:r>
      <w:r w:rsidR="00B4129D" w:rsidRPr="009A539C">
        <w:rPr>
          <w:rFonts w:eastAsia="Cambria" w:cstheme="minorHAnsi"/>
        </w:rPr>
        <w:t xml:space="preserve">dos relatórios precedentes: </w:t>
      </w:r>
    </w:p>
    <w:p w14:paraId="21016107" w14:textId="77777777" w:rsidR="00B4129D" w:rsidRPr="009A539C" w:rsidRDefault="00B4129D" w:rsidP="00AF188D">
      <w:pPr>
        <w:numPr>
          <w:ilvl w:val="0"/>
          <w:numId w:val="58"/>
        </w:numPr>
        <w:spacing w:after="0" w:line="360" w:lineRule="auto"/>
        <w:ind w:left="426" w:hanging="426"/>
        <w:contextualSpacing/>
        <w:jc w:val="both"/>
        <w:rPr>
          <w:rFonts w:ascii="Calibri" w:eastAsia="Cambria" w:hAnsi="Calibri" w:cstheme="minorHAnsi"/>
        </w:rPr>
      </w:pPr>
      <w:r w:rsidRPr="009A539C">
        <w:rPr>
          <w:rFonts w:ascii="Calibri" w:eastAsia="Cambria" w:hAnsi="Calibri" w:cstheme="minorHAnsi"/>
        </w:rPr>
        <w:t xml:space="preserve">foi aprovado o Roteiro, sempre com a perspetiva da elaboração de um relatório o mais completo possível, equilibrado no conteúdo e com informação relevante; </w:t>
      </w:r>
    </w:p>
    <w:p w14:paraId="4CF3FC32" w14:textId="77777777" w:rsidR="00B4129D" w:rsidRPr="009A539C" w:rsidRDefault="00B4129D" w:rsidP="00AF188D">
      <w:pPr>
        <w:numPr>
          <w:ilvl w:val="0"/>
          <w:numId w:val="58"/>
        </w:numPr>
        <w:spacing w:after="0" w:line="360" w:lineRule="auto"/>
        <w:ind w:left="426" w:hanging="426"/>
        <w:contextualSpacing/>
        <w:jc w:val="both"/>
        <w:rPr>
          <w:rFonts w:ascii="Calibri" w:eastAsia="Cambria" w:hAnsi="Calibri" w:cstheme="minorHAnsi"/>
        </w:rPr>
      </w:pPr>
      <w:r w:rsidRPr="009A539C">
        <w:rPr>
          <w:rFonts w:ascii="Calibri" w:eastAsia="Cambria" w:hAnsi="Calibri" w:cstheme="minorHAnsi"/>
        </w:rPr>
        <w:t xml:space="preserve"> foi elaborada uma versão preliminar, cujos comentários e sugestões dos membros e da Comissão Científica constituíram um contributo da maior importância na elaboração da versão final. </w:t>
      </w:r>
    </w:p>
    <w:p w14:paraId="471EDBE9" w14:textId="77777777" w:rsidR="00B4129D" w:rsidRPr="009A539C" w:rsidRDefault="00B4129D" w:rsidP="00B4129D">
      <w:pPr>
        <w:spacing w:after="0" w:line="360" w:lineRule="auto"/>
        <w:ind w:left="426" w:hanging="426"/>
        <w:jc w:val="both"/>
        <w:rPr>
          <w:rFonts w:eastAsia="Cambria" w:cstheme="minorHAnsi"/>
        </w:rPr>
      </w:pPr>
    </w:p>
    <w:p w14:paraId="05E75A02" w14:textId="77777777" w:rsidR="00B4129D" w:rsidRPr="009A539C" w:rsidRDefault="00B4129D" w:rsidP="00B4129D">
      <w:pPr>
        <w:spacing w:after="0" w:line="360" w:lineRule="auto"/>
        <w:ind w:left="426" w:hanging="426"/>
        <w:jc w:val="both"/>
        <w:rPr>
          <w:rFonts w:eastAsia="Cambria" w:cstheme="minorHAnsi"/>
        </w:rPr>
      </w:pPr>
      <w:r w:rsidRPr="009A539C">
        <w:rPr>
          <w:rFonts w:eastAsia="Cambria" w:cstheme="minorHAnsi"/>
        </w:rPr>
        <w:t xml:space="preserve">Em grandes linhas, no relatório, sobressaem alguns pontos que importa realçar: </w:t>
      </w:r>
    </w:p>
    <w:p w14:paraId="1774A278" w14:textId="77777777" w:rsidR="00B4129D" w:rsidRPr="009A539C" w:rsidRDefault="00B4129D" w:rsidP="00AF188D">
      <w:pPr>
        <w:numPr>
          <w:ilvl w:val="0"/>
          <w:numId w:val="58"/>
        </w:numPr>
        <w:spacing w:after="0" w:line="360" w:lineRule="auto"/>
        <w:ind w:left="426" w:hanging="426"/>
        <w:contextualSpacing/>
        <w:jc w:val="both"/>
        <w:rPr>
          <w:rFonts w:ascii="Calibri" w:eastAsia="Cambria" w:hAnsi="Calibri" w:cstheme="minorHAnsi"/>
          <w:strike/>
        </w:rPr>
      </w:pPr>
      <w:r w:rsidRPr="009A539C">
        <w:rPr>
          <w:rFonts w:ascii="Calibri" w:eastAsia="Cambria" w:hAnsi="Calibri" w:cstheme="minorHAnsi"/>
        </w:rPr>
        <w:t xml:space="preserve">o aumento do número de IRCT publicados, embora  o número de trabalhadores abrangidos pela negociação coletiva publicada em 2019, tenha retraído ligeiramente, face ao anterior ; </w:t>
      </w:r>
    </w:p>
    <w:p w14:paraId="7089A1B8" w14:textId="77777777" w:rsidR="00B4129D" w:rsidRPr="009A539C" w:rsidRDefault="00B4129D" w:rsidP="00AF188D">
      <w:pPr>
        <w:numPr>
          <w:ilvl w:val="0"/>
          <w:numId w:val="58"/>
        </w:numPr>
        <w:spacing w:after="0" w:line="360" w:lineRule="auto"/>
        <w:ind w:left="426" w:hanging="426"/>
        <w:contextualSpacing/>
        <w:jc w:val="both"/>
        <w:rPr>
          <w:rFonts w:ascii="Calibri" w:eastAsia="Cambria" w:hAnsi="Calibri" w:cstheme="minorHAnsi"/>
        </w:rPr>
      </w:pPr>
      <w:r w:rsidRPr="009A539C">
        <w:rPr>
          <w:rFonts w:ascii="Calibri" w:eastAsia="Cambria" w:hAnsi="Calibri" w:cstheme="minorHAnsi"/>
        </w:rPr>
        <w:t>no conjunto dos IRCT do ano, sobressai o peso das revisões parciais, que versa  sobretudo  aspetos remuneratórios;</w:t>
      </w:r>
    </w:p>
    <w:p w14:paraId="6B0DFEA9" w14:textId="77777777" w:rsidR="00B4129D" w:rsidRPr="009A539C" w:rsidRDefault="00B4129D" w:rsidP="00AF188D">
      <w:pPr>
        <w:numPr>
          <w:ilvl w:val="0"/>
          <w:numId w:val="58"/>
        </w:numPr>
        <w:spacing w:after="0" w:line="360" w:lineRule="auto"/>
        <w:ind w:left="426" w:hanging="426"/>
        <w:contextualSpacing/>
        <w:jc w:val="both"/>
        <w:rPr>
          <w:rFonts w:ascii="Calibri" w:eastAsia="Cambria" w:hAnsi="Calibri" w:cstheme="minorHAnsi"/>
        </w:rPr>
      </w:pPr>
      <w:r w:rsidRPr="009A539C">
        <w:rPr>
          <w:rFonts w:ascii="Calibri" w:hAnsi="Calibri" w:cstheme="minorHAnsi"/>
        </w:rPr>
        <w:t xml:space="preserve">Em matéria de remunerações, merece destaque a redução do </w:t>
      </w:r>
      <w:r w:rsidRPr="009A539C">
        <w:rPr>
          <w:rFonts w:ascii="Calibri" w:eastAsia="Calibri" w:hAnsi="Calibri" w:cstheme="minorHAnsi"/>
        </w:rPr>
        <w:t xml:space="preserve">período médio </w:t>
      </w:r>
      <w:r w:rsidRPr="009A539C">
        <w:rPr>
          <w:rFonts w:ascii="Calibri" w:eastAsia="Calibri" w:hAnsi="Calibri" w:cstheme="minorHAnsi"/>
          <w:bCs/>
          <w:iCs/>
        </w:rPr>
        <w:t xml:space="preserve">de eficácia </w:t>
      </w:r>
      <w:r w:rsidRPr="009A539C">
        <w:rPr>
          <w:rFonts w:ascii="Calibri" w:eastAsia="Calibri" w:hAnsi="Calibri" w:cstheme="minorHAnsi"/>
        </w:rPr>
        <w:t xml:space="preserve">das tabelas salariais anteriores para 16,3 meses, face a 22,5 meses em 2018, e uma </w:t>
      </w:r>
      <w:r w:rsidRPr="009A539C">
        <w:rPr>
          <w:rFonts w:ascii="Calibri" w:eastAsia="Calibri" w:hAnsi="Calibri" w:cstheme="minorHAnsi"/>
          <w:lang w:eastAsia="pt-PT"/>
        </w:rPr>
        <w:t xml:space="preserve">variação salarial média nominal anualizada intertabelas de 4,4%, prosseguindo a subida iniciada em 2016. </w:t>
      </w:r>
    </w:p>
    <w:p w14:paraId="12EF8C1D" w14:textId="77777777" w:rsidR="00B4129D" w:rsidRPr="009A539C" w:rsidRDefault="00B4129D" w:rsidP="00AF188D">
      <w:pPr>
        <w:numPr>
          <w:ilvl w:val="0"/>
          <w:numId w:val="58"/>
        </w:numPr>
        <w:spacing w:after="0" w:line="360" w:lineRule="auto"/>
        <w:ind w:left="426" w:hanging="426"/>
        <w:contextualSpacing/>
        <w:jc w:val="both"/>
        <w:rPr>
          <w:rFonts w:ascii="Calibri" w:hAnsi="Calibri" w:cstheme="minorHAnsi"/>
        </w:rPr>
      </w:pPr>
      <w:r w:rsidRPr="009A539C">
        <w:rPr>
          <w:rFonts w:ascii="Calibri" w:hAnsi="Calibri" w:cstheme="minorHAnsi"/>
        </w:rPr>
        <w:t>dedica-se, pela primeira vez, um capítulo à análise do conjunto de Regulamentos e acordos complementares para os quais as convenções coletivas remetem para regulação posterior correspondente, em regra,  a regulamentos internos ou acordos complementares.</w:t>
      </w:r>
    </w:p>
    <w:p w14:paraId="0ADEEB9C" w14:textId="77777777" w:rsidR="00B4129D" w:rsidRPr="009A539C" w:rsidRDefault="00B4129D" w:rsidP="00B4129D">
      <w:pPr>
        <w:spacing w:after="0" w:line="360" w:lineRule="auto"/>
        <w:jc w:val="both"/>
        <w:rPr>
          <w:rFonts w:eastAsia="Cambria" w:cstheme="minorHAnsi"/>
        </w:rPr>
      </w:pPr>
    </w:p>
    <w:p w14:paraId="2501868E" w14:textId="77777777" w:rsidR="00B4129D" w:rsidRPr="009A539C" w:rsidRDefault="00B4129D" w:rsidP="00B4129D">
      <w:pPr>
        <w:spacing w:after="0" w:line="360" w:lineRule="auto"/>
        <w:jc w:val="both"/>
        <w:rPr>
          <w:rFonts w:eastAsia="Cambria" w:cstheme="minorHAnsi"/>
        </w:rPr>
      </w:pPr>
      <w:r w:rsidRPr="009A539C">
        <w:rPr>
          <w:rFonts w:eastAsia="Cambria" w:cstheme="minorHAnsi"/>
        </w:rPr>
        <w:t xml:space="preserve">O ano 2019 foi particularmente fértil em alterações legislativas com impacto na contratação coletiva, quer no plano nacional, quer ao nível do direito europeu. O relatório, para além de enunciar as principais alterações normativas, desenvolve as suas conexões com a contratação coletiva e particulariza as alterações legais que podem ter impacto no perfil de vários institutos jurídicos habitualmente disciplinados em convenção coletiva.  </w:t>
      </w:r>
    </w:p>
    <w:p w14:paraId="4693C8FB" w14:textId="77777777" w:rsidR="00B4129D" w:rsidRPr="009A539C" w:rsidRDefault="00B4129D" w:rsidP="00B4129D">
      <w:pPr>
        <w:spacing w:after="0" w:line="360" w:lineRule="auto"/>
        <w:jc w:val="both"/>
        <w:rPr>
          <w:rFonts w:eastAsia="Cambria" w:cstheme="minorHAnsi"/>
        </w:rPr>
      </w:pPr>
    </w:p>
    <w:p w14:paraId="2E922565" w14:textId="77777777" w:rsidR="00B4129D" w:rsidRPr="009A539C" w:rsidRDefault="00B4129D" w:rsidP="00B4129D">
      <w:pPr>
        <w:spacing w:after="0" w:line="360" w:lineRule="auto"/>
        <w:jc w:val="both"/>
        <w:rPr>
          <w:rFonts w:eastAsia="Cambria" w:cstheme="minorHAnsi"/>
        </w:rPr>
      </w:pPr>
      <w:r w:rsidRPr="009A539C">
        <w:rPr>
          <w:rFonts w:eastAsia="Cambria" w:cstheme="minorHAnsi"/>
        </w:rPr>
        <w:t xml:space="preserve">No plano da metodologia para aprovação deste Relatório importa destacar que: </w:t>
      </w:r>
    </w:p>
    <w:p w14:paraId="37B14FDC" w14:textId="77777777" w:rsidR="00B4129D" w:rsidRPr="009A539C" w:rsidRDefault="00B4129D" w:rsidP="00AF188D">
      <w:pPr>
        <w:numPr>
          <w:ilvl w:val="0"/>
          <w:numId w:val="58"/>
        </w:numPr>
        <w:spacing w:after="0" w:line="360" w:lineRule="auto"/>
        <w:ind w:left="426" w:hanging="426"/>
        <w:jc w:val="both"/>
        <w:rPr>
          <w:rFonts w:ascii="Calibri" w:eastAsia="Cambria" w:hAnsi="Calibri" w:cstheme="minorHAnsi"/>
        </w:rPr>
      </w:pPr>
      <w:r w:rsidRPr="009A539C">
        <w:rPr>
          <w:rFonts w:ascii="Calibri" w:eastAsia="Cambria" w:hAnsi="Calibri" w:cstheme="minorHAnsi"/>
        </w:rPr>
        <w:t>esta introdução, sob a responsabilidade do CRL, foi discutida e aprovada pelo Plenário;</w:t>
      </w:r>
    </w:p>
    <w:p w14:paraId="28517F4B" w14:textId="77777777" w:rsidR="00B4129D" w:rsidRPr="009A539C" w:rsidRDefault="00B4129D" w:rsidP="00AF188D">
      <w:pPr>
        <w:numPr>
          <w:ilvl w:val="0"/>
          <w:numId w:val="58"/>
        </w:numPr>
        <w:spacing w:after="0" w:line="360" w:lineRule="auto"/>
        <w:ind w:left="426" w:hanging="426"/>
        <w:jc w:val="both"/>
        <w:rPr>
          <w:rFonts w:ascii="Calibri" w:eastAsia="Cambria" w:hAnsi="Calibri" w:cstheme="minorHAnsi"/>
        </w:rPr>
      </w:pPr>
      <w:r w:rsidRPr="009A539C">
        <w:rPr>
          <w:rFonts w:ascii="Calibri" w:eastAsia="Cambria" w:hAnsi="Calibri" w:cstheme="minorHAnsi"/>
        </w:rPr>
        <w:t xml:space="preserve">o Relatório sobre a negociação coletiva, da responsabilidade do Coordenador Científico e da Coordenadora Executiva do CRL e restante equipa técnica, foi ratificado pelo CRL. </w:t>
      </w:r>
    </w:p>
    <w:p w14:paraId="598D27F4" w14:textId="77777777" w:rsidR="00B4129D" w:rsidRPr="009A539C" w:rsidRDefault="00B4129D" w:rsidP="00B4129D">
      <w:pPr>
        <w:spacing w:after="0" w:line="360" w:lineRule="auto"/>
        <w:jc w:val="both"/>
        <w:rPr>
          <w:rFonts w:eastAsia="Cambria" w:cstheme="minorHAnsi"/>
        </w:rPr>
      </w:pPr>
    </w:p>
    <w:p w14:paraId="17428EF7" w14:textId="77777777" w:rsidR="00B4129D" w:rsidRPr="009A539C" w:rsidRDefault="00B4129D" w:rsidP="00B4129D">
      <w:pPr>
        <w:spacing w:after="0" w:line="360" w:lineRule="auto"/>
        <w:jc w:val="both"/>
        <w:rPr>
          <w:rFonts w:eastAsia="Cambria" w:cstheme="minorHAnsi"/>
        </w:rPr>
      </w:pPr>
      <w:r w:rsidRPr="009A539C">
        <w:rPr>
          <w:rFonts w:eastAsia="Cambria" w:cstheme="minorHAnsi"/>
        </w:rPr>
        <w:t xml:space="preserve">Além disso, foi deliberado anexar ao Relatório: </w:t>
      </w:r>
    </w:p>
    <w:p w14:paraId="6F734C9B" w14:textId="77777777" w:rsidR="00B4129D" w:rsidRPr="009A539C" w:rsidRDefault="00B4129D" w:rsidP="00AF188D">
      <w:pPr>
        <w:numPr>
          <w:ilvl w:val="0"/>
          <w:numId w:val="58"/>
        </w:numPr>
        <w:spacing w:after="0" w:line="360" w:lineRule="auto"/>
        <w:ind w:left="426" w:hanging="426"/>
        <w:jc w:val="both"/>
        <w:rPr>
          <w:rFonts w:ascii="Calibri" w:eastAsia="Cambria" w:hAnsi="Calibri" w:cstheme="minorHAnsi"/>
        </w:rPr>
      </w:pPr>
      <w:r w:rsidRPr="009A539C">
        <w:rPr>
          <w:rFonts w:ascii="Calibri" w:eastAsia="Cambria" w:hAnsi="Calibri" w:cstheme="minorHAnsi"/>
        </w:rPr>
        <w:t xml:space="preserve">os comentários individuais dos Membros do CRL que assim o entenderam; </w:t>
      </w:r>
    </w:p>
    <w:p w14:paraId="354EBCF6" w14:textId="77777777" w:rsidR="00B4129D" w:rsidRPr="009A539C" w:rsidRDefault="00B4129D" w:rsidP="00AF188D">
      <w:pPr>
        <w:numPr>
          <w:ilvl w:val="0"/>
          <w:numId w:val="58"/>
        </w:numPr>
        <w:spacing w:after="0" w:line="360" w:lineRule="auto"/>
        <w:ind w:left="426" w:hanging="426"/>
        <w:jc w:val="both"/>
        <w:rPr>
          <w:rFonts w:ascii="Calibri" w:eastAsia="Cambria" w:hAnsi="Calibri" w:cstheme="minorHAnsi"/>
        </w:rPr>
      </w:pPr>
      <w:r w:rsidRPr="009A539C">
        <w:rPr>
          <w:rFonts w:ascii="Calibri" w:eastAsia="Cambria" w:hAnsi="Calibri" w:cstheme="minorHAnsi"/>
        </w:rPr>
        <w:t xml:space="preserve">o Parecer Conjunto da Comissão Científica. </w:t>
      </w:r>
    </w:p>
    <w:p w14:paraId="28B3FD83" w14:textId="77777777" w:rsidR="00B4129D" w:rsidRPr="009A539C" w:rsidRDefault="00B4129D" w:rsidP="00B4129D">
      <w:pPr>
        <w:spacing w:after="0" w:line="360" w:lineRule="auto"/>
        <w:jc w:val="both"/>
        <w:rPr>
          <w:rFonts w:eastAsia="Cambria" w:cstheme="minorHAnsi"/>
        </w:rPr>
      </w:pPr>
    </w:p>
    <w:p w14:paraId="1C1163C2" w14:textId="77777777" w:rsidR="00B4129D" w:rsidRPr="009A539C" w:rsidRDefault="00B4129D" w:rsidP="00B4129D">
      <w:pPr>
        <w:spacing w:after="0" w:line="360" w:lineRule="auto"/>
        <w:jc w:val="both"/>
        <w:rPr>
          <w:rFonts w:eastAsia="Cambria" w:cstheme="minorHAnsi"/>
        </w:rPr>
      </w:pPr>
      <w:r w:rsidRPr="009A539C">
        <w:rPr>
          <w:rFonts w:eastAsia="Cambria" w:cstheme="minorHAnsi"/>
        </w:rPr>
        <w:t>Finalmente, cumpre agradecer a todos os que de uma forma ou de outra contribuíram para a elaboração do Relatório e, em particular, a cooperação recebida de organismos da Administração Pública, nomeadamente, o Instituto do Emprego e Formação Profissional, I.P., a Direcção-Geral da Administração e do Emprego Público, a Direcção-Geral do Emprego e das Relações de Trabalho e o Gabinete de Estratégia e Planeamento.</w:t>
      </w:r>
    </w:p>
    <w:p w14:paraId="622CC2CC" w14:textId="77777777" w:rsidR="00B4129D" w:rsidRPr="009A539C" w:rsidRDefault="00B4129D" w:rsidP="00B4129D">
      <w:pPr>
        <w:spacing w:after="0" w:line="360" w:lineRule="auto"/>
        <w:jc w:val="both"/>
        <w:rPr>
          <w:rFonts w:eastAsia="Cambria" w:cstheme="minorHAnsi"/>
        </w:rPr>
      </w:pPr>
    </w:p>
    <w:p w14:paraId="6A39E439" w14:textId="77777777" w:rsidR="00B4129D" w:rsidRPr="009A539C" w:rsidRDefault="00B4129D" w:rsidP="00B4129D">
      <w:pPr>
        <w:spacing w:after="0" w:line="360" w:lineRule="auto"/>
        <w:jc w:val="both"/>
        <w:rPr>
          <w:rFonts w:eastAsia="Cambria" w:cstheme="minorHAnsi"/>
        </w:rPr>
      </w:pPr>
      <w:r w:rsidRPr="009A539C">
        <w:rPr>
          <w:rFonts w:eastAsia="Cambria" w:cstheme="minorHAnsi"/>
        </w:rPr>
        <w:t xml:space="preserve"> Lisboa, 30 de junho  de 2020</w:t>
      </w:r>
    </w:p>
    <w:p w14:paraId="49F54FEC" w14:textId="77777777" w:rsidR="00B4129D" w:rsidRPr="009A539C" w:rsidRDefault="00B4129D" w:rsidP="00B4129D">
      <w:pPr>
        <w:spacing w:after="0" w:line="360" w:lineRule="auto"/>
        <w:jc w:val="center"/>
        <w:rPr>
          <w:rFonts w:cstheme="minorHAnsi"/>
        </w:rPr>
      </w:pPr>
    </w:p>
    <w:tbl>
      <w:tblPr>
        <w:tblStyle w:val="Tabelacomgrelha"/>
        <w:tblW w:w="11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5992"/>
      </w:tblGrid>
      <w:tr w:rsidR="00B4129D" w:rsidRPr="009A539C" w14:paraId="36CE481F" w14:textId="77777777" w:rsidTr="00B4129D">
        <w:tc>
          <w:tcPr>
            <w:tcW w:w="5070" w:type="dxa"/>
          </w:tcPr>
          <w:p w14:paraId="6307FC2E" w14:textId="77777777" w:rsidR="00B4129D" w:rsidRPr="009A539C" w:rsidRDefault="00B4129D" w:rsidP="00B4129D">
            <w:pPr>
              <w:jc w:val="center"/>
              <w:rPr>
                <w:rFonts w:eastAsia="Cambria" w:cstheme="minorHAnsi"/>
              </w:rPr>
            </w:pPr>
            <w:r w:rsidRPr="009A539C">
              <w:rPr>
                <w:rFonts w:eastAsia="Cambria" w:cstheme="minorHAnsi"/>
              </w:rPr>
              <w:t>O Presidente cessante do CRL</w:t>
            </w:r>
          </w:p>
        </w:tc>
        <w:tc>
          <w:tcPr>
            <w:tcW w:w="5992" w:type="dxa"/>
          </w:tcPr>
          <w:p w14:paraId="44625CAF" w14:textId="77777777" w:rsidR="00B4129D" w:rsidRPr="009A539C" w:rsidRDefault="00B4129D" w:rsidP="00B4129D">
            <w:pPr>
              <w:jc w:val="center"/>
              <w:rPr>
                <w:rFonts w:eastAsia="Cambria" w:cstheme="minorHAnsi"/>
              </w:rPr>
            </w:pPr>
            <w:r w:rsidRPr="009A539C">
              <w:rPr>
                <w:rFonts w:eastAsia="Cambria" w:cstheme="minorHAnsi"/>
              </w:rPr>
              <w:t>A Presidente do CRL</w:t>
            </w:r>
          </w:p>
          <w:p w14:paraId="0C8A759A" w14:textId="77777777" w:rsidR="00B4129D" w:rsidRPr="009A539C" w:rsidRDefault="00B4129D" w:rsidP="00B4129D">
            <w:pPr>
              <w:jc w:val="center"/>
              <w:rPr>
                <w:rFonts w:eastAsia="Cambria" w:cstheme="minorHAnsi"/>
              </w:rPr>
            </w:pPr>
          </w:p>
        </w:tc>
      </w:tr>
      <w:tr w:rsidR="00B4129D" w:rsidRPr="009A539C" w14:paraId="449BC4E6" w14:textId="77777777" w:rsidTr="00B4129D">
        <w:tc>
          <w:tcPr>
            <w:tcW w:w="5070" w:type="dxa"/>
          </w:tcPr>
          <w:p w14:paraId="22B1A96D" w14:textId="77777777" w:rsidR="00B4129D" w:rsidRPr="009A539C" w:rsidRDefault="00B4129D" w:rsidP="00B4129D">
            <w:pPr>
              <w:jc w:val="center"/>
              <w:rPr>
                <w:rFonts w:eastAsia="Cambria" w:cstheme="minorHAnsi"/>
              </w:rPr>
            </w:pPr>
          </w:p>
        </w:tc>
        <w:tc>
          <w:tcPr>
            <w:tcW w:w="5992" w:type="dxa"/>
          </w:tcPr>
          <w:p w14:paraId="14BD7E1C" w14:textId="77777777" w:rsidR="00B4129D" w:rsidRPr="009A539C" w:rsidRDefault="00B4129D" w:rsidP="00B4129D">
            <w:pPr>
              <w:jc w:val="center"/>
              <w:rPr>
                <w:rFonts w:eastAsia="Cambria" w:cstheme="minorHAnsi"/>
              </w:rPr>
            </w:pPr>
          </w:p>
        </w:tc>
      </w:tr>
      <w:tr w:rsidR="00B4129D" w:rsidRPr="009A539C" w14:paraId="56F6BE92" w14:textId="77777777" w:rsidTr="00B4129D">
        <w:tc>
          <w:tcPr>
            <w:tcW w:w="5070" w:type="dxa"/>
          </w:tcPr>
          <w:p w14:paraId="26DD8565" w14:textId="77777777" w:rsidR="00B4129D" w:rsidRPr="009A539C" w:rsidRDefault="00B4129D" w:rsidP="00B4129D">
            <w:pPr>
              <w:jc w:val="center"/>
            </w:pPr>
            <w:r w:rsidRPr="009A539C">
              <w:rPr>
                <w:rFonts w:eastAsia="Cambria" w:cstheme="minorHAnsi"/>
              </w:rPr>
              <w:t>(Sérgio Monte)</w:t>
            </w:r>
          </w:p>
          <w:p w14:paraId="1B53455E" w14:textId="77777777" w:rsidR="00B4129D" w:rsidRPr="009A539C" w:rsidRDefault="00B4129D" w:rsidP="00B4129D">
            <w:pPr>
              <w:jc w:val="center"/>
              <w:rPr>
                <w:rFonts w:eastAsia="Cambria" w:cstheme="minorHAnsi"/>
              </w:rPr>
            </w:pPr>
          </w:p>
        </w:tc>
        <w:tc>
          <w:tcPr>
            <w:tcW w:w="5992" w:type="dxa"/>
          </w:tcPr>
          <w:p w14:paraId="6498DA2C" w14:textId="77777777" w:rsidR="00B4129D" w:rsidRPr="009A539C" w:rsidRDefault="00B4129D" w:rsidP="00B4129D">
            <w:pPr>
              <w:jc w:val="center"/>
              <w:rPr>
                <w:rFonts w:eastAsia="Cambria" w:cstheme="minorHAnsi"/>
              </w:rPr>
            </w:pPr>
            <w:r w:rsidRPr="009A539C">
              <w:rPr>
                <w:rFonts w:eastAsia="Cambria" w:cstheme="minorHAnsi"/>
              </w:rPr>
              <w:t>(Ana Vieira)</w:t>
            </w:r>
          </w:p>
        </w:tc>
      </w:tr>
    </w:tbl>
    <w:p w14:paraId="52F9D927" w14:textId="77777777" w:rsidR="00B4129D" w:rsidRPr="009A539C" w:rsidRDefault="00B4129D" w:rsidP="00B4129D">
      <w:pPr>
        <w:spacing w:after="0" w:line="360" w:lineRule="auto"/>
        <w:jc w:val="center"/>
        <w:rPr>
          <w:rFonts w:cstheme="minorHAnsi"/>
        </w:rPr>
      </w:pPr>
    </w:p>
    <w:p w14:paraId="3FD57072" w14:textId="560C9F82" w:rsidR="00B4129D" w:rsidRPr="009A539C" w:rsidRDefault="00B4129D" w:rsidP="00B4129D">
      <w:r w:rsidRPr="009A539C">
        <w:rPr>
          <w:rFonts w:cstheme="minorHAnsi"/>
        </w:rPr>
        <w:br w:type="page"/>
      </w:r>
    </w:p>
    <w:p w14:paraId="0B6F0FBF" w14:textId="77777777" w:rsidR="00352391" w:rsidRPr="009A539C" w:rsidRDefault="00352391" w:rsidP="00B90788">
      <w:pPr>
        <w:ind w:right="-1"/>
        <w:rPr>
          <w:rFonts w:ascii="Calibri" w:hAnsi="Calibri" w:cs="Calibri"/>
          <w:b/>
        </w:rPr>
      </w:pPr>
    </w:p>
    <w:p w14:paraId="47BEBD22" w14:textId="77777777" w:rsidR="005E7447" w:rsidRPr="009A539C" w:rsidRDefault="005E7447" w:rsidP="00B90788">
      <w:pPr>
        <w:pStyle w:val="Cabealho1"/>
        <w:ind w:right="-1"/>
        <w:rPr>
          <w:rFonts w:ascii="Calibri" w:hAnsi="Calibri" w:cs="Calibri"/>
          <w:color w:val="auto"/>
        </w:rPr>
      </w:pPr>
      <w:bookmarkStart w:id="20" w:name="_Toc42511539"/>
      <w:bookmarkStart w:id="21" w:name="_Toc45535677"/>
      <w:r w:rsidRPr="009A539C">
        <w:rPr>
          <w:rFonts w:ascii="Calibri" w:hAnsi="Calibri" w:cs="Calibri"/>
          <w:color w:val="auto"/>
        </w:rPr>
        <w:t>SUMÁRIO EXECUT</w:t>
      </w:r>
      <w:r w:rsidR="005E260B" w:rsidRPr="009A539C">
        <w:rPr>
          <w:rFonts w:ascii="Calibri" w:hAnsi="Calibri" w:cs="Calibri"/>
          <w:color w:val="auto"/>
        </w:rPr>
        <w:t>IVO</w:t>
      </w:r>
      <w:bookmarkEnd w:id="20"/>
      <w:bookmarkEnd w:id="21"/>
    </w:p>
    <w:p w14:paraId="3C0477F9" w14:textId="77777777" w:rsidR="00397B0C" w:rsidRPr="009A539C" w:rsidRDefault="00397B0C" w:rsidP="00397B0C"/>
    <w:p w14:paraId="06875C69" w14:textId="77777777" w:rsidR="00397B0C" w:rsidRPr="009A539C" w:rsidRDefault="00397B0C" w:rsidP="003466A0">
      <w:pPr>
        <w:numPr>
          <w:ilvl w:val="0"/>
          <w:numId w:val="52"/>
        </w:numPr>
        <w:tabs>
          <w:tab w:val="left" w:pos="851"/>
        </w:tabs>
        <w:spacing w:after="0" w:line="360" w:lineRule="auto"/>
        <w:ind w:left="714" w:right="-1" w:hanging="357"/>
        <w:jc w:val="both"/>
        <w:rPr>
          <w:rFonts w:cstheme="minorHAnsi"/>
          <w:b/>
          <w:smallCaps/>
        </w:rPr>
      </w:pPr>
      <w:r w:rsidRPr="009A539C">
        <w:rPr>
          <w:rFonts w:cstheme="minorHAnsi"/>
        </w:rPr>
        <w:t xml:space="preserve">O Relatório sobre a negociação coletiva em 2019 insere-se na série anual, iniciada em 2016, e pretende dar execução à atribuição cometida ao Centro de Relações Laborais na alínea </w:t>
      </w:r>
      <w:r w:rsidRPr="009A539C">
        <w:rPr>
          <w:rFonts w:cstheme="minorHAnsi"/>
          <w:i/>
        </w:rPr>
        <w:t>d</w:t>
      </w:r>
      <w:r w:rsidRPr="009A539C">
        <w:rPr>
          <w:rFonts w:cstheme="minorHAnsi"/>
        </w:rPr>
        <w:t xml:space="preserve">) do n.º 1 do artigo 3.º do DL n.º 189/2012, de 22 de agosto. </w:t>
      </w:r>
    </w:p>
    <w:p w14:paraId="11F0E7D6" w14:textId="77777777" w:rsidR="00397B0C" w:rsidRPr="009A539C" w:rsidRDefault="00397B0C" w:rsidP="003466A0">
      <w:pPr>
        <w:tabs>
          <w:tab w:val="left" w:pos="851"/>
        </w:tabs>
        <w:spacing w:after="0" w:line="360" w:lineRule="auto"/>
        <w:ind w:right="-1"/>
        <w:jc w:val="both"/>
        <w:rPr>
          <w:rFonts w:cstheme="minorHAnsi"/>
          <w:b/>
          <w:smallCaps/>
        </w:rPr>
      </w:pPr>
    </w:p>
    <w:p w14:paraId="61FABF5A" w14:textId="77777777" w:rsidR="00397B0C" w:rsidRPr="009A539C" w:rsidRDefault="00397B0C" w:rsidP="003466A0">
      <w:pPr>
        <w:numPr>
          <w:ilvl w:val="0"/>
          <w:numId w:val="52"/>
        </w:numPr>
        <w:tabs>
          <w:tab w:val="left" w:pos="851"/>
        </w:tabs>
        <w:spacing w:after="0" w:line="360" w:lineRule="auto"/>
        <w:ind w:left="714" w:right="-1" w:hanging="357"/>
        <w:jc w:val="both"/>
        <w:rPr>
          <w:rFonts w:cstheme="minorHAnsi"/>
        </w:rPr>
      </w:pPr>
      <w:r w:rsidRPr="009A539C">
        <w:rPr>
          <w:rFonts w:cstheme="minorHAnsi"/>
        </w:rPr>
        <w:t xml:space="preserve">O presente relatório acompanha a estrutura das edições anteriores, mantendo o objeto e as perspetivas de análise, assegurando também a consistência das fontes utilizadas e estabilizando, quanto à contextualização evolutiva, o âmbito temporal de referência (Capítulo I).  </w:t>
      </w:r>
    </w:p>
    <w:p w14:paraId="6B8BCBE4" w14:textId="77777777" w:rsidR="00397B0C" w:rsidRPr="009A539C" w:rsidRDefault="00397B0C" w:rsidP="003466A0">
      <w:pPr>
        <w:spacing w:after="0" w:line="360" w:lineRule="auto"/>
        <w:ind w:right="-1"/>
        <w:jc w:val="both"/>
        <w:rPr>
          <w:rFonts w:cstheme="minorHAnsi"/>
        </w:rPr>
      </w:pPr>
    </w:p>
    <w:p w14:paraId="6D19CEC1" w14:textId="77777777" w:rsidR="00397B0C" w:rsidRPr="009A539C" w:rsidRDefault="00397B0C" w:rsidP="003466A0">
      <w:pPr>
        <w:numPr>
          <w:ilvl w:val="0"/>
          <w:numId w:val="52"/>
        </w:numPr>
        <w:tabs>
          <w:tab w:val="left" w:pos="851"/>
        </w:tabs>
        <w:spacing w:after="0" w:line="360" w:lineRule="auto"/>
        <w:ind w:left="714" w:right="-1" w:hanging="357"/>
        <w:jc w:val="both"/>
        <w:rPr>
          <w:rFonts w:cstheme="minorHAnsi"/>
        </w:rPr>
      </w:pPr>
      <w:r w:rsidRPr="009A539C">
        <w:rPr>
          <w:rFonts w:cstheme="minorHAnsi"/>
        </w:rPr>
        <w:t xml:space="preserve"> No enquadramento geral (Capítulo II) indicam-se aspetos fundamentais quanto ao contexto económico (2.1.) e normativo (2.2.) que constituem o pano de fundo da negociação coletiva. Aqui são sumariadas as grandes variáveis macro económicas e as modificações normativas suscetíveis de se repercutirem na negociação coletiva.  </w:t>
      </w:r>
    </w:p>
    <w:p w14:paraId="121DB5BB" w14:textId="77777777" w:rsidR="00397B0C" w:rsidRPr="009A539C" w:rsidRDefault="00397B0C" w:rsidP="003466A0">
      <w:pPr>
        <w:spacing w:after="0" w:line="360" w:lineRule="auto"/>
        <w:ind w:left="720" w:right="-1"/>
        <w:jc w:val="both"/>
        <w:rPr>
          <w:rFonts w:cstheme="minorHAnsi"/>
        </w:rPr>
      </w:pPr>
      <w:r w:rsidRPr="009A539C">
        <w:rPr>
          <w:rFonts w:cstheme="minorHAnsi"/>
        </w:rPr>
        <w:t xml:space="preserve">     </w:t>
      </w:r>
    </w:p>
    <w:p w14:paraId="18D184E7" w14:textId="77777777" w:rsidR="00397B0C" w:rsidRPr="009A539C" w:rsidRDefault="00397B0C" w:rsidP="003466A0">
      <w:pPr>
        <w:numPr>
          <w:ilvl w:val="0"/>
          <w:numId w:val="52"/>
        </w:numPr>
        <w:tabs>
          <w:tab w:val="left" w:pos="851"/>
        </w:tabs>
        <w:spacing w:after="0" w:line="360" w:lineRule="auto"/>
        <w:ind w:left="714" w:right="-1" w:hanging="357"/>
        <w:jc w:val="both"/>
        <w:rPr>
          <w:rFonts w:cstheme="minorHAnsi"/>
        </w:rPr>
      </w:pPr>
      <w:r w:rsidRPr="009A539C">
        <w:rPr>
          <w:rFonts w:cstheme="minorHAnsi"/>
        </w:rPr>
        <w:t>O Capítulo III evidencia, numa perspetiva geral e predominantemente quantitativa, as linhas de desenvolvimento da contratação coletiva em 2019, colocando-a no contexto da evolução registada desde 2005, a par do destaque concedido a algumas das dimensões mais relevantes da negociação coletiva (as mesmas focadas nos Relatórios anteriores).</w:t>
      </w:r>
    </w:p>
    <w:p w14:paraId="38E44DB6" w14:textId="77777777" w:rsidR="00397B0C" w:rsidRPr="009A539C" w:rsidRDefault="00397B0C" w:rsidP="003466A0">
      <w:pPr>
        <w:spacing w:after="0" w:line="360" w:lineRule="auto"/>
        <w:ind w:left="720" w:right="-1"/>
        <w:contextualSpacing/>
        <w:jc w:val="both"/>
        <w:rPr>
          <w:rFonts w:cstheme="minorHAnsi"/>
        </w:rPr>
      </w:pPr>
    </w:p>
    <w:p w14:paraId="29861703" w14:textId="77777777" w:rsidR="00397B0C" w:rsidRPr="009A539C" w:rsidRDefault="00397B0C" w:rsidP="003466A0">
      <w:pPr>
        <w:spacing w:after="0" w:line="360" w:lineRule="auto"/>
        <w:ind w:left="720" w:right="-1"/>
        <w:jc w:val="both"/>
        <w:rPr>
          <w:rFonts w:eastAsia="Calibri"/>
        </w:rPr>
      </w:pPr>
      <w:r w:rsidRPr="009A539C">
        <w:rPr>
          <w:rFonts w:cstheme="minorHAnsi"/>
        </w:rPr>
        <w:t xml:space="preserve">No plano estritamente quantitativo (3.1.1., II), em </w:t>
      </w:r>
      <w:r w:rsidRPr="009A539C">
        <w:rPr>
          <w:rFonts w:eastAsia="Calibri" w:cstheme="minorHAnsi"/>
        </w:rPr>
        <w:t>2019, manteve-se a tendência de crescimento do número de Instrumentos de Regulamentação Coletiva (IRCT), que se vem observando desde</w:t>
      </w:r>
      <w:r w:rsidRPr="009A539C">
        <w:rPr>
          <w:rFonts w:eastAsia="Calibri"/>
        </w:rPr>
        <w:t xml:space="preserve"> 2013 -  em número quer de convenções, quer de Portarias de Extensão (PE) e, embora com menor expressão, de Acordos de Adesão (AA). Na perspetiva de um intervalo mais longo, o ano 2019 ultrapassou os valores de 2010, apesar de ainda distante dos melhores anos da série (2005 a 2009).</w:t>
      </w:r>
    </w:p>
    <w:p w14:paraId="182D840A" w14:textId="77777777" w:rsidR="00397B0C" w:rsidRPr="009A539C" w:rsidRDefault="00397B0C" w:rsidP="003466A0">
      <w:pPr>
        <w:spacing w:after="0" w:line="360" w:lineRule="auto"/>
        <w:ind w:left="720" w:right="-1"/>
        <w:jc w:val="both"/>
        <w:rPr>
          <w:rFonts w:cstheme="minorHAnsi"/>
        </w:rPr>
      </w:pPr>
    </w:p>
    <w:p w14:paraId="252F4515" w14:textId="20C948BB" w:rsidR="00397B0C" w:rsidRPr="009A539C" w:rsidRDefault="00397B0C" w:rsidP="003466A0">
      <w:pPr>
        <w:numPr>
          <w:ilvl w:val="0"/>
          <w:numId w:val="52"/>
        </w:numPr>
        <w:tabs>
          <w:tab w:val="left" w:pos="851"/>
        </w:tabs>
        <w:spacing w:after="0" w:line="360" w:lineRule="auto"/>
        <w:ind w:left="714" w:right="-1" w:hanging="357"/>
        <w:jc w:val="both"/>
        <w:rPr>
          <w:rFonts w:cstheme="minorHAnsi"/>
        </w:rPr>
      </w:pPr>
      <w:r w:rsidRPr="009A539C">
        <w:rPr>
          <w:rFonts w:cstheme="minorHAnsi"/>
        </w:rPr>
        <w:t xml:space="preserve">Quanto ao </w:t>
      </w:r>
      <w:r w:rsidRPr="009A539C">
        <w:rPr>
          <w:rFonts w:eastAsia="Calibri" w:cstheme="minorHAnsi"/>
          <w:lang w:eastAsia="pt-PT"/>
        </w:rPr>
        <w:t>número de trabalhadores (potencialmente) abrangidos pelas convenções coleti</w:t>
      </w:r>
      <w:r w:rsidR="00E00792" w:rsidRPr="009A539C">
        <w:rPr>
          <w:rFonts w:eastAsia="Calibri" w:cstheme="minorHAnsi"/>
          <w:lang w:eastAsia="pt-PT"/>
        </w:rPr>
        <w:t xml:space="preserve">vas (3.1.1.IV), observa-se uma </w:t>
      </w:r>
      <w:r w:rsidRPr="009A539C">
        <w:rPr>
          <w:rFonts w:eastAsia="Calibri" w:cstheme="minorHAnsi"/>
          <w:lang w:eastAsia="pt-PT"/>
        </w:rPr>
        <w:t xml:space="preserve">quebra em 2019 comparativamente a 2018, a que não será alheia </w:t>
      </w:r>
      <w:r w:rsidR="00AD556C" w:rsidRPr="009A539C">
        <w:rPr>
          <w:rFonts w:eastAsia="Calibri" w:cstheme="minorHAnsi"/>
          <w:lang w:eastAsia="pt-PT"/>
        </w:rPr>
        <w:t>o peso</w:t>
      </w:r>
      <w:r w:rsidRPr="009A539C">
        <w:rPr>
          <w:rFonts w:eastAsia="Calibri" w:cstheme="minorHAnsi"/>
          <w:lang w:eastAsia="pt-PT"/>
        </w:rPr>
        <w:t xml:space="preserve"> da negociação ao nível da empresa, ou seja, AC e, em particular, AE</w:t>
      </w:r>
      <w:r w:rsidR="00AD556C" w:rsidRPr="009A539C">
        <w:rPr>
          <w:rFonts w:eastAsia="Calibri" w:cstheme="minorHAnsi"/>
          <w:lang w:eastAsia="pt-PT"/>
        </w:rPr>
        <w:t>, em 2019</w:t>
      </w:r>
      <w:r w:rsidRPr="009A539C">
        <w:rPr>
          <w:rFonts w:eastAsia="Calibri" w:cstheme="minorHAnsi"/>
          <w:lang w:eastAsia="pt-PT"/>
        </w:rPr>
        <w:t>. No geral, o número de trabalhadores potencialmente abrangidos por convenção coletiva continua abaixo do registado no período 2005-2011.</w:t>
      </w:r>
    </w:p>
    <w:p w14:paraId="2179FB1E" w14:textId="77777777" w:rsidR="00397B0C" w:rsidRPr="009A539C" w:rsidRDefault="00397B0C" w:rsidP="003466A0">
      <w:pPr>
        <w:spacing w:after="0" w:line="360" w:lineRule="auto"/>
        <w:ind w:left="720" w:right="-1"/>
        <w:jc w:val="both"/>
        <w:rPr>
          <w:rFonts w:cstheme="minorHAnsi"/>
        </w:rPr>
      </w:pPr>
    </w:p>
    <w:p w14:paraId="5FA3621F" w14:textId="77777777" w:rsidR="00397B0C" w:rsidRPr="009A539C" w:rsidRDefault="00397B0C" w:rsidP="003466A0">
      <w:pPr>
        <w:numPr>
          <w:ilvl w:val="0"/>
          <w:numId w:val="52"/>
        </w:numPr>
        <w:tabs>
          <w:tab w:val="left" w:pos="851"/>
        </w:tabs>
        <w:spacing w:after="0" w:line="360" w:lineRule="auto"/>
        <w:ind w:left="714" w:right="-1" w:hanging="357"/>
        <w:jc w:val="both"/>
        <w:rPr>
          <w:rFonts w:cstheme="minorHAnsi"/>
        </w:rPr>
      </w:pPr>
      <w:r w:rsidRPr="009A539C">
        <w:rPr>
          <w:rFonts w:cstheme="minorHAnsi"/>
        </w:rPr>
        <w:t xml:space="preserve">Continua percetível uma ténue de diminuição da taxa de cobertura das convenções </w:t>
      </w:r>
      <w:r w:rsidRPr="009A539C">
        <w:rPr>
          <w:rFonts w:cstheme="minorHAnsi"/>
          <w:i/>
        </w:rPr>
        <w:t>em vigor</w:t>
      </w:r>
      <w:r w:rsidRPr="009A539C">
        <w:rPr>
          <w:rFonts w:cstheme="minorHAnsi"/>
        </w:rPr>
        <w:t xml:space="preserve">, a partir de 2011, e, em contrapartida, a taxa de cobertura das convenções </w:t>
      </w:r>
      <w:r w:rsidRPr="009A539C">
        <w:rPr>
          <w:rFonts w:cstheme="minorHAnsi"/>
          <w:i/>
        </w:rPr>
        <w:t>publicadas</w:t>
      </w:r>
      <w:r w:rsidRPr="009A539C">
        <w:rPr>
          <w:rFonts w:cstheme="minorHAnsi"/>
        </w:rPr>
        <w:t xml:space="preserve"> em cada ano prossegue a evolução positiva, iniciada em 2015 (3.1.1. V). Quanto </w:t>
      </w:r>
      <w:r w:rsidRPr="009A539C">
        <w:rPr>
          <w:rFonts w:eastAsia="Calibri" w:cstheme="minorHAnsi"/>
          <w:lang w:eastAsia="pt-PT"/>
        </w:rPr>
        <w:t xml:space="preserve">ao número de trabalhadores ao serviço nos estabelecimentos abrangidos por IRCT tem vindo a crescer desde 2014, mas permanecendo ainda abaixo do que se verificou entre 2005 e 2009 (quadro 6).  </w:t>
      </w:r>
    </w:p>
    <w:p w14:paraId="19F83042" w14:textId="77777777" w:rsidR="00397B0C" w:rsidRPr="009A539C" w:rsidRDefault="00397B0C" w:rsidP="003466A0">
      <w:pPr>
        <w:tabs>
          <w:tab w:val="left" w:pos="851"/>
        </w:tabs>
        <w:spacing w:after="0" w:line="360" w:lineRule="auto"/>
        <w:ind w:left="714" w:right="-1"/>
        <w:jc w:val="both"/>
        <w:rPr>
          <w:rFonts w:cstheme="minorHAnsi"/>
        </w:rPr>
      </w:pPr>
    </w:p>
    <w:p w14:paraId="61600427" w14:textId="77777777" w:rsidR="00397B0C" w:rsidRPr="009A539C" w:rsidRDefault="00397B0C" w:rsidP="003466A0">
      <w:pPr>
        <w:numPr>
          <w:ilvl w:val="0"/>
          <w:numId w:val="52"/>
        </w:numPr>
        <w:tabs>
          <w:tab w:val="left" w:pos="851"/>
        </w:tabs>
        <w:spacing w:after="0" w:line="360" w:lineRule="auto"/>
        <w:ind w:left="714" w:right="-1" w:hanging="357"/>
        <w:jc w:val="both"/>
        <w:rPr>
          <w:rFonts w:cstheme="minorHAnsi"/>
        </w:rPr>
      </w:pPr>
      <w:r w:rsidRPr="009A539C">
        <w:rPr>
          <w:rFonts w:cstheme="minorHAnsi"/>
        </w:rPr>
        <w:t>Em matéria de remunerações (3.1.2.I),</w:t>
      </w:r>
      <w:r w:rsidRPr="009A539C">
        <w:rPr>
          <w:rFonts w:eastAsia="Calibri" w:cstheme="minorHAnsi"/>
        </w:rPr>
        <w:t xml:space="preserve"> 2019 apresenta um período médio </w:t>
      </w:r>
      <w:r w:rsidRPr="009A539C">
        <w:rPr>
          <w:rFonts w:eastAsia="Calibri" w:cstheme="minorHAnsi"/>
          <w:bCs/>
          <w:iCs/>
        </w:rPr>
        <w:t xml:space="preserve">de eficácia </w:t>
      </w:r>
      <w:r w:rsidRPr="009A539C">
        <w:rPr>
          <w:rFonts w:eastAsia="Calibri" w:cstheme="minorHAnsi"/>
        </w:rPr>
        <w:t xml:space="preserve">das tabelas salariais anteriores de 16,3 meses. É um valor bastante inferior ao de 2018 (22,5 meses) e é o quarto ano consecutivo de uma trajetória de redução do período médio de eficácia intertabelas. Já a </w:t>
      </w:r>
      <w:r w:rsidRPr="009A539C">
        <w:rPr>
          <w:rFonts w:eastAsia="Calibri" w:cstheme="minorHAnsi"/>
          <w:lang w:eastAsia="pt-PT"/>
        </w:rPr>
        <w:t xml:space="preserve">variação salarial média nominal anualizada intertabelas foi de 4,4%, prosseguindo a subida iniciada em 2016, a par da evolução, também positiva, da variação salarial real (3,4%). Por sua vez, a remuneração mínima convencionada  segue o padrão de outros  anos e aproxima-se à retribuição mínima mensal garantida, em quase todos os setores (3.1.2.II). </w:t>
      </w:r>
    </w:p>
    <w:p w14:paraId="3B8C4481" w14:textId="77777777" w:rsidR="00397B0C" w:rsidRPr="009A539C" w:rsidRDefault="00397B0C" w:rsidP="003466A0">
      <w:pPr>
        <w:tabs>
          <w:tab w:val="left" w:pos="851"/>
        </w:tabs>
        <w:spacing w:after="0" w:line="360" w:lineRule="auto"/>
        <w:ind w:right="-1"/>
        <w:jc w:val="both"/>
        <w:rPr>
          <w:rFonts w:cstheme="minorHAnsi"/>
        </w:rPr>
      </w:pPr>
      <w:r w:rsidRPr="009A539C">
        <w:rPr>
          <w:rFonts w:eastAsia="Calibri" w:cstheme="minorHAnsi"/>
          <w:lang w:eastAsia="pt-PT"/>
        </w:rPr>
        <w:t xml:space="preserve"> </w:t>
      </w:r>
    </w:p>
    <w:p w14:paraId="0F2CD7C4" w14:textId="77777777" w:rsidR="00397B0C" w:rsidRPr="009A539C" w:rsidRDefault="00397B0C" w:rsidP="003466A0">
      <w:pPr>
        <w:numPr>
          <w:ilvl w:val="0"/>
          <w:numId w:val="52"/>
        </w:numPr>
        <w:tabs>
          <w:tab w:val="left" w:pos="851"/>
        </w:tabs>
        <w:spacing w:after="0" w:line="360" w:lineRule="auto"/>
        <w:ind w:left="714" w:right="-1" w:hanging="357"/>
        <w:jc w:val="both"/>
        <w:rPr>
          <w:rFonts w:cstheme="minorHAnsi"/>
        </w:rPr>
      </w:pPr>
      <w:r w:rsidRPr="009A539C">
        <w:rPr>
          <w:rFonts w:cstheme="minorHAnsi"/>
        </w:rPr>
        <w:t>Em 2019, foi publicada a</w:t>
      </w:r>
      <w:r w:rsidRPr="009A539C">
        <w:rPr>
          <w:rFonts w:eastAsia="Calibri" w:cstheme="minorHAnsi"/>
          <w:lang w:eastAsia="pt-PT"/>
        </w:rPr>
        <w:t xml:space="preserve"> PCT para os trabalhadores administrativos não abrangidos por regulamentação coletiva específica, a qual reviu parcialmente a PCT de 2018. No geral, é mantido o figurino do regime anterior (3.1.4).</w:t>
      </w:r>
    </w:p>
    <w:p w14:paraId="465E37F2" w14:textId="77777777" w:rsidR="00397B0C" w:rsidRPr="009A539C" w:rsidRDefault="00397B0C" w:rsidP="003466A0">
      <w:pPr>
        <w:tabs>
          <w:tab w:val="left" w:pos="851"/>
        </w:tabs>
        <w:spacing w:after="0" w:line="360" w:lineRule="auto"/>
        <w:ind w:right="-1"/>
        <w:jc w:val="both"/>
        <w:rPr>
          <w:rFonts w:cstheme="minorHAnsi"/>
        </w:rPr>
      </w:pPr>
      <w:r w:rsidRPr="009A539C">
        <w:rPr>
          <w:rFonts w:eastAsia="Calibri" w:cstheme="minorHAnsi"/>
          <w:lang w:eastAsia="pt-PT"/>
        </w:rPr>
        <w:t xml:space="preserve"> </w:t>
      </w:r>
    </w:p>
    <w:p w14:paraId="27950C2B" w14:textId="77777777" w:rsidR="00397B0C" w:rsidRPr="009A539C" w:rsidRDefault="00397B0C" w:rsidP="003466A0">
      <w:pPr>
        <w:numPr>
          <w:ilvl w:val="0"/>
          <w:numId w:val="52"/>
        </w:numPr>
        <w:tabs>
          <w:tab w:val="left" w:pos="851"/>
        </w:tabs>
        <w:spacing w:after="0" w:line="360" w:lineRule="auto"/>
        <w:ind w:left="714" w:right="-1" w:hanging="357"/>
        <w:jc w:val="both"/>
        <w:rPr>
          <w:rFonts w:cstheme="minorHAnsi"/>
        </w:rPr>
      </w:pPr>
      <w:r w:rsidRPr="009A539C">
        <w:rPr>
          <w:rFonts w:cstheme="minorHAnsi"/>
        </w:rPr>
        <w:t>Em sede de cessação de vigência de convenções coletivas (3.1.5.), em 2019, foi  celebrado um acordo de revogação de convenção anterior (seguindo-se a celebração de nova convenção coletiva) e  publicados dois avisos de cessação de vigência de convenção, facto que não ocorria desde 2016.</w:t>
      </w:r>
    </w:p>
    <w:p w14:paraId="1C008B84" w14:textId="77777777" w:rsidR="00397B0C" w:rsidRPr="009A539C" w:rsidRDefault="00397B0C" w:rsidP="003466A0">
      <w:pPr>
        <w:spacing w:after="0" w:line="360" w:lineRule="auto"/>
        <w:ind w:left="720" w:right="-1"/>
        <w:jc w:val="both"/>
        <w:rPr>
          <w:rFonts w:cstheme="minorHAnsi"/>
        </w:rPr>
      </w:pPr>
    </w:p>
    <w:p w14:paraId="5BF4FBC7" w14:textId="77777777" w:rsidR="00397B0C" w:rsidRPr="009A539C" w:rsidRDefault="00397B0C" w:rsidP="003466A0">
      <w:pPr>
        <w:numPr>
          <w:ilvl w:val="0"/>
          <w:numId w:val="52"/>
        </w:numPr>
        <w:tabs>
          <w:tab w:val="left" w:pos="851"/>
        </w:tabs>
        <w:spacing w:after="0" w:line="360" w:lineRule="auto"/>
        <w:ind w:left="714" w:right="-1" w:hanging="357"/>
        <w:jc w:val="both"/>
        <w:rPr>
          <w:rFonts w:cstheme="minorHAnsi"/>
        </w:rPr>
      </w:pPr>
      <w:r w:rsidRPr="009A539C">
        <w:rPr>
          <w:rFonts w:cstheme="minorHAnsi"/>
        </w:rPr>
        <w:t xml:space="preserve">No reporte dos processos de resolução extrajudicial de conflitos coletivos nota-se, em 2019, </w:t>
      </w:r>
      <w:r w:rsidRPr="009A539C">
        <w:rPr>
          <w:rFonts w:eastAsiaTheme="majorEastAsia" w:cstheme="minorHAnsi"/>
          <w:bCs/>
        </w:rPr>
        <w:t xml:space="preserve">uma descida dos pedidos de conciliação (42) e de mediação (7). Pelo terceiro ano consecutivo, o número de processos de conciliação concluídos com acordo superou o número daqueles que terminaram sem acordo e três dos processos de mediação foram concluídos com acordo, ainda que, neste tipo de processo, permaneça a tendência de conclusão sem acordo </w:t>
      </w:r>
      <w:r w:rsidRPr="009A539C">
        <w:rPr>
          <w:rFonts w:cstheme="minorHAnsi"/>
        </w:rPr>
        <w:t>(3.2.1)</w:t>
      </w:r>
      <w:r w:rsidRPr="009A539C">
        <w:rPr>
          <w:rFonts w:eastAsiaTheme="majorEastAsia" w:cstheme="minorHAnsi"/>
          <w:bCs/>
        </w:rPr>
        <w:t xml:space="preserve">.Por outro lado, </w:t>
      </w:r>
      <w:r w:rsidRPr="009A539C">
        <w:rPr>
          <w:rFonts w:cstheme="minorHAnsi"/>
        </w:rPr>
        <w:t xml:space="preserve">não foi publicada qualquer decisão arbitral, como de resto na maioria dos anos que integram esta série </w:t>
      </w:r>
      <w:r w:rsidRPr="009A539C">
        <w:rPr>
          <w:rFonts w:eastAsia="Calibri" w:cstheme="minorHAnsi"/>
          <w:lang w:eastAsia="pt-PT"/>
        </w:rPr>
        <w:t>(3.2.2)</w:t>
      </w:r>
      <w:r w:rsidRPr="009A539C">
        <w:rPr>
          <w:rFonts w:cstheme="minorHAnsi"/>
        </w:rPr>
        <w:t>.</w:t>
      </w:r>
    </w:p>
    <w:p w14:paraId="606BDD4E" w14:textId="77777777" w:rsidR="00397B0C" w:rsidRPr="009A539C" w:rsidRDefault="00397B0C" w:rsidP="003466A0">
      <w:pPr>
        <w:spacing w:after="0" w:line="360" w:lineRule="auto"/>
        <w:ind w:right="-1"/>
        <w:jc w:val="both"/>
        <w:rPr>
          <w:rFonts w:cstheme="minorHAnsi"/>
        </w:rPr>
      </w:pPr>
    </w:p>
    <w:p w14:paraId="2515D546" w14:textId="61BEDB57" w:rsidR="00397B0C" w:rsidRPr="009A539C" w:rsidRDefault="00397B0C" w:rsidP="003466A0">
      <w:pPr>
        <w:numPr>
          <w:ilvl w:val="0"/>
          <w:numId w:val="52"/>
        </w:numPr>
        <w:tabs>
          <w:tab w:val="left" w:pos="851"/>
        </w:tabs>
        <w:spacing w:after="0" w:line="360" w:lineRule="auto"/>
        <w:ind w:left="714" w:right="-1" w:hanging="357"/>
        <w:jc w:val="both"/>
        <w:rPr>
          <w:rFonts w:cstheme="minorHAnsi"/>
        </w:rPr>
      </w:pPr>
      <w:r w:rsidRPr="009A539C">
        <w:rPr>
          <w:rFonts w:cstheme="minorHAnsi"/>
        </w:rPr>
        <w:t xml:space="preserve">No Capítulo IV apresenta-se a análise dos conteúdos convencionais negociados em 2019, em regra, enriquecido pelo cotejo com a situação verificada no ano anterior. Mantendo a perspetiva dos Relatórios anteriores, o Capítulo inicia-se com uma panorâmica global dos dados sobre as convenções publicadas (4.1) e dos relativos ao alargamento do seu âmbito de aplicação (4.2), abordando-se depois, em particular, a contratação coletiva no setor público empresarial (4.3). De seguida (4.4.), analisam-se os conteúdos da contratação coletiva publicada em 2019 relativamente a um conjunto determinado de matérias, o qual sofreu alterações pouco significativas de sistematização e </w:t>
      </w:r>
      <w:r w:rsidR="009A0D7A" w:rsidRPr="009A539C">
        <w:rPr>
          <w:rFonts w:cstheme="minorHAnsi"/>
        </w:rPr>
        <w:t>foi ampliado</w:t>
      </w:r>
      <w:r w:rsidRPr="009A539C">
        <w:rPr>
          <w:rFonts w:cstheme="minorHAnsi"/>
        </w:rPr>
        <w:t xml:space="preserve"> nos seguintes pontos: direito à proteção de dados pessoais e a sua conexão com os direitos de personalidade, assim como Regulamentos</w:t>
      </w:r>
      <w:r w:rsidRPr="009A539C">
        <w:t xml:space="preserve"> e acordos complementares</w:t>
      </w:r>
      <w:r w:rsidRPr="009A539C">
        <w:rPr>
          <w:rFonts w:cstheme="minorHAnsi"/>
        </w:rPr>
        <w:t xml:space="preserve">.  </w:t>
      </w:r>
    </w:p>
    <w:p w14:paraId="51A3B366" w14:textId="77777777" w:rsidR="00397B0C" w:rsidRPr="009A539C" w:rsidRDefault="00397B0C" w:rsidP="003466A0">
      <w:pPr>
        <w:spacing w:after="0" w:line="360" w:lineRule="auto"/>
        <w:ind w:left="720" w:right="-1"/>
        <w:jc w:val="both"/>
        <w:rPr>
          <w:rFonts w:cstheme="minorHAnsi"/>
        </w:rPr>
      </w:pPr>
    </w:p>
    <w:p w14:paraId="10262926" w14:textId="77777777" w:rsidR="00397B0C" w:rsidRPr="009A539C" w:rsidRDefault="00397B0C" w:rsidP="003466A0">
      <w:pPr>
        <w:numPr>
          <w:ilvl w:val="0"/>
          <w:numId w:val="52"/>
        </w:numPr>
        <w:tabs>
          <w:tab w:val="left" w:pos="851"/>
        </w:tabs>
        <w:spacing w:after="0" w:line="360" w:lineRule="auto"/>
        <w:ind w:left="714" w:right="-1" w:hanging="357"/>
        <w:jc w:val="both"/>
        <w:rPr>
          <w:rFonts w:cstheme="minorHAnsi"/>
        </w:rPr>
      </w:pPr>
      <w:r w:rsidRPr="009A539C">
        <w:rPr>
          <w:rFonts w:cstheme="minorHAnsi"/>
        </w:rPr>
        <w:t>Nos dados gerais sobre a negociação coletiva em 2019 (4.1.), merecem destaque os seguintes aspetos:</w:t>
      </w:r>
    </w:p>
    <w:p w14:paraId="23054929" w14:textId="77777777" w:rsidR="00397B0C" w:rsidRPr="009A539C" w:rsidRDefault="00397B0C" w:rsidP="003466A0">
      <w:pPr>
        <w:numPr>
          <w:ilvl w:val="0"/>
          <w:numId w:val="10"/>
        </w:numPr>
        <w:autoSpaceDE w:val="0"/>
        <w:autoSpaceDN w:val="0"/>
        <w:adjustRightInd w:val="0"/>
        <w:spacing w:after="0" w:line="360" w:lineRule="auto"/>
        <w:ind w:left="993" w:right="-1" w:hanging="284"/>
        <w:jc w:val="both"/>
        <w:rPr>
          <w:rFonts w:eastAsia="Calibri"/>
          <w:strike/>
        </w:rPr>
      </w:pPr>
      <w:r w:rsidRPr="009A539C">
        <w:rPr>
          <w:rFonts w:eastAsia="Calibri" w:cstheme="minorHAnsi"/>
        </w:rPr>
        <w:t xml:space="preserve"> quanto à contratação coletiva com conteúdo autónomo (não incluindo, portanto, os Acordos de Adesão), foram publicadas 240 convenções (um crescimento de 9%, face 2018). Comparativamente ao ano anterior, sobressai </w:t>
      </w:r>
      <w:r w:rsidRPr="009A539C">
        <w:t>a subida do número de revisões parciais (mais 22%, face a 2018), seguida do número de primeiras convenções (19,2% do total das convenções), mas uma ligeira diminuição do número de revisões globais (13,8% do total);</w:t>
      </w:r>
    </w:p>
    <w:p w14:paraId="1CD45FC5" w14:textId="77777777" w:rsidR="00397B0C" w:rsidRPr="009A539C" w:rsidRDefault="00397B0C" w:rsidP="003466A0">
      <w:pPr>
        <w:numPr>
          <w:ilvl w:val="0"/>
          <w:numId w:val="10"/>
        </w:numPr>
        <w:autoSpaceDE w:val="0"/>
        <w:autoSpaceDN w:val="0"/>
        <w:adjustRightInd w:val="0"/>
        <w:spacing w:after="0" w:line="360" w:lineRule="auto"/>
        <w:ind w:left="993" w:right="-1" w:hanging="284"/>
        <w:jc w:val="both"/>
        <w:rPr>
          <w:rFonts w:eastAsia="Calibri" w:cstheme="minorHAnsi"/>
          <w:strike/>
        </w:rPr>
      </w:pPr>
      <w:r w:rsidRPr="009A539C">
        <w:rPr>
          <w:rFonts w:eastAsia="Calibri" w:cstheme="minorHAnsi"/>
        </w:rPr>
        <w:t xml:space="preserve">no conjunto das  convenções do ano sobressai o </w:t>
      </w:r>
      <w:r w:rsidRPr="009A539C">
        <w:t>peso relativo das revisões parciais (67,1%), no total das convenções;</w:t>
      </w:r>
    </w:p>
    <w:p w14:paraId="1A6AD30C" w14:textId="6977FA1D" w:rsidR="00397B0C" w:rsidRPr="009A539C" w:rsidRDefault="00397B0C" w:rsidP="003466A0">
      <w:pPr>
        <w:numPr>
          <w:ilvl w:val="0"/>
          <w:numId w:val="10"/>
        </w:numPr>
        <w:autoSpaceDE w:val="0"/>
        <w:autoSpaceDN w:val="0"/>
        <w:adjustRightInd w:val="0"/>
        <w:spacing w:after="0" w:line="360" w:lineRule="auto"/>
        <w:ind w:left="993" w:right="-1" w:hanging="284"/>
        <w:jc w:val="both"/>
      </w:pPr>
      <w:r w:rsidRPr="009A539C">
        <w:t xml:space="preserve"> e</w:t>
      </w:r>
      <w:r w:rsidRPr="009A539C">
        <w:rPr>
          <w:rFonts w:eastAsia="Calibri" w:cstheme="minorHAnsi"/>
        </w:rPr>
        <w:t>m termos globais, em 2019 foram publicados 35</w:t>
      </w:r>
      <w:r w:rsidR="00173639" w:rsidRPr="009A539C">
        <w:rPr>
          <w:rFonts w:eastAsia="Calibri" w:cstheme="minorHAnsi"/>
        </w:rPr>
        <w:t>2</w:t>
      </w:r>
      <w:r w:rsidRPr="009A539C">
        <w:rPr>
          <w:rFonts w:eastAsia="Calibri" w:cstheme="minorHAnsi"/>
        </w:rPr>
        <w:t xml:space="preserve"> IRCT, o que corresponde a um crescimento das duas categorias de IRCT: os negociais e os não negociais (contra  311 IRCT, em 2018)</w:t>
      </w:r>
      <w:r w:rsidRPr="009A539C">
        <w:t xml:space="preserve"> ;</w:t>
      </w:r>
    </w:p>
    <w:p w14:paraId="0F2F3BF8" w14:textId="77777777" w:rsidR="00397B0C" w:rsidRPr="009A539C" w:rsidRDefault="00397B0C" w:rsidP="003466A0">
      <w:pPr>
        <w:numPr>
          <w:ilvl w:val="0"/>
          <w:numId w:val="10"/>
        </w:numPr>
        <w:autoSpaceDE w:val="0"/>
        <w:autoSpaceDN w:val="0"/>
        <w:adjustRightInd w:val="0"/>
        <w:spacing w:after="0" w:line="360" w:lineRule="auto"/>
        <w:ind w:left="993" w:right="-1" w:hanging="284"/>
        <w:jc w:val="both"/>
        <w:rPr>
          <w:rFonts w:eastAsia="Calibri" w:cstheme="minorHAnsi"/>
        </w:rPr>
      </w:pPr>
      <w:r w:rsidRPr="009A539C">
        <w:rPr>
          <w:rFonts w:eastAsia="Calibri" w:cstheme="minorHAnsi"/>
        </w:rPr>
        <w:t>a presença de convenções paralelas continua a verificar-se, embora com menor expressão comparativamente a anos anteriores (em 2019, representa cerca de 32% de 240 convenções; em 2018 40% de 220 convenções);</w:t>
      </w:r>
    </w:p>
    <w:p w14:paraId="221C4CF2" w14:textId="77777777" w:rsidR="00397B0C" w:rsidRPr="009A539C" w:rsidRDefault="00397B0C" w:rsidP="003466A0">
      <w:pPr>
        <w:numPr>
          <w:ilvl w:val="0"/>
          <w:numId w:val="10"/>
        </w:numPr>
        <w:autoSpaceDE w:val="0"/>
        <w:autoSpaceDN w:val="0"/>
        <w:adjustRightInd w:val="0"/>
        <w:spacing w:after="0" w:line="360" w:lineRule="auto"/>
        <w:ind w:left="993" w:right="-1" w:hanging="284"/>
        <w:jc w:val="both"/>
        <w:rPr>
          <w:rFonts w:eastAsia="Calibri" w:cstheme="minorHAnsi"/>
        </w:rPr>
      </w:pPr>
      <w:r w:rsidRPr="009A539C">
        <w:rPr>
          <w:rFonts w:eastAsia="Calibri" w:cstheme="minorHAnsi"/>
        </w:rPr>
        <w:t>na repartição setorial, continuam a predominar três setores de atividade: “Indústrias transformadoras” (‘C) (76 convenções), “Transportes e armazenagem” (H) (53 convenções) e “Comércio por grosso e a retalho, reparação de veículos automóveis e motociclos” (G),  (41 convenções). Eles equivalem a 72% do total de convenções e beneficiaram da taxa de crescimento mais elevada, em 2019 face a 2018</w:t>
      </w:r>
      <w:r w:rsidRPr="009A539C">
        <w:t>;</w:t>
      </w:r>
    </w:p>
    <w:p w14:paraId="32C0AE11" w14:textId="77777777" w:rsidR="00397B0C" w:rsidRPr="009A539C" w:rsidRDefault="00397B0C" w:rsidP="003466A0">
      <w:pPr>
        <w:numPr>
          <w:ilvl w:val="0"/>
          <w:numId w:val="10"/>
        </w:numPr>
        <w:autoSpaceDE w:val="0"/>
        <w:autoSpaceDN w:val="0"/>
        <w:adjustRightInd w:val="0"/>
        <w:spacing w:after="0" w:line="360" w:lineRule="auto"/>
        <w:ind w:left="993" w:right="-1" w:hanging="284"/>
        <w:jc w:val="both"/>
        <w:rPr>
          <w:rFonts w:eastAsia="Calibri" w:cstheme="minorHAnsi"/>
        </w:rPr>
      </w:pPr>
      <w:r w:rsidRPr="009A539C">
        <w:rPr>
          <w:rFonts w:eastAsia="Calibri" w:cstheme="minorHAnsi"/>
        </w:rPr>
        <w:t>pelo prisma da cobertura das convenções coletivas publicadas em 2019,  estes  três setores [(‘C),(H) e (G)] revelam, de igual modo, uma trajetória de crescimento. Assiste-se, também, ao aumento de “Atividades administrativas e dos serviços de apoio”  e das “Atividades financeiras e de seguros”</w:t>
      </w:r>
      <w:r w:rsidRPr="009A539C">
        <w:t xml:space="preserve"> ;</w:t>
      </w:r>
    </w:p>
    <w:p w14:paraId="24E286F6" w14:textId="77777777" w:rsidR="00397B0C" w:rsidRPr="009A539C" w:rsidRDefault="00397B0C" w:rsidP="003466A0">
      <w:pPr>
        <w:numPr>
          <w:ilvl w:val="0"/>
          <w:numId w:val="10"/>
        </w:numPr>
        <w:autoSpaceDE w:val="0"/>
        <w:autoSpaceDN w:val="0"/>
        <w:adjustRightInd w:val="0"/>
        <w:spacing w:after="0" w:line="360" w:lineRule="auto"/>
        <w:ind w:left="993" w:right="-1" w:hanging="284"/>
        <w:jc w:val="both"/>
        <w:rPr>
          <w:rFonts w:eastAsia="Calibri" w:cstheme="minorHAnsi"/>
        </w:rPr>
      </w:pPr>
      <w:r w:rsidRPr="009A539C">
        <w:rPr>
          <w:rFonts w:eastAsia="Calibri" w:cstheme="minorHAnsi"/>
        </w:rPr>
        <w:t>o número médio de trabalhadores (potencialmente) abrangidos por convenção e por tipo de convenção apresenta uma  ligeira  descida, à exceção  do rácio de AE/número médio de trabalhadores, ligeiramente  superior   relativamente a 2018 (Quadro 23)</w:t>
      </w:r>
      <w:r w:rsidRPr="009A539C">
        <w:t>.</w:t>
      </w:r>
    </w:p>
    <w:p w14:paraId="21605B78" w14:textId="77777777" w:rsidR="00397B0C" w:rsidRPr="009A539C" w:rsidRDefault="00397B0C" w:rsidP="003466A0">
      <w:pPr>
        <w:spacing w:after="160" w:line="360" w:lineRule="auto"/>
        <w:ind w:left="851" w:right="-1" w:hanging="567"/>
        <w:contextualSpacing/>
        <w:jc w:val="both"/>
        <w:rPr>
          <w:rFonts w:eastAsia="Calibri" w:cstheme="minorHAnsi"/>
        </w:rPr>
      </w:pPr>
    </w:p>
    <w:p w14:paraId="08A1C4BE" w14:textId="77777777" w:rsidR="00397B0C" w:rsidRPr="009A539C" w:rsidRDefault="00397B0C" w:rsidP="003466A0">
      <w:pPr>
        <w:numPr>
          <w:ilvl w:val="0"/>
          <w:numId w:val="52"/>
        </w:numPr>
        <w:tabs>
          <w:tab w:val="left" w:pos="851"/>
        </w:tabs>
        <w:spacing w:after="0" w:line="360" w:lineRule="auto"/>
        <w:ind w:left="714" w:right="-1" w:hanging="357"/>
        <w:jc w:val="both"/>
        <w:rPr>
          <w:rFonts w:eastAsia="Calibri" w:cstheme="minorHAnsi"/>
          <w:iCs/>
          <w:lang w:val="pt-BR"/>
        </w:rPr>
      </w:pPr>
      <w:r w:rsidRPr="009A539C">
        <w:rPr>
          <w:rFonts w:eastAsia="Calibri" w:cstheme="minorHAnsi"/>
          <w:iCs/>
          <w:lang w:val="pt-BR"/>
        </w:rPr>
        <w:t xml:space="preserve">Do conjunto de PE publicadas em 2019, todas elas  emitidas ao abrigo da Resolução do Conselho de Ministros n.º 82/2017, evidencia-se (4.2) que: </w:t>
      </w:r>
    </w:p>
    <w:p w14:paraId="41055EB3" w14:textId="77777777" w:rsidR="00397B0C" w:rsidRPr="009A539C" w:rsidRDefault="00397B0C" w:rsidP="003466A0">
      <w:pPr>
        <w:numPr>
          <w:ilvl w:val="0"/>
          <w:numId w:val="10"/>
        </w:numPr>
        <w:autoSpaceDE w:val="0"/>
        <w:autoSpaceDN w:val="0"/>
        <w:adjustRightInd w:val="0"/>
        <w:spacing w:after="0" w:line="360" w:lineRule="auto"/>
        <w:ind w:left="993" w:right="-1" w:hanging="284"/>
        <w:jc w:val="both"/>
        <w:rPr>
          <w:rFonts w:eastAsia="Calibri" w:cstheme="minorHAnsi"/>
        </w:rPr>
      </w:pPr>
      <w:r w:rsidRPr="009A539C">
        <w:rPr>
          <w:rFonts w:eastAsia="Calibri" w:cstheme="minorHAnsi"/>
        </w:rPr>
        <w:t>a maioria das extensões continua a incidir em revisões parciais das convenções  (65 em 83);</w:t>
      </w:r>
    </w:p>
    <w:p w14:paraId="060EE348" w14:textId="77777777" w:rsidR="00397B0C" w:rsidRPr="009A539C" w:rsidRDefault="00397B0C" w:rsidP="003466A0">
      <w:pPr>
        <w:numPr>
          <w:ilvl w:val="0"/>
          <w:numId w:val="10"/>
        </w:numPr>
        <w:autoSpaceDE w:val="0"/>
        <w:autoSpaceDN w:val="0"/>
        <w:adjustRightInd w:val="0"/>
        <w:spacing w:after="0" w:line="360" w:lineRule="auto"/>
        <w:ind w:left="993" w:right="-1" w:hanging="284"/>
        <w:jc w:val="both"/>
        <w:rPr>
          <w:rFonts w:eastAsia="Calibri" w:cstheme="minorHAnsi"/>
        </w:rPr>
      </w:pPr>
      <w:r w:rsidRPr="009A539C">
        <w:rPr>
          <w:rFonts w:eastAsia="Calibri" w:cstheme="minorHAnsi"/>
        </w:rPr>
        <w:t>nove PE estendem convenções publicadas no quarto trimestre de 2018;</w:t>
      </w:r>
    </w:p>
    <w:p w14:paraId="0431E400" w14:textId="77777777" w:rsidR="00397B0C" w:rsidRPr="009A539C" w:rsidRDefault="00397B0C" w:rsidP="003466A0">
      <w:pPr>
        <w:numPr>
          <w:ilvl w:val="0"/>
          <w:numId w:val="10"/>
        </w:numPr>
        <w:autoSpaceDE w:val="0"/>
        <w:autoSpaceDN w:val="0"/>
        <w:adjustRightInd w:val="0"/>
        <w:spacing w:after="0" w:line="360" w:lineRule="auto"/>
        <w:ind w:left="993" w:right="-1" w:hanging="284"/>
        <w:jc w:val="both"/>
        <w:rPr>
          <w:rFonts w:eastAsia="Calibri" w:cstheme="minorHAnsi"/>
        </w:rPr>
      </w:pPr>
      <w:r w:rsidRPr="009A539C">
        <w:rPr>
          <w:rFonts w:eastAsia="Calibri" w:cstheme="minorHAnsi"/>
        </w:rPr>
        <w:t>nalguns casos ocorrem dois ciclos de emissão de PE no ano de 2019, em duas situações, com a extensão da convenção publicada em 2018 e a publicada em 2019  e, noutros casos, a  mesma convenção  teve uma revisão parcial no final do ano ;</w:t>
      </w:r>
    </w:p>
    <w:p w14:paraId="0904993D" w14:textId="77777777" w:rsidR="00397B0C" w:rsidRPr="009A539C" w:rsidRDefault="00397B0C" w:rsidP="003466A0">
      <w:pPr>
        <w:numPr>
          <w:ilvl w:val="0"/>
          <w:numId w:val="10"/>
        </w:numPr>
        <w:autoSpaceDE w:val="0"/>
        <w:autoSpaceDN w:val="0"/>
        <w:adjustRightInd w:val="0"/>
        <w:spacing w:after="0" w:line="360" w:lineRule="auto"/>
        <w:ind w:left="993" w:right="-1" w:hanging="284"/>
        <w:jc w:val="both"/>
        <w:rPr>
          <w:rFonts w:eastAsia="Calibri" w:cstheme="minorHAnsi"/>
        </w:rPr>
      </w:pPr>
      <w:r w:rsidRPr="009A539C">
        <w:rPr>
          <w:rFonts w:eastAsia="Calibri" w:cstheme="minorHAnsi"/>
        </w:rPr>
        <w:t>existem 19 PE que correspondem à extensão de convenções paralelas;</w:t>
      </w:r>
    </w:p>
    <w:p w14:paraId="10776658" w14:textId="77777777" w:rsidR="00397B0C" w:rsidRPr="009A539C" w:rsidRDefault="00397B0C" w:rsidP="003466A0">
      <w:pPr>
        <w:numPr>
          <w:ilvl w:val="0"/>
          <w:numId w:val="10"/>
        </w:numPr>
        <w:autoSpaceDE w:val="0"/>
        <w:autoSpaceDN w:val="0"/>
        <w:adjustRightInd w:val="0"/>
        <w:spacing w:after="0" w:line="360" w:lineRule="auto"/>
        <w:ind w:left="993" w:right="-1" w:hanging="284"/>
        <w:jc w:val="both"/>
        <w:rPr>
          <w:rFonts w:eastAsia="Calibri" w:cstheme="minorHAnsi"/>
        </w:rPr>
      </w:pPr>
      <w:r w:rsidRPr="009A539C">
        <w:rPr>
          <w:rFonts w:eastAsia="Calibri" w:cstheme="minorHAnsi"/>
        </w:rPr>
        <w:t xml:space="preserve"> as </w:t>
      </w:r>
      <w:r w:rsidRPr="009A539C">
        <w:t xml:space="preserve"> portarias  de extensão  repartem-se  por  12 setores de atividade da CAE, </w:t>
      </w:r>
      <w:r w:rsidRPr="009A539C">
        <w:rPr>
          <w:rFonts w:eastAsia="Calibri" w:cstheme="minorHAnsi"/>
        </w:rPr>
        <w:t xml:space="preserve">com </w:t>
      </w:r>
      <w:r w:rsidRPr="009A539C">
        <w:t>predomínio da indústria</w:t>
      </w:r>
      <w:r w:rsidRPr="009A539C">
        <w:rPr>
          <w:rFonts w:eastAsia="Calibri" w:cstheme="minorHAnsi"/>
        </w:rPr>
        <w:t xml:space="preserve">(C)  </w:t>
      </w:r>
      <w:r w:rsidRPr="009A539C">
        <w:t xml:space="preserve"> (30 em 83)  e  do comércio </w:t>
      </w:r>
      <w:r w:rsidRPr="009A539C">
        <w:rPr>
          <w:rFonts w:eastAsia="Calibri" w:cstheme="minorHAnsi"/>
        </w:rPr>
        <w:t>(G)</w:t>
      </w:r>
      <w:r w:rsidRPr="009A539C">
        <w:t xml:space="preserve"> (26 em 83 PE) seguida da alojamento e restauração. (I) (8 em 83PE).  </w:t>
      </w:r>
    </w:p>
    <w:p w14:paraId="4F9E05C0" w14:textId="77777777" w:rsidR="00397B0C" w:rsidRPr="009A539C" w:rsidRDefault="00397B0C" w:rsidP="003466A0">
      <w:pPr>
        <w:autoSpaceDE w:val="0"/>
        <w:autoSpaceDN w:val="0"/>
        <w:adjustRightInd w:val="0"/>
        <w:spacing w:after="0" w:line="360" w:lineRule="auto"/>
        <w:ind w:right="-1"/>
        <w:jc w:val="both"/>
        <w:rPr>
          <w:rFonts w:eastAsia="Calibri" w:cstheme="minorHAnsi"/>
        </w:rPr>
      </w:pPr>
    </w:p>
    <w:p w14:paraId="7C4F7109" w14:textId="77777777" w:rsidR="00397B0C" w:rsidRPr="009A539C" w:rsidRDefault="00397B0C" w:rsidP="003466A0">
      <w:pPr>
        <w:numPr>
          <w:ilvl w:val="0"/>
          <w:numId w:val="52"/>
        </w:numPr>
        <w:tabs>
          <w:tab w:val="left" w:pos="851"/>
        </w:tabs>
        <w:spacing w:after="0" w:line="360" w:lineRule="auto"/>
        <w:ind w:left="714" w:right="-1" w:hanging="357"/>
        <w:jc w:val="both"/>
        <w:rPr>
          <w:rFonts w:eastAsia="Calibri" w:cstheme="minorHAnsi"/>
        </w:rPr>
      </w:pPr>
      <w:r w:rsidRPr="009A539C">
        <w:rPr>
          <w:rFonts w:eastAsia="Times New Roman" w:cstheme="minorHAnsi"/>
        </w:rPr>
        <w:t xml:space="preserve">No </w:t>
      </w:r>
      <w:r w:rsidRPr="009A539C">
        <w:rPr>
          <w:rFonts w:eastAsia="Calibri" w:cstheme="minorHAnsi"/>
          <w:bCs/>
        </w:rPr>
        <w:t xml:space="preserve">Setor </w:t>
      </w:r>
      <w:r w:rsidRPr="009A539C">
        <w:rPr>
          <w:rFonts w:eastAsia="Times New Roman" w:cstheme="minorHAnsi"/>
        </w:rPr>
        <w:t xml:space="preserve">público empresarial (4.3.), </w:t>
      </w:r>
      <w:r w:rsidRPr="009A539C">
        <w:rPr>
          <w:rFonts w:eastAsia="Calibri" w:cstheme="minorHAnsi"/>
        </w:rPr>
        <w:t>em 2019, há um crescimento do número de IRCT publicados (36 IRCT: 10 AA, 5 AC e 21 AE), com 63 empresas abrangidas (77 em 2018). Continua a persistir uma percentagem assinalável de instrumentos paralelos e a concentração de várias mesas negociais com a mesma empresa ou grupo de empresas.</w:t>
      </w:r>
    </w:p>
    <w:p w14:paraId="0EB061C1" w14:textId="16912F49" w:rsidR="00397B0C" w:rsidRPr="009A539C" w:rsidRDefault="00397B0C" w:rsidP="003466A0">
      <w:pPr>
        <w:tabs>
          <w:tab w:val="left" w:pos="851"/>
        </w:tabs>
        <w:spacing w:after="0" w:line="360" w:lineRule="auto"/>
        <w:ind w:left="714" w:right="-1"/>
        <w:jc w:val="both"/>
        <w:rPr>
          <w:rFonts w:eastAsia="Calibri" w:cstheme="minorHAnsi"/>
        </w:rPr>
      </w:pPr>
      <w:r w:rsidRPr="009A539C">
        <w:rPr>
          <w:rFonts w:eastAsia="Calibri" w:cstheme="minorHAnsi"/>
        </w:rPr>
        <w:t>Pelo prisma do período de eficácia da convenção, a contratação coletiva do SPE publicada em 2019 pode segmentar-se em três gru</w:t>
      </w:r>
      <w:r w:rsidR="00AF488A" w:rsidRPr="009A539C">
        <w:rPr>
          <w:rFonts w:eastAsia="Calibri" w:cstheme="minorHAnsi"/>
        </w:rPr>
        <w:t xml:space="preserve">pos: primeiras convenções (6); </w:t>
      </w:r>
      <w:r w:rsidRPr="009A539C">
        <w:rPr>
          <w:rFonts w:eastAsia="Calibri" w:cstheme="minorHAnsi"/>
        </w:rPr>
        <w:t>revisão global (uma, com 101 meses de eficácia); e revisões parciais (19, com períodos de eficácia muito díspares, entre 3 e 186 meses).</w:t>
      </w:r>
    </w:p>
    <w:p w14:paraId="1FA2E9C7" w14:textId="77777777" w:rsidR="00397B0C" w:rsidRPr="009A539C" w:rsidRDefault="00397B0C" w:rsidP="003466A0">
      <w:pPr>
        <w:tabs>
          <w:tab w:val="left" w:pos="851"/>
        </w:tabs>
        <w:spacing w:after="0" w:line="360" w:lineRule="auto"/>
        <w:ind w:right="-1"/>
        <w:jc w:val="both"/>
        <w:rPr>
          <w:rFonts w:eastAsia="Calibri" w:cstheme="minorHAnsi"/>
        </w:rPr>
      </w:pPr>
    </w:p>
    <w:p w14:paraId="47EF47C4" w14:textId="77777777" w:rsidR="00397B0C" w:rsidRPr="009A539C" w:rsidRDefault="00397B0C" w:rsidP="003466A0">
      <w:pPr>
        <w:numPr>
          <w:ilvl w:val="0"/>
          <w:numId w:val="52"/>
        </w:numPr>
        <w:tabs>
          <w:tab w:val="left" w:pos="851"/>
        </w:tabs>
        <w:autoSpaceDE w:val="0"/>
        <w:autoSpaceDN w:val="0"/>
        <w:adjustRightInd w:val="0"/>
        <w:spacing w:after="0" w:line="360" w:lineRule="auto"/>
        <w:ind w:left="714" w:right="-1" w:hanging="357"/>
        <w:jc w:val="both"/>
        <w:rPr>
          <w:rFonts w:eastAsia="Calibri" w:cstheme="minorHAnsi"/>
        </w:rPr>
      </w:pPr>
      <w:r w:rsidRPr="009A539C">
        <w:rPr>
          <w:rFonts w:eastAsia="Calibri" w:cstheme="minorHAnsi"/>
        </w:rPr>
        <w:t>A análise dedicada aos conteúdos das convenções coletivas em 2019 conserva o figurino de relatórios anteriores (4.4.1), assente em dois tipos de aprofundamentos:</w:t>
      </w:r>
    </w:p>
    <w:p w14:paraId="41A10730" w14:textId="77777777" w:rsidR="00397B0C" w:rsidRPr="009A539C" w:rsidRDefault="00397B0C" w:rsidP="003466A0">
      <w:pPr>
        <w:numPr>
          <w:ilvl w:val="0"/>
          <w:numId w:val="53"/>
        </w:numPr>
        <w:autoSpaceDE w:val="0"/>
        <w:autoSpaceDN w:val="0"/>
        <w:adjustRightInd w:val="0"/>
        <w:spacing w:after="0" w:line="360" w:lineRule="auto"/>
        <w:ind w:left="993" w:right="-1" w:hanging="284"/>
        <w:contextualSpacing/>
        <w:jc w:val="both"/>
        <w:rPr>
          <w:rFonts w:eastAsia="Calibri" w:cstheme="minorHAnsi"/>
        </w:rPr>
      </w:pPr>
      <w:r w:rsidRPr="009A539C">
        <w:rPr>
          <w:rFonts w:eastAsia="Calibri" w:cstheme="minorHAnsi"/>
        </w:rPr>
        <w:t xml:space="preserve">um mais geral sobre os grandes blocos temáticos tratados e </w:t>
      </w:r>
    </w:p>
    <w:p w14:paraId="599DA63C" w14:textId="77777777" w:rsidR="00397B0C" w:rsidRPr="009A539C" w:rsidRDefault="00397B0C" w:rsidP="003466A0">
      <w:pPr>
        <w:numPr>
          <w:ilvl w:val="0"/>
          <w:numId w:val="53"/>
        </w:numPr>
        <w:autoSpaceDE w:val="0"/>
        <w:autoSpaceDN w:val="0"/>
        <w:adjustRightInd w:val="0"/>
        <w:spacing w:after="0" w:line="360" w:lineRule="auto"/>
        <w:ind w:left="993" w:right="-1" w:hanging="284"/>
        <w:contextualSpacing/>
        <w:jc w:val="both"/>
        <w:rPr>
          <w:rFonts w:eastAsia="Calibri" w:cstheme="minorHAnsi"/>
        </w:rPr>
      </w:pPr>
      <w:r w:rsidRPr="009A539C">
        <w:rPr>
          <w:rFonts w:eastAsia="Calibri" w:cstheme="minorHAnsi"/>
        </w:rPr>
        <w:t xml:space="preserve">outro mais aprofundado, em que se analisam as seguintes matérias: âmbito de aplicação das convenções; duração e organização do tempo de trabalho; qualificação dos trabalhadores; igualdade; avaliação de desempenho; benefícios sociais e regimes previdenciais complementares; direitos das estruturas representativas dos trabalhadores; e, ainda direito à proteção de dados pessoais e a sua conexão com os direitos de personalidade e regulamentos.  </w:t>
      </w:r>
    </w:p>
    <w:p w14:paraId="0FFF37EC" w14:textId="77777777" w:rsidR="00397B0C" w:rsidRPr="009A539C" w:rsidRDefault="00397B0C" w:rsidP="003466A0">
      <w:pPr>
        <w:tabs>
          <w:tab w:val="left" w:pos="851"/>
        </w:tabs>
        <w:autoSpaceDE w:val="0"/>
        <w:autoSpaceDN w:val="0"/>
        <w:adjustRightInd w:val="0"/>
        <w:spacing w:after="0" w:line="360" w:lineRule="auto"/>
        <w:ind w:left="714" w:right="-1"/>
        <w:jc w:val="both"/>
        <w:rPr>
          <w:rFonts w:eastAsia="Calibri" w:cstheme="minorHAnsi"/>
        </w:rPr>
      </w:pPr>
    </w:p>
    <w:p w14:paraId="4D111055" w14:textId="3D99A5CC" w:rsidR="00397B0C" w:rsidRPr="009A539C" w:rsidRDefault="00397B0C" w:rsidP="003466A0">
      <w:pPr>
        <w:numPr>
          <w:ilvl w:val="0"/>
          <w:numId w:val="52"/>
        </w:numPr>
        <w:tabs>
          <w:tab w:val="left" w:pos="851"/>
        </w:tabs>
        <w:spacing w:after="0" w:line="360" w:lineRule="auto"/>
        <w:ind w:left="714" w:right="-1" w:hanging="357"/>
        <w:jc w:val="both"/>
        <w:rPr>
          <w:rFonts w:eastAsia="Calibri" w:cstheme="minorHAnsi"/>
        </w:rPr>
      </w:pPr>
      <w:r w:rsidRPr="009A539C">
        <w:rPr>
          <w:rFonts w:eastAsia="Calibri" w:cstheme="minorHAnsi"/>
        </w:rPr>
        <w:t>No plano dos conteúdos (4.4.2), e em termos gerais, o mapeamento das 240 convenções coletivas de 2019 apresenta um perfil  semelhante ao  de anos anteriores, emb</w:t>
      </w:r>
      <w:r w:rsidR="00632D19" w:rsidRPr="009A539C">
        <w:rPr>
          <w:rFonts w:eastAsia="Calibri" w:cstheme="minorHAnsi"/>
        </w:rPr>
        <w:t xml:space="preserve">ora o peso de algumas matérias </w:t>
      </w:r>
      <w:r w:rsidRPr="009A539C">
        <w:rPr>
          <w:rFonts w:eastAsia="Calibri" w:cstheme="minorHAnsi"/>
        </w:rPr>
        <w:t xml:space="preserve">seja superior nuns e inferior noutros casos. Assim, pode verificar-se que: </w:t>
      </w:r>
    </w:p>
    <w:p w14:paraId="22AC5E2E" w14:textId="77777777" w:rsidR="00397B0C" w:rsidRPr="009A539C" w:rsidRDefault="00397B0C" w:rsidP="003466A0">
      <w:pPr>
        <w:numPr>
          <w:ilvl w:val="0"/>
          <w:numId w:val="10"/>
        </w:numPr>
        <w:autoSpaceDE w:val="0"/>
        <w:autoSpaceDN w:val="0"/>
        <w:adjustRightInd w:val="0"/>
        <w:spacing w:after="0" w:line="360" w:lineRule="auto"/>
        <w:ind w:left="993" w:right="-1" w:hanging="284"/>
        <w:jc w:val="both"/>
        <w:rPr>
          <w:rFonts w:eastAsia="Calibri" w:cstheme="minorHAnsi"/>
        </w:rPr>
      </w:pPr>
      <w:r w:rsidRPr="009A539C">
        <w:rPr>
          <w:rFonts w:eastAsia="Calibri" w:cstheme="minorHAnsi"/>
        </w:rPr>
        <w:t xml:space="preserve"> predomina a regulamentação das condições salariais e outras prestações pecuniárias e o regime de vigência, seguindo-se o âmbito geográfico e tempos de trabalho; </w:t>
      </w:r>
    </w:p>
    <w:p w14:paraId="49A5C142" w14:textId="77777777" w:rsidR="00397B0C" w:rsidRPr="009A539C" w:rsidRDefault="00397B0C" w:rsidP="003466A0">
      <w:pPr>
        <w:numPr>
          <w:ilvl w:val="0"/>
          <w:numId w:val="10"/>
        </w:numPr>
        <w:autoSpaceDE w:val="0"/>
        <w:autoSpaceDN w:val="0"/>
        <w:adjustRightInd w:val="0"/>
        <w:spacing w:after="0" w:line="360" w:lineRule="auto"/>
        <w:ind w:left="993" w:right="-1" w:hanging="284"/>
        <w:jc w:val="both"/>
        <w:rPr>
          <w:rFonts w:eastAsia="Calibri" w:cstheme="minorHAnsi"/>
        </w:rPr>
      </w:pPr>
      <w:r w:rsidRPr="009A539C">
        <w:rPr>
          <w:rFonts w:eastAsia="Calibri" w:cstheme="minorHAnsi"/>
        </w:rPr>
        <w:t xml:space="preserve"> há matérias que integram essencialmente as situações de negociação global, primeiras convenções e revisões globais (é o caso dos direitos de personalidade, adaptabilidade, banco de horas, horários concentrados, comissão de serviço, trabalho intermitente, licenças, encerramento temporário do estabelecimento ou diminuição de laboração, transmissão de empresa ou estabelecimento, resolução de conflitos, greve); </w:t>
      </w:r>
    </w:p>
    <w:p w14:paraId="76F3E3CE" w14:textId="77777777" w:rsidR="00397B0C" w:rsidRPr="009A539C" w:rsidRDefault="00397B0C" w:rsidP="003466A0">
      <w:pPr>
        <w:numPr>
          <w:ilvl w:val="0"/>
          <w:numId w:val="10"/>
        </w:numPr>
        <w:autoSpaceDE w:val="0"/>
        <w:autoSpaceDN w:val="0"/>
        <w:adjustRightInd w:val="0"/>
        <w:spacing w:after="0" w:line="360" w:lineRule="auto"/>
        <w:ind w:left="993" w:right="-1" w:hanging="284"/>
        <w:jc w:val="both"/>
        <w:rPr>
          <w:rFonts w:eastAsia="Calibri" w:cstheme="minorHAnsi"/>
        </w:rPr>
      </w:pPr>
      <w:r w:rsidRPr="009A539C">
        <w:rPr>
          <w:rFonts w:eastAsia="Calibri" w:cstheme="minorHAnsi"/>
        </w:rPr>
        <w:t xml:space="preserve"> outros tópicos surgem essencialmente nesses subtipos, embora sejam regulados esporadicamente nas revisões parciais (categorias e carreiras; contratação a termo; direitos, deveres e garantias das partes; local de trabalho; poder disciplinar; trabalho a tempo parcial; comissões paritárias); </w:t>
      </w:r>
    </w:p>
    <w:p w14:paraId="05774615" w14:textId="77777777" w:rsidR="00397B0C" w:rsidRPr="009A539C" w:rsidRDefault="00397B0C" w:rsidP="003466A0">
      <w:pPr>
        <w:numPr>
          <w:ilvl w:val="0"/>
          <w:numId w:val="10"/>
        </w:numPr>
        <w:autoSpaceDE w:val="0"/>
        <w:autoSpaceDN w:val="0"/>
        <w:adjustRightInd w:val="0"/>
        <w:spacing w:after="0" w:line="360" w:lineRule="auto"/>
        <w:ind w:left="993" w:right="-1" w:hanging="284"/>
        <w:jc w:val="both"/>
        <w:rPr>
          <w:rFonts w:eastAsia="Calibri" w:cstheme="minorHAnsi"/>
        </w:rPr>
      </w:pPr>
      <w:r w:rsidRPr="009A539C">
        <w:rPr>
          <w:rFonts w:eastAsia="Calibri" w:cstheme="minorHAnsi"/>
        </w:rPr>
        <w:t xml:space="preserve"> nas revisões parciais, destaca -se a matéria salarial, sendo também regulados, ainda que parcialmente, alguns institutos associados a condições retributivas, incluindo deslocações, prestações sociais complementares e definição dos períodos de vigência da convenção ou da tabela salarial; </w:t>
      </w:r>
    </w:p>
    <w:p w14:paraId="4BC84ADA" w14:textId="77777777" w:rsidR="00397B0C" w:rsidRPr="009A539C" w:rsidRDefault="00397B0C" w:rsidP="003466A0">
      <w:pPr>
        <w:numPr>
          <w:ilvl w:val="0"/>
          <w:numId w:val="10"/>
        </w:numPr>
        <w:autoSpaceDE w:val="0"/>
        <w:autoSpaceDN w:val="0"/>
        <w:adjustRightInd w:val="0"/>
        <w:spacing w:after="0" w:line="360" w:lineRule="auto"/>
        <w:ind w:left="993" w:right="-1" w:hanging="284"/>
        <w:jc w:val="both"/>
        <w:rPr>
          <w:rFonts w:eastAsia="Calibri" w:cstheme="minorHAnsi"/>
        </w:rPr>
      </w:pPr>
      <w:r w:rsidRPr="009A539C">
        <w:rPr>
          <w:rFonts w:eastAsia="Calibri" w:cstheme="minorHAnsi"/>
        </w:rPr>
        <w:t xml:space="preserve"> tradicionalmente, há temas regulados com maior frequência em AE (adesão individual, disponibilidade, prestações sociais complementares, adaptabilidade, trabalho suplementar, avaliação de desempenho, trabalho a tempo parcial, assim como cláusulas de articulação e regimes transitórios);</w:t>
      </w:r>
    </w:p>
    <w:p w14:paraId="5DEC6203" w14:textId="77777777" w:rsidR="00397B0C" w:rsidRPr="009A539C" w:rsidRDefault="00397B0C" w:rsidP="003466A0">
      <w:pPr>
        <w:numPr>
          <w:ilvl w:val="0"/>
          <w:numId w:val="10"/>
        </w:numPr>
        <w:autoSpaceDE w:val="0"/>
        <w:autoSpaceDN w:val="0"/>
        <w:adjustRightInd w:val="0"/>
        <w:spacing w:after="0" w:line="360" w:lineRule="auto"/>
        <w:ind w:left="993" w:right="-1" w:hanging="284"/>
        <w:jc w:val="both"/>
        <w:rPr>
          <w:rFonts w:eastAsia="Calibri" w:cstheme="minorHAnsi"/>
        </w:rPr>
      </w:pPr>
      <w:r w:rsidRPr="009A539C">
        <w:rPr>
          <w:rFonts w:eastAsia="Calibri" w:cstheme="minorHAnsi"/>
        </w:rPr>
        <w:t xml:space="preserve"> persiste a relevância dos temas relativos à parentalidade e à igualdade e não discriminação, assim como de resolução de conflitos;</w:t>
      </w:r>
    </w:p>
    <w:p w14:paraId="5078FE9B" w14:textId="77777777" w:rsidR="00397B0C" w:rsidRPr="009A539C" w:rsidRDefault="00397B0C" w:rsidP="003466A0">
      <w:pPr>
        <w:numPr>
          <w:ilvl w:val="0"/>
          <w:numId w:val="10"/>
        </w:numPr>
        <w:autoSpaceDE w:val="0"/>
        <w:autoSpaceDN w:val="0"/>
        <w:adjustRightInd w:val="0"/>
        <w:spacing w:after="0" w:line="360" w:lineRule="auto"/>
        <w:ind w:left="993" w:right="-1" w:hanging="284"/>
        <w:jc w:val="both"/>
        <w:rPr>
          <w:rFonts w:eastAsia="Calibri" w:cstheme="minorHAnsi"/>
        </w:rPr>
      </w:pPr>
      <w:r w:rsidRPr="009A539C">
        <w:rPr>
          <w:rFonts w:eastAsia="Calibri" w:cstheme="minorHAnsi"/>
        </w:rPr>
        <w:t>continuam a emergir os temas  associados à proteção de dados pessoais, com inter-relação com os direitos de personalidade.</w:t>
      </w:r>
    </w:p>
    <w:p w14:paraId="4CCC6144" w14:textId="77777777" w:rsidR="00397B0C" w:rsidRPr="009A539C" w:rsidRDefault="00397B0C" w:rsidP="003466A0">
      <w:pPr>
        <w:spacing w:after="160" w:line="360" w:lineRule="auto"/>
        <w:ind w:left="426" w:right="-1"/>
        <w:jc w:val="both"/>
        <w:rPr>
          <w:rFonts w:eastAsia="Calibri" w:cstheme="minorHAnsi"/>
        </w:rPr>
      </w:pPr>
      <w:r w:rsidRPr="009A539C">
        <w:rPr>
          <w:rFonts w:eastAsia="Calibri" w:cstheme="minorHAnsi"/>
        </w:rPr>
        <w:t xml:space="preserve"> </w:t>
      </w:r>
    </w:p>
    <w:p w14:paraId="57BC4930" w14:textId="77777777" w:rsidR="00397B0C" w:rsidRPr="009A539C" w:rsidRDefault="00397B0C" w:rsidP="003466A0">
      <w:pPr>
        <w:numPr>
          <w:ilvl w:val="0"/>
          <w:numId w:val="52"/>
        </w:numPr>
        <w:tabs>
          <w:tab w:val="left" w:pos="851"/>
        </w:tabs>
        <w:spacing w:after="0" w:line="360" w:lineRule="auto"/>
        <w:ind w:left="714" w:right="-1" w:hanging="357"/>
        <w:jc w:val="both"/>
        <w:rPr>
          <w:rFonts w:eastAsia="Calibri" w:cstheme="minorHAnsi"/>
        </w:rPr>
      </w:pPr>
      <w:r w:rsidRPr="009A539C">
        <w:rPr>
          <w:rFonts w:eastAsia="Calibri" w:cstheme="minorHAnsi"/>
        </w:rPr>
        <w:t xml:space="preserve">Como habitualmente, dedica-se um capítulo para analisar em que medida o artigo 492.º do CT conforma o conteúdo essencial das convenções coletivas (4.4.3), em especial as recomendações constantes dos n.ºs 2 e 3 daquele preceito. A análise concentra-se em primeiras convenções e  revisões globais (79) publicadas em 2019. </w:t>
      </w:r>
    </w:p>
    <w:p w14:paraId="6D50AE52" w14:textId="77777777" w:rsidR="00397B0C" w:rsidRPr="009A539C" w:rsidRDefault="00397B0C" w:rsidP="003466A0">
      <w:pPr>
        <w:tabs>
          <w:tab w:val="left" w:pos="851"/>
        </w:tabs>
        <w:spacing w:after="0" w:line="360" w:lineRule="auto"/>
        <w:ind w:left="714" w:right="-1"/>
        <w:jc w:val="both"/>
        <w:rPr>
          <w:rFonts w:eastAsia="Calibri" w:cstheme="minorHAnsi"/>
        </w:rPr>
      </w:pPr>
      <w:r w:rsidRPr="009A539C">
        <w:rPr>
          <w:rFonts w:eastAsia="Calibri" w:cstheme="minorHAnsi"/>
        </w:rPr>
        <w:t>A repartição relativa entre os nove tópicos cotejados neste ponto, seguem a tendência dos anos anteriores, onde é variável a cobertura e o aprofundamento dos temas recomendados pela lei, a par de uma  grande diversidade de domínios e de modulações  encontradas. Destacam-se   os seguintes aspetos:</w:t>
      </w:r>
    </w:p>
    <w:p w14:paraId="4B3C719B" w14:textId="77777777" w:rsidR="00397B0C" w:rsidRPr="009A539C" w:rsidRDefault="00397B0C" w:rsidP="003466A0">
      <w:pPr>
        <w:numPr>
          <w:ilvl w:val="0"/>
          <w:numId w:val="10"/>
        </w:numPr>
        <w:autoSpaceDE w:val="0"/>
        <w:autoSpaceDN w:val="0"/>
        <w:adjustRightInd w:val="0"/>
        <w:spacing w:after="0" w:line="360" w:lineRule="auto"/>
        <w:ind w:left="993" w:right="-1" w:hanging="284"/>
        <w:jc w:val="both"/>
        <w:rPr>
          <w:rFonts w:eastAsia="Calibri" w:cstheme="minorHAnsi"/>
        </w:rPr>
      </w:pPr>
      <w:r w:rsidRPr="009A539C">
        <w:rPr>
          <w:rFonts w:eastAsia="Calibri" w:cstheme="minorHAnsi"/>
        </w:rPr>
        <w:t xml:space="preserve"> nas relações entre outorgantes, regulam-se os meios de resolução de conflitos coletivos decorrentes da aplicação ou revisão da convenção, incluindo a possibilidade de conciliação, mediação e arbitragem voluntária ou apenas um destes mecanismos; </w:t>
      </w:r>
    </w:p>
    <w:p w14:paraId="68DF1DD9" w14:textId="77777777" w:rsidR="00397B0C" w:rsidRPr="009A539C" w:rsidRDefault="00397B0C" w:rsidP="003466A0">
      <w:pPr>
        <w:numPr>
          <w:ilvl w:val="0"/>
          <w:numId w:val="10"/>
        </w:numPr>
        <w:autoSpaceDE w:val="0"/>
        <w:autoSpaceDN w:val="0"/>
        <w:adjustRightInd w:val="0"/>
        <w:spacing w:after="0" w:line="360" w:lineRule="auto"/>
        <w:ind w:left="993" w:right="-1" w:hanging="284"/>
        <w:jc w:val="both"/>
        <w:rPr>
          <w:rFonts w:eastAsia="Calibri" w:cstheme="minorHAnsi"/>
        </w:rPr>
      </w:pPr>
      <w:r w:rsidRPr="009A539C">
        <w:rPr>
          <w:rFonts w:eastAsia="Calibri" w:cstheme="minorHAnsi"/>
        </w:rPr>
        <w:t xml:space="preserve"> na previsão de ações de formação profissional, tendo presente as necessidades de trabalhador e empregador, as formulações são, maioritariamente, próximas da lei;</w:t>
      </w:r>
    </w:p>
    <w:p w14:paraId="5289062B" w14:textId="77777777" w:rsidR="00397B0C" w:rsidRPr="009A539C" w:rsidRDefault="00397B0C" w:rsidP="003466A0">
      <w:pPr>
        <w:numPr>
          <w:ilvl w:val="0"/>
          <w:numId w:val="10"/>
        </w:numPr>
        <w:autoSpaceDE w:val="0"/>
        <w:autoSpaceDN w:val="0"/>
        <w:adjustRightInd w:val="0"/>
        <w:spacing w:after="0" w:line="360" w:lineRule="auto"/>
        <w:ind w:left="993" w:right="-1" w:hanging="284"/>
        <w:jc w:val="both"/>
        <w:rPr>
          <w:rFonts w:eastAsia="Calibri" w:cstheme="minorHAnsi"/>
        </w:rPr>
      </w:pPr>
      <w:r w:rsidRPr="009A539C">
        <w:rPr>
          <w:rFonts w:eastAsia="Calibri" w:cstheme="minorHAnsi"/>
        </w:rPr>
        <w:t xml:space="preserve"> nas condições de prestação do trabalho relativas à segurança e saúde, enunciam-se as várias vertentes que envolvem o planeamento e implementação de medidas ou serviços de segurança e saúde, da responsabilidade da empresa. Encontram-se várias convenções que preveem a realização periódica de exames médicos, a fim de promover o bem-estar físico e psíquico dos trabalhadores o que, de algum modo, é tributário das relações de trabalho da era digital e da intensificação dos riscos profissionais associados ao </w:t>
      </w:r>
      <w:r w:rsidRPr="009A539C">
        <w:rPr>
          <w:rFonts w:eastAsia="Calibri" w:cstheme="minorHAnsi"/>
          <w:i/>
        </w:rPr>
        <w:t>stress</w:t>
      </w:r>
      <w:r w:rsidRPr="009A539C">
        <w:rPr>
          <w:rFonts w:eastAsia="Calibri" w:cstheme="minorHAnsi"/>
        </w:rPr>
        <w:t xml:space="preserve"> e ao assédio por meios tecnológicos;</w:t>
      </w:r>
    </w:p>
    <w:p w14:paraId="6DBE6E85" w14:textId="77777777" w:rsidR="00397B0C" w:rsidRPr="009A539C" w:rsidRDefault="00397B0C" w:rsidP="003466A0">
      <w:pPr>
        <w:numPr>
          <w:ilvl w:val="0"/>
          <w:numId w:val="10"/>
        </w:numPr>
        <w:autoSpaceDE w:val="0"/>
        <w:autoSpaceDN w:val="0"/>
        <w:adjustRightInd w:val="0"/>
        <w:spacing w:after="0" w:line="360" w:lineRule="auto"/>
        <w:ind w:left="993" w:right="-1" w:hanging="284"/>
        <w:jc w:val="both"/>
        <w:rPr>
          <w:rFonts w:eastAsia="Calibri" w:cstheme="minorHAnsi"/>
        </w:rPr>
      </w:pPr>
      <w:r w:rsidRPr="009A539C">
        <w:rPr>
          <w:rFonts w:eastAsia="Calibri" w:cstheme="minorHAnsi"/>
        </w:rPr>
        <w:t xml:space="preserve"> nas medidas que visam a efetiva aplicação do princípio da igualdade e não discriminação, regista-se a diversidade de matérias tratadas (o tema é abordado especificamente no ponto 4.4.7.);</w:t>
      </w:r>
    </w:p>
    <w:p w14:paraId="3DA2C86C" w14:textId="77777777" w:rsidR="00397B0C" w:rsidRPr="009A539C" w:rsidRDefault="00397B0C" w:rsidP="003466A0">
      <w:pPr>
        <w:numPr>
          <w:ilvl w:val="0"/>
          <w:numId w:val="10"/>
        </w:numPr>
        <w:autoSpaceDE w:val="0"/>
        <w:autoSpaceDN w:val="0"/>
        <w:adjustRightInd w:val="0"/>
        <w:spacing w:after="0" w:line="360" w:lineRule="auto"/>
        <w:ind w:left="993" w:right="-1" w:hanging="284"/>
        <w:jc w:val="both"/>
        <w:rPr>
          <w:rFonts w:eastAsia="Calibri" w:cstheme="minorHAnsi"/>
        </w:rPr>
      </w:pPr>
      <w:r w:rsidRPr="009A539C">
        <w:rPr>
          <w:rFonts w:eastAsia="Calibri" w:cstheme="minorHAnsi"/>
        </w:rPr>
        <w:t xml:space="preserve"> quanto aos outros direitos e deveres dos trabalhadores e dos empregadores, são comuns as regras sobre a retribuição base para todas as profissões e categorias profissionais;</w:t>
      </w:r>
    </w:p>
    <w:p w14:paraId="28EFA47D" w14:textId="77777777" w:rsidR="00397B0C" w:rsidRPr="009A539C" w:rsidRDefault="00397B0C" w:rsidP="003466A0">
      <w:pPr>
        <w:numPr>
          <w:ilvl w:val="0"/>
          <w:numId w:val="10"/>
        </w:numPr>
        <w:autoSpaceDE w:val="0"/>
        <w:autoSpaceDN w:val="0"/>
        <w:adjustRightInd w:val="0"/>
        <w:spacing w:after="0" w:line="360" w:lineRule="auto"/>
        <w:ind w:left="993" w:right="-1" w:hanging="284"/>
        <w:jc w:val="both"/>
        <w:rPr>
          <w:rFonts w:eastAsia="Calibri" w:cstheme="minorHAnsi"/>
        </w:rPr>
      </w:pPr>
      <w:r w:rsidRPr="009A539C">
        <w:rPr>
          <w:rFonts w:eastAsia="Calibri" w:cstheme="minorHAnsi"/>
        </w:rPr>
        <w:t xml:space="preserve"> Localizam-se diversos mecanismos de resolução pacífica dos litígios emergentes de contratos de trabalho, com figurinos variáveis: atribuição de competência a comissão paritária ou outro tipo de órgão de natureza paritária, a comissão arbitral ou a centros de mediação laboral, desde que não estejam em causa direitos indisponíveis ou não resultem de acidentes de trabalho; </w:t>
      </w:r>
    </w:p>
    <w:p w14:paraId="0C860D4E" w14:textId="77777777" w:rsidR="00397B0C" w:rsidRPr="009A539C" w:rsidRDefault="00397B0C" w:rsidP="003466A0">
      <w:pPr>
        <w:numPr>
          <w:ilvl w:val="0"/>
          <w:numId w:val="10"/>
        </w:numPr>
        <w:autoSpaceDE w:val="0"/>
        <w:autoSpaceDN w:val="0"/>
        <w:adjustRightInd w:val="0"/>
        <w:spacing w:after="0" w:line="360" w:lineRule="auto"/>
        <w:ind w:left="993" w:right="-1" w:hanging="284"/>
        <w:jc w:val="both"/>
        <w:rPr>
          <w:rFonts w:eastAsia="Calibri" w:cstheme="minorHAnsi"/>
        </w:rPr>
      </w:pPr>
      <w:r w:rsidRPr="009A539C">
        <w:rPr>
          <w:rFonts w:eastAsia="Calibri" w:cstheme="minorHAnsi"/>
        </w:rPr>
        <w:t xml:space="preserve"> Várias convenções estabelecem os serviços necessários à segurança e manutenção de equipamentos e instalações e, raras vezes, fixam os serviços mínimos indispensáveis para ocorrer à satisfação de necessidades sociais impreteríveis em situação de greve; encontram-se também cláusulas de paz social, que deverão prevalecer se for cumprido os termos do respetivo texto convencional; </w:t>
      </w:r>
    </w:p>
    <w:p w14:paraId="0DB91E2A" w14:textId="77777777" w:rsidR="00397B0C" w:rsidRPr="009A539C" w:rsidRDefault="00397B0C" w:rsidP="003466A0">
      <w:pPr>
        <w:numPr>
          <w:ilvl w:val="0"/>
          <w:numId w:val="10"/>
        </w:numPr>
        <w:autoSpaceDE w:val="0"/>
        <w:autoSpaceDN w:val="0"/>
        <w:adjustRightInd w:val="0"/>
        <w:spacing w:after="0" w:line="360" w:lineRule="auto"/>
        <w:ind w:left="993" w:right="-1" w:hanging="284"/>
        <w:jc w:val="both"/>
        <w:rPr>
          <w:rFonts w:eastAsia="Calibri" w:cstheme="minorHAnsi"/>
        </w:rPr>
      </w:pPr>
      <w:r w:rsidRPr="009A539C">
        <w:rPr>
          <w:rFonts w:eastAsia="Calibri" w:cstheme="minorHAnsi"/>
        </w:rPr>
        <w:t xml:space="preserve"> a previsão de uma comissão paritária, com competência para interpretar e integrar as suas cláusulas, encontra-se em 89% do universo de análise e vários IRCT continuam a atribuir-lhe outras competências, na revisão de categorias e conteúdos das profissões e resolução de conflitos individuais (em 2019 foram publicadas seis deliberações de comissões paritárias).</w:t>
      </w:r>
      <w:r w:rsidRPr="009A539C">
        <w:rPr>
          <w:rFonts w:cs="Calibri"/>
        </w:rPr>
        <w:t xml:space="preserve">  </w:t>
      </w:r>
    </w:p>
    <w:p w14:paraId="11C6E6E9" w14:textId="77777777" w:rsidR="00397B0C" w:rsidRPr="009A539C" w:rsidRDefault="00397B0C" w:rsidP="003466A0">
      <w:pPr>
        <w:spacing w:after="0" w:line="360" w:lineRule="auto"/>
        <w:ind w:left="851" w:right="-1" w:firstLine="142"/>
        <w:jc w:val="both"/>
        <w:rPr>
          <w:rFonts w:eastAsia="Calibri" w:cstheme="minorHAnsi"/>
        </w:rPr>
      </w:pPr>
    </w:p>
    <w:p w14:paraId="16952E39" w14:textId="77777777" w:rsidR="00397B0C" w:rsidRPr="009A539C" w:rsidRDefault="00397B0C" w:rsidP="003466A0">
      <w:pPr>
        <w:numPr>
          <w:ilvl w:val="0"/>
          <w:numId w:val="52"/>
        </w:numPr>
        <w:tabs>
          <w:tab w:val="left" w:pos="851"/>
        </w:tabs>
        <w:spacing w:after="0" w:line="360" w:lineRule="auto"/>
        <w:ind w:left="714" w:right="-1" w:hanging="357"/>
        <w:jc w:val="both"/>
        <w:rPr>
          <w:rFonts w:eastAsia="Calibri" w:cstheme="minorHAnsi"/>
        </w:rPr>
      </w:pPr>
      <w:r w:rsidRPr="009A539C">
        <w:rPr>
          <w:rFonts w:eastAsia="Calibri" w:cstheme="minorHAnsi"/>
        </w:rPr>
        <w:t>Passando aos núcleos temáticos objeto de aprofundamento, o Relatório (4.4.4.) debruça-se sobre a aplicação das convenções coletivas e, observando o universo das 240 convenções de 2019, destacam-se as seguintes evidências:</w:t>
      </w:r>
    </w:p>
    <w:p w14:paraId="741AEF4F" w14:textId="77777777" w:rsidR="00397B0C" w:rsidRPr="009A539C" w:rsidRDefault="00397B0C" w:rsidP="003466A0">
      <w:pPr>
        <w:numPr>
          <w:ilvl w:val="0"/>
          <w:numId w:val="10"/>
        </w:numPr>
        <w:autoSpaceDE w:val="0"/>
        <w:autoSpaceDN w:val="0"/>
        <w:adjustRightInd w:val="0"/>
        <w:spacing w:after="0" w:line="360" w:lineRule="auto"/>
        <w:ind w:left="993" w:right="-1" w:hanging="284"/>
        <w:jc w:val="both"/>
        <w:rPr>
          <w:rFonts w:eastAsia="Calibri" w:cstheme="minorHAnsi"/>
        </w:rPr>
      </w:pPr>
      <w:r w:rsidRPr="009A539C">
        <w:rPr>
          <w:rFonts w:eastAsia="Calibri" w:cstheme="minorHAnsi"/>
        </w:rPr>
        <w:t xml:space="preserve"> quanto ao âmbito de aplicação geográfico, predominam, mais uma vez, as convenções de âmbito nacional (continente e regiões autónomas), por contraposição às convenções de âmbito territorial local ou regional (4.4.4.1);</w:t>
      </w:r>
    </w:p>
    <w:p w14:paraId="485BA927" w14:textId="77777777" w:rsidR="00397B0C" w:rsidRPr="009A539C" w:rsidRDefault="00397B0C" w:rsidP="003466A0">
      <w:pPr>
        <w:numPr>
          <w:ilvl w:val="0"/>
          <w:numId w:val="10"/>
        </w:numPr>
        <w:autoSpaceDE w:val="0"/>
        <w:autoSpaceDN w:val="0"/>
        <w:adjustRightInd w:val="0"/>
        <w:spacing w:after="0" w:line="360" w:lineRule="auto"/>
        <w:ind w:left="993" w:right="-1" w:hanging="284"/>
        <w:jc w:val="both"/>
        <w:rPr>
          <w:rFonts w:eastAsia="Calibri" w:cstheme="minorHAnsi"/>
        </w:rPr>
      </w:pPr>
      <w:r w:rsidRPr="009A539C">
        <w:rPr>
          <w:rFonts w:eastAsia="Calibri" w:cstheme="minorHAnsi"/>
        </w:rPr>
        <w:t xml:space="preserve"> continua a ser pouco usual a referência ao esquema de adesão unilateral do trabalhador não sindicalizado a uma convenção coletiva (4.4.4.2.);</w:t>
      </w:r>
    </w:p>
    <w:p w14:paraId="7F7515F4" w14:textId="77777777" w:rsidR="00397B0C" w:rsidRPr="009A539C" w:rsidRDefault="00397B0C" w:rsidP="003466A0">
      <w:pPr>
        <w:numPr>
          <w:ilvl w:val="0"/>
          <w:numId w:val="10"/>
        </w:numPr>
        <w:autoSpaceDE w:val="0"/>
        <w:autoSpaceDN w:val="0"/>
        <w:adjustRightInd w:val="0"/>
        <w:spacing w:after="0" w:line="360" w:lineRule="auto"/>
        <w:ind w:left="993" w:right="-1" w:hanging="284"/>
        <w:jc w:val="both"/>
        <w:rPr>
          <w:rFonts w:eastAsia="Calibri" w:cstheme="minorHAnsi"/>
        </w:rPr>
      </w:pPr>
      <w:r w:rsidRPr="009A539C">
        <w:rPr>
          <w:rFonts w:eastAsia="Calibri" w:cstheme="minorHAnsi"/>
        </w:rPr>
        <w:t xml:space="preserve">em termos de vigência temporal (4.4.4.3), observa-se, também neste ano, que uma percentagem assinalável – </w:t>
      </w:r>
      <w:r w:rsidRPr="009A539C">
        <w:rPr>
          <w:rFonts w:eastAsia="Calibri" w:cstheme="minorHAnsi"/>
          <w:lang w:eastAsia="pt-PT"/>
        </w:rPr>
        <w:t xml:space="preserve">73,7% das convenções (143 em 194)  </w:t>
      </w:r>
      <w:r w:rsidRPr="009A539C">
        <w:rPr>
          <w:rFonts w:eastAsia="Calibri" w:cstheme="minorHAnsi"/>
        </w:rPr>
        <w:t xml:space="preserve">–  foi revista até atingir 24 meses de vigência e, por outro lado, </w:t>
      </w:r>
      <w:r w:rsidRPr="009A539C">
        <w:rPr>
          <w:rFonts w:eastAsia="Calibri" w:cstheme="minorHAnsi"/>
          <w:lang w:eastAsia="pt-PT"/>
        </w:rPr>
        <w:t xml:space="preserve">54,38% </w:t>
      </w:r>
      <w:r w:rsidRPr="009A539C">
        <w:rPr>
          <w:rFonts w:eastAsia="Calibri" w:cstheme="minorHAnsi"/>
        </w:rPr>
        <w:t xml:space="preserve">dos trabalhadores abrangidos por revisão dos respetivos instrumentos está coberto por convenções com período de permanência ”12&lt;24” meses, </w:t>
      </w:r>
      <w:r w:rsidRPr="009A539C">
        <w:rPr>
          <w:rFonts w:eastAsia="Calibri" w:cstheme="minorHAnsi"/>
          <w:lang w:eastAsia="pt-PT"/>
        </w:rPr>
        <w:t>coincidindo, aproximadamente, com o período de vigência mais usual fixado nas convenções coletivas (quadro 40)</w:t>
      </w:r>
      <w:r w:rsidRPr="009A539C">
        <w:t>.</w:t>
      </w:r>
    </w:p>
    <w:p w14:paraId="49D83B35" w14:textId="77777777" w:rsidR="00397B0C" w:rsidRPr="009A539C" w:rsidRDefault="00397B0C" w:rsidP="003466A0">
      <w:pPr>
        <w:numPr>
          <w:ilvl w:val="0"/>
          <w:numId w:val="10"/>
        </w:numPr>
        <w:autoSpaceDE w:val="0"/>
        <w:autoSpaceDN w:val="0"/>
        <w:adjustRightInd w:val="0"/>
        <w:spacing w:after="0" w:line="360" w:lineRule="auto"/>
        <w:ind w:left="993" w:right="-1" w:hanging="284"/>
        <w:jc w:val="both"/>
        <w:rPr>
          <w:rFonts w:eastAsia="Calibri" w:cstheme="minorHAnsi"/>
        </w:rPr>
      </w:pPr>
      <w:r w:rsidRPr="009A539C">
        <w:rPr>
          <w:rFonts w:eastAsia="Calibri" w:cstheme="minorHAnsi"/>
        </w:rPr>
        <w:t>um grupo de 149 convenções, publicadas em 2019 ( em 240 convenções , Quadro 39), disciplina o respetivo período de vigência, predominando a sua fixação em 24 meses -( 54); enquanto o período mais curto é de 12meses (22) e o de maior duração de 60 meses (15) - paralelamente, é corrente estabelecer-se  um período autónomo de vigência para a tabela salarial,  quase sempre, de 12 meses;</w:t>
      </w:r>
    </w:p>
    <w:p w14:paraId="07644CFB" w14:textId="77777777" w:rsidR="00397B0C" w:rsidRPr="009A539C" w:rsidRDefault="00397B0C" w:rsidP="003466A0">
      <w:pPr>
        <w:numPr>
          <w:ilvl w:val="0"/>
          <w:numId w:val="10"/>
        </w:numPr>
        <w:autoSpaceDE w:val="0"/>
        <w:autoSpaceDN w:val="0"/>
        <w:adjustRightInd w:val="0"/>
        <w:spacing w:after="0" w:line="360" w:lineRule="auto"/>
        <w:ind w:left="993" w:right="-1" w:hanging="284"/>
        <w:jc w:val="both"/>
        <w:rPr>
          <w:rFonts w:eastAsia="Calibri" w:cstheme="minorHAnsi"/>
        </w:rPr>
      </w:pPr>
      <w:r w:rsidRPr="009A539C">
        <w:rPr>
          <w:rFonts w:eastAsia="Calibri" w:cstheme="minorHAnsi"/>
        </w:rPr>
        <w:t xml:space="preserve">em 2019, continuam a rarear as convenções que dispõem sobre caducidade e sobrevigência, e, quando tal ocorre, é comum a remissão para o regime legal (reduzindo de 28 em 2018 para 22 em 2019) (4.4.4.4.);   </w:t>
      </w:r>
    </w:p>
    <w:p w14:paraId="7FA21E29" w14:textId="4C1292AD" w:rsidR="00397B0C" w:rsidRPr="009A539C" w:rsidRDefault="00397B0C" w:rsidP="003466A0">
      <w:pPr>
        <w:numPr>
          <w:ilvl w:val="0"/>
          <w:numId w:val="10"/>
        </w:numPr>
        <w:autoSpaceDE w:val="0"/>
        <w:autoSpaceDN w:val="0"/>
        <w:adjustRightInd w:val="0"/>
        <w:spacing w:after="0" w:line="360" w:lineRule="auto"/>
        <w:ind w:left="993" w:right="-1" w:hanging="284"/>
        <w:jc w:val="both"/>
        <w:rPr>
          <w:rFonts w:eastAsia="Calibri" w:cstheme="minorHAnsi"/>
        </w:rPr>
      </w:pPr>
      <w:r w:rsidRPr="009A539C">
        <w:rPr>
          <w:rFonts w:eastAsia="Calibri" w:cstheme="minorHAnsi"/>
        </w:rPr>
        <w:t>Em 2019, escasseia a presença de cláusulas que tratam da articulação ou conjugação de disposições de várias convenções</w:t>
      </w:r>
      <w:r w:rsidR="00733ED7" w:rsidRPr="009A539C">
        <w:rPr>
          <w:rFonts w:eastAsia="Calibri" w:cstheme="minorHAnsi"/>
        </w:rPr>
        <w:t xml:space="preserve">, mas em contrapartida aumenta o número de regimes transitórios (na comparação de 2019 face a 2018, as primeiras  reduzem de 10  para 4 e os  segundo aumentam de 5 para 27) </w:t>
      </w:r>
      <w:r w:rsidRPr="009A539C">
        <w:rPr>
          <w:rFonts w:eastAsia="Calibri" w:cstheme="minorHAnsi"/>
        </w:rPr>
        <w:t xml:space="preserve">(4.4.4.5.). </w:t>
      </w:r>
    </w:p>
    <w:p w14:paraId="096C112B" w14:textId="77777777" w:rsidR="00397B0C" w:rsidRPr="009A539C" w:rsidRDefault="00397B0C" w:rsidP="003466A0">
      <w:pPr>
        <w:tabs>
          <w:tab w:val="left" w:pos="851"/>
        </w:tabs>
        <w:spacing w:after="0" w:line="360" w:lineRule="auto"/>
        <w:ind w:right="-1"/>
        <w:jc w:val="both"/>
        <w:rPr>
          <w:rFonts w:cstheme="minorHAnsi"/>
        </w:rPr>
      </w:pPr>
    </w:p>
    <w:p w14:paraId="11DB6548" w14:textId="77777777" w:rsidR="00397B0C" w:rsidRPr="009A539C" w:rsidRDefault="00397B0C" w:rsidP="003466A0">
      <w:pPr>
        <w:numPr>
          <w:ilvl w:val="0"/>
          <w:numId w:val="52"/>
        </w:numPr>
        <w:tabs>
          <w:tab w:val="left" w:pos="851"/>
        </w:tabs>
        <w:spacing w:after="0" w:line="360" w:lineRule="auto"/>
        <w:ind w:left="714" w:right="-1" w:hanging="357"/>
        <w:jc w:val="both"/>
        <w:rPr>
          <w:rFonts w:eastAsia="Calibri" w:cstheme="minorHAnsi"/>
        </w:rPr>
      </w:pPr>
      <w:r w:rsidRPr="009A539C">
        <w:rPr>
          <w:rFonts w:eastAsia="Calibri" w:cstheme="minorHAnsi"/>
        </w:rPr>
        <w:t>Este relatório introduz um novo ângulo de análise da contratação coletiva que assenta numa realidade difusa mas consistente e que consiste na remissão das convenções coletivas para regulamentações posteriores e que correspondem ora a regulamentos internos ora a acordos complementares (4.4.4.6). Estão nesta categoria os protocolos adicionais que não são publicados no BTE e os regulamentos internos impostos ao empregador por negociação coletiva ou os regulamentos internos negociados que importa conhecer, pelo menos quanto às matérias que as partes escolhem como sendo o seu âmbito.</w:t>
      </w:r>
    </w:p>
    <w:p w14:paraId="28C939A6" w14:textId="77777777" w:rsidR="00397B0C" w:rsidRPr="009A539C" w:rsidRDefault="00397B0C" w:rsidP="003466A0">
      <w:pPr>
        <w:tabs>
          <w:tab w:val="left" w:pos="851"/>
        </w:tabs>
        <w:spacing w:after="0" w:line="360" w:lineRule="auto"/>
        <w:ind w:left="714" w:right="-1"/>
        <w:jc w:val="both"/>
        <w:rPr>
          <w:rFonts w:eastAsia="Calibri" w:cstheme="minorHAnsi"/>
        </w:rPr>
      </w:pPr>
    </w:p>
    <w:p w14:paraId="4AB55B83" w14:textId="77777777" w:rsidR="00397B0C" w:rsidRPr="009A539C" w:rsidRDefault="00397B0C" w:rsidP="003466A0">
      <w:pPr>
        <w:numPr>
          <w:ilvl w:val="0"/>
          <w:numId w:val="52"/>
        </w:numPr>
        <w:tabs>
          <w:tab w:val="left" w:pos="851"/>
        </w:tabs>
        <w:spacing w:after="0" w:line="360" w:lineRule="auto"/>
        <w:ind w:left="714" w:right="-1" w:hanging="357"/>
        <w:jc w:val="both"/>
        <w:rPr>
          <w:rFonts w:cstheme="minorHAnsi"/>
        </w:rPr>
      </w:pPr>
      <w:r w:rsidRPr="009A539C">
        <w:rPr>
          <w:rFonts w:cstheme="minorHAnsi"/>
        </w:rPr>
        <w:t xml:space="preserve"> Pelo quinto ano consecutivo, dedica-se uma  atenção particular às matérias da duração e organização do tempo de trabalho (4.4.5.). Na fisionomia dos vários regimes, não se detetam inflexões particularmente relevantes às linhas de abordagem já conhecidas. No plano quantitativo, os temas são essencialmente abordados em primeiras convenções e revisões globais. Tal facto  repercutiu-se desfavoravelmente  no número de convenções abrangidas  por diversos regimes, comparativamente ao ano anterior,  atendendo à, já conhecida, prevalência  de revisões parciais, a par de uma quebra no número de revisões globais, ocorrida em 2019.  </w:t>
      </w:r>
    </w:p>
    <w:p w14:paraId="2A849200" w14:textId="77777777" w:rsidR="00397B0C" w:rsidRPr="009A539C" w:rsidRDefault="00397B0C" w:rsidP="003466A0">
      <w:pPr>
        <w:spacing w:after="0" w:line="360" w:lineRule="auto"/>
        <w:ind w:left="360" w:right="-1"/>
        <w:contextualSpacing/>
        <w:jc w:val="both"/>
        <w:rPr>
          <w:rFonts w:cstheme="minorHAnsi"/>
        </w:rPr>
      </w:pPr>
    </w:p>
    <w:p w14:paraId="3AE1C292" w14:textId="77777777" w:rsidR="00397B0C" w:rsidRPr="009A539C" w:rsidRDefault="00397B0C" w:rsidP="003466A0">
      <w:pPr>
        <w:numPr>
          <w:ilvl w:val="0"/>
          <w:numId w:val="52"/>
        </w:numPr>
        <w:tabs>
          <w:tab w:val="left" w:pos="851"/>
        </w:tabs>
        <w:spacing w:after="0" w:line="360" w:lineRule="auto"/>
        <w:ind w:left="714" w:right="-1" w:hanging="357"/>
        <w:jc w:val="both"/>
        <w:rPr>
          <w:rFonts w:cstheme="minorHAnsi"/>
        </w:rPr>
      </w:pPr>
      <w:r w:rsidRPr="009A539C">
        <w:rPr>
          <w:rFonts w:cstheme="minorHAnsi"/>
        </w:rPr>
        <w:t>A definição da duração máxima do PNT (4.4.5.1.a)) figura na maioria de primeiras convenções e revisões globais publicadas em 2019(quadro 46)..</w:t>
      </w:r>
      <w:r w:rsidRPr="009A539C">
        <w:rPr>
          <w:rFonts w:cstheme="minorHAnsi"/>
          <w:strike/>
        </w:rPr>
        <w:t xml:space="preserve"> </w:t>
      </w:r>
      <w:r w:rsidRPr="009A539C">
        <w:rPr>
          <w:rFonts w:cstheme="minorHAnsi"/>
        </w:rPr>
        <w:t xml:space="preserve">Continua a prevalecer a duração máxima de 40 horas coincidente com o limite legal, amiúde com a previsão de regimes diferenciados consoante os grupos ou categorias profissionais. </w:t>
      </w:r>
    </w:p>
    <w:p w14:paraId="01F23A34" w14:textId="77777777" w:rsidR="00397B0C" w:rsidRPr="009A539C" w:rsidRDefault="00397B0C" w:rsidP="003466A0">
      <w:pPr>
        <w:spacing w:after="0" w:line="360" w:lineRule="auto"/>
        <w:ind w:left="720" w:right="-1"/>
        <w:jc w:val="both"/>
        <w:rPr>
          <w:rFonts w:cstheme="minorHAnsi"/>
        </w:rPr>
      </w:pPr>
    </w:p>
    <w:p w14:paraId="44AF843A" w14:textId="77777777" w:rsidR="00397B0C" w:rsidRPr="009A539C" w:rsidRDefault="00397B0C" w:rsidP="003466A0">
      <w:pPr>
        <w:numPr>
          <w:ilvl w:val="0"/>
          <w:numId w:val="52"/>
        </w:numPr>
        <w:tabs>
          <w:tab w:val="left" w:pos="851"/>
        </w:tabs>
        <w:spacing w:after="0" w:line="360" w:lineRule="auto"/>
        <w:ind w:left="714" w:right="-1" w:hanging="357"/>
        <w:jc w:val="both"/>
        <w:rPr>
          <w:rFonts w:cstheme="minorHAnsi"/>
        </w:rPr>
      </w:pPr>
      <w:r w:rsidRPr="009A539C">
        <w:rPr>
          <w:rFonts w:cstheme="minorHAnsi"/>
        </w:rPr>
        <w:t xml:space="preserve">A regulação do período de férias (4.4.5.1.b)) assistiu a uma quebra relativa face a 2018 (34% e 41,4%, respetivamente), </w:t>
      </w:r>
      <w:r w:rsidRPr="009A539C">
        <w:rPr>
          <w:rFonts w:eastAsia="Calibri" w:cstheme="minorHAnsi"/>
        </w:rPr>
        <w:t>observada, em especial, ao nível das revisões globais (cfr. quadro 47). Ao nível dos conteúdos, o perfil traçado em 2019 segue o de anos anteriores. Observa-se uma diversidade de soluções, maioritariamente com a reprodução do regime legal, a par da configuração de soluções diferentes, quer alargando o período legalmente previsto, quer, retomando a linha do CT/2003, estabelecendo soluções de majoração das férias anuais, em moldes mais ou menos próximos desse regime legal.</w:t>
      </w:r>
    </w:p>
    <w:p w14:paraId="1C708CC7" w14:textId="77777777" w:rsidR="00397B0C" w:rsidRPr="009A539C" w:rsidRDefault="00397B0C" w:rsidP="003466A0">
      <w:pPr>
        <w:autoSpaceDE w:val="0"/>
        <w:autoSpaceDN w:val="0"/>
        <w:adjustRightInd w:val="0"/>
        <w:spacing w:after="0" w:line="360" w:lineRule="auto"/>
        <w:ind w:right="-1"/>
        <w:jc w:val="both"/>
        <w:rPr>
          <w:rFonts w:eastAsia="Calibri" w:cstheme="minorHAnsi"/>
        </w:rPr>
      </w:pPr>
      <w:r w:rsidRPr="009A539C">
        <w:rPr>
          <w:rFonts w:eastAsia="Calibri" w:cstheme="minorHAnsi"/>
        </w:rPr>
        <w:t xml:space="preserve"> </w:t>
      </w:r>
    </w:p>
    <w:p w14:paraId="24D56165" w14:textId="77777777" w:rsidR="00397B0C" w:rsidRPr="009A539C" w:rsidRDefault="00397B0C" w:rsidP="003466A0">
      <w:pPr>
        <w:numPr>
          <w:ilvl w:val="0"/>
          <w:numId w:val="52"/>
        </w:numPr>
        <w:tabs>
          <w:tab w:val="left" w:pos="709"/>
        </w:tabs>
        <w:spacing w:after="0" w:line="360" w:lineRule="auto"/>
        <w:ind w:left="709" w:right="-1" w:hanging="283"/>
        <w:jc w:val="both"/>
        <w:rPr>
          <w:rFonts w:cstheme="minorHAnsi"/>
        </w:rPr>
      </w:pPr>
      <w:r w:rsidRPr="009A539C">
        <w:rPr>
          <w:rFonts w:cstheme="minorHAnsi"/>
        </w:rPr>
        <w:t xml:space="preserve">No ponto 4.4.5.2., analisam-se, como vem sendo usual,  os três institutos de flexibilização da organização do tempo de trabalho, consagradas na lei e cujo recorte tem sido densificado em convenção coletiva: adaptabilidade, banco de horas e horários concentrados. Aqui dá-se nota de que a renovação de conteúdos é pouco expressiva e, em consequência, a sua descrição é pouco original face à realizada em relatórios anteriores. Nessa linha, sublinham-se dois aspetos consistentemente encontrados na negociação coletiva: </w:t>
      </w:r>
    </w:p>
    <w:p w14:paraId="290634E3" w14:textId="77777777" w:rsidR="00397B0C" w:rsidRPr="009A539C" w:rsidRDefault="00397B0C" w:rsidP="003466A0">
      <w:pPr>
        <w:numPr>
          <w:ilvl w:val="0"/>
          <w:numId w:val="10"/>
        </w:numPr>
        <w:autoSpaceDE w:val="0"/>
        <w:autoSpaceDN w:val="0"/>
        <w:adjustRightInd w:val="0"/>
        <w:spacing w:after="0" w:line="360" w:lineRule="auto"/>
        <w:ind w:left="993" w:right="-1" w:hanging="284"/>
        <w:jc w:val="both"/>
        <w:rPr>
          <w:rFonts w:eastAsia="Calibri" w:cstheme="minorHAnsi"/>
        </w:rPr>
      </w:pPr>
      <w:r w:rsidRPr="009A539C">
        <w:rPr>
          <w:rFonts w:eastAsia="Calibri" w:cstheme="minorHAnsi"/>
        </w:rPr>
        <w:t>a ocorrência  de conexões estreitas entre as regras em matéria de adaptabilidade e/ou do banco de horas e as que respeitam a outros instrumentos de gestão do tempo de trabalho, designadamente o trabalho suplementar, abrangendo, por vezes, a regulação do trabalho por turnos e do trabalho noturno;</w:t>
      </w:r>
    </w:p>
    <w:p w14:paraId="6E27B018" w14:textId="0E2EC1F1" w:rsidR="00397B0C" w:rsidRPr="009A539C" w:rsidRDefault="00397B0C" w:rsidP="003466A0">
      <w:pPr>
        <w:numPr>
          <w:ilvl w:val="0"/>
          <w:numId w:val="10"/>
        </w:numPr>
        <w:autoSpaceDE w:val="0"/>
        <w:autoSpaceDN w:val="0"/>
        <w:adjustRightInd w:val="0"/>
        <w:spacing w:after="0" w:line="360" w:lineRule="auto"/>
        <w:ind w:left="993" w:right="-1" w:hanging="284"/>
        <w:jc w:val="both"/>
        <w:rPr>
          <w:rFonts w:eastAsia="Calibri" w:cstheme="minorHAnsi"/>
        </w:rPr>
      </w:pPr>
      <w:r w:rsidRPr="009A539C">
        <w:rPr>
          <w:rFonts w:eastAsia="Calibri" w:cstheme="minorHAnsi"/>
        </w:rPr>
        <w:t>a existência de alguma padronização de conteúdos e de soluções conve</w:t>
      </w:r>
      <w:r w:rsidR="000A59DA" w:rsidRPr="009A539C">
        <w:rPr>
          <w:rFonts w:eastAsia="Calibri" w:cstheme="minorHAnsi"/>
        </w:rPr>
        <w:t>ncionadas, em função dos se</w:t>
      </w:r>
      <w:r w:rsidRPr="009A539C">
        <w:rPr>
          <w:rFonts w:eastAsia="Calibri" w:cstheme="minorHAnsi"/>
        </w:rPr>
        <w:t xml:space="preserve">tores e dos sujeitos coletivos intervenientes.  </w:t>
      </w:r>
    </w:p>
    <w:p w14:paraId="039B7B70" w14:textId="77777777" w:rsidR="00397B0C" w:rsidRPr="009A539C" w:rsidRDefault="00397B0C" w:rsidP="003466A0">
      <w:pPr>
        <w:autoSpaceDE w:val="0"/>
        <w:autoSpaceDN w:val="0"/>
        <w:adjustRightInd w:val="0"/>
        <w:spacing w:after="0" w:line="360" w:lineRule="auto"/>
        <w:ind w:right="-1"/>
        <w:jc w:val="both"/>
        <w:rPr>
          <w:rFonts w:eastAsia="Calibri" w:cstheme="minorHAnsi"/>
        </w:rPr>
      </w:pPr>
    </w:p>
    <w:p w14:paraId="7EDB2EC2" w14:textId="77777777" w:rsidR="00397B0C" w:rsidRPr="009A539C" w:rsidRDefault="00397B0C" w:rsidP="003466A0">
      <w:pPr>
        <w:numPr>
          <w:ilvl w:val="0"/>
          <w:numId w:val="52"/>
        </w:numPr>
        <w:tabs>
          <w:tab w:val="left" w:pos="709"/>
        </w:tabs>
        <w:spacing w:after="0" w:line="360" w:lineRule="auto"/>
        <w:ind w:left="709" w:right="-1" w:hanging="283"/>
        <w:jc w:val="both"/>
        <w:rPr>
          <w:rFonts w:cstheme="minorHAnsi"/>
        </w:rPr>
      </w:pPr>
      <w:r w:rsidRPr="009A539C">
        <w:rPr>
          <w:rFonts w:cstheme="minorHAnsi"/>
        </w:rPr>
        <w:t xml:space="preserve">No conjunto, em 2019, adaptabilidade e banco de horas têm menor expressão no clausulado convencional (38 ocorrências em 2019, face a 45 em 2018), a par da preponderância das convenções que disciplinam unicamente um daqueles regimes. E, por sua vez, a figura do horário concentrado é muito escassa. </w:t>
      </w:r>
    </w:p>
    <w:p w14:paraId="399DB5B9" w14:textId="77777777" w:rsidR="00397B0C" w:rsidRPr="009A539C" w:rsidRDefault="00397B0C" w:rsidP="003466A0">
      <w:pPr>
        <w:tabs>
          <w:tab w:val="left" w:pos="709"/>
        </w:tabs>
        <w:spacing w:after="0" w:line="360" w:lineRule="auto"/>
        <w:ind w:left="928" w:right="-1"/>
        <w:jc w:val="both"/>
        <w:rPr>
          <w:rFonts w:cstheme="minorHAnsi"/>
        </w:rPr>
      </w:pPr>
    </w:p>
    <w:p w14:paraId="72514D99" w14:textId="77777777" w:rsidR="00397B0C" w:rsidRPr="009A539C" w:rsidRDefault="00397B0C" w:rsidP="003466A0">
      <w:pPr>
        <w:numPr>
          <w:ilvl w:val="0"/>
          <w:numId w:val="52"/>
        </w:numPr>
        <w:tabs>
          <w:tab w:val="left" w:pos="851"/>
        </w:tabs>
        <w:spacing w:after="0" w:line="360" w:lineRule="auto"/>
        <w:ind w:left="720" w:right="-1" w:hanging="357"/>
        <w:jc w:val="both"/>
        <w:rPr>
          <w:rFonts w:cstheme="minorHAnsi"/>
        </w:rPr>
      </w:pPr>
      <w:r w:rsidRPr="009A539C">
        <w:rPr>
          <w:rFonts w:cstheme="minorHAnsi"/>
        </w:rPr>
        <w:t xml:space="preserve">No plano qualitativo, encontram-se as configurações habituais do regime de adaptabilidade, descritas em relatórios anteriores [(4.4.5.2.c)]: </w:t>
      </w:r>
      <w:r w:rsidRPr="009A539C">
        <w:rPr>
          <w:rFonts w:eastAsia="Calibri" w:cstheme="minorHAnsi"/>
          <w:lang w:eastAsia="pt-PT"/>
        </w:rPr>
        <w:t xml:space="preserve">as partes tendem a estabelecer combinações próprias dos elementos estruturais do regime (margens de variação da jornada de trabalho, regras sobre definição de horários, duração dos períodos de referência, etc.), prevendo-se, por vezes, outros elementos (por exemplo, pagamento de despesas extraordinárias para os trabalhadores, procedimentalização do recurso ao regime, consequências da cessação do regime). </w:t>
      </w:r>
      <w:r w:rsidRPr="009A539C">
        <w:rPr>
          <w:rFonts w:cstheme="minorHAnsi"/>
        </w:rPr>
        <w:t xml:space="preserve">Nesta linha, são escassas as meras remissões para a lei, sendo mais comum a introdução de ajustamentos marginais ao quadro legal. </w:t>
      </w:r>
    </w:p>
    <w:p w14:paraId="341AED27" w14:textId="77777777" w:rsidR="00397B0C" w:rsidRPr="009A539C" w:rsidRDefault="00397B0C" w:rsidP="003466A0">
      <w:pPr>
        <w:tabs>
          <w:tab w:val="left" w:pos="851"/>
        </w:tabs>
        <w:spacing w:after="0" w:line="360" w:lineRule="auto"/>
        <w:ind w:left="720" w:right="-1"/>
        <w:jc w:val="both"/>
        <w:rPr>
          <w:rFonts w:cstheme="minorHAnsi"/>
        </w:rPr>
      </w:pPr>
    </w:p>
    <w:p w14:paraId="0808D3B4" w14:textId="77777777" w:rsidR="00397B0C" w:rsidRPr="009A539C" w:rsidRDefault="00397B0C" w:rsidP="003466A0">
      <w:pPr>
        <w:numPr>
          <w:ilvl w:val="0"/>
          <w:numId w:val="52"/>
        </w:numPr>
        <w:tabs>
          <w:tab w:val="left" w:pos="851"/>
        </w:tabs>
        <w:spacing w:after="0" w:line="360" w:lineRule="auto"/>
        <w:ind w:left="720" w:right="-1" w:hanging="357"/>
        <w:jc w:val="both"/>
        <w:rPr>
          <w:rFonts w:cstheme="minorHAnsi"/>
        </w:rPr>
      </w:pPr>
      <w:r w:rsidRPr="009A539C">
        <w:rPr>
          <w:rFonts w:cstheme="minorHAnsi"/>
        </w:rPr>
        <w:t xml:space="preserve">Segue-se a análise da figura do banco de horas (4.4.5.d), onde, a par do observado quanto a adaptabilidade, é nítida a diversificação de regimes. Assim, a tendência para alguma padronização conjuga-se com a adequação da disciplina do seu regime  jurídico  ao contexto organizativo e profissional de cada convenção, traduzida na construção de equilíbrios específicos a partir da modulação dos seus elementos  estruturantes (aumento da jornada de trabalho, volume de horas afeto ao regime, modos e  iniciativa de compensação). </w:t>
      </w:r>
    </w:p>
    <w:p w14:paraId="55AE4E65" w14:textId="77777777" w:rsidR="00397B0C" w:rsidRPr="009A539C" w:rsidRDefault="00397B0C" w:rsidP="003466A0">
      <w:pPr>
        <w:spacing w:after="0" w:line="360" w:lineRule="auto"/>
        <w:ind w:left="360" w:right="-1"/>
        <w:contextualSpacing/>
        <w:jc w:val="both"/>
        <w:rPr>
          <w:rFonts w:cstheme="minorHAnsi"/>
        </w:rPr>
      </w:pPr>
    </w:p>
    <w:p w14:paraId="1B0266C3" w14:textId="77777777" w:rsidR="00397B0C" w:rsidRPr="009A539C" w:rsidRDefault="00397B0C" w:rsidP="003466A0">
      <w:pPr>
        <w:tabs>
          <w:tab w:val="left" w:pos="851"/>
        </w:tabs>
        <w:spacing w:after="0" w:line="360" w:lineRule="auto"/>
        <w:ind w:left="720" w:right="-1"/>
        <w:jc w:val="both"/>
        <w:rPr>
          <w:rFonts w:cstheme="minorHAnsi"/>
        </w:rPr>
      </w:pPr>
      <w:r w:rsidRPr="009A539C">
        <w:rPr>
          <w:rFonts w:cstheme="minorHAnsi"/>
        </w:rPr>
        <w:t>No plano da sua aplicação, são várias as convenções que dão abertura à utilização do banco de horas também no interesse e por iniciativa do trabalhador  (as mais das vezes sujeita à anuência do empregador), retirando unilateralidade a este mecanismos de flexibilização. Ocorre, por fim, a adição de regras sobre questões particulares - designadamente, exigência de uma conta corrente com registo do funcionamento do banco de horas, a cargo do empregador; articulação com a atribuição do subsídio de refeição, em especial no âmbito da redução da jornada; previsão da compensação de despesas decorrentes da variação da jornada, fornecimento de meio de transporte.</w:t>
      </w:r>
    </w:p>
    <w:p w14:paraId="462D1A29" w14:textId="77777777" w:rsidR="00397B0C" w:rsidRPr="009A539C" w:rsidRDefault="00397B0C" w:rsidP="003466A0">
      <w:pPr>
        <w:tabs>
          <w:tab w:val="left" w:pos="851"/>
        </w:tabs>
        <w:spacing w:after="0" w:line="360" w:lineRule="auto"/>
        <w:ind w:left="928" w:right="-1"/>
        <w:jc w:val="both"/>
        <w:rPr>
          <w:rFonts w:eastAsia="Calibri" w:cstheme="minorHAnsi"/>
          <w:lang w:eastAsia="pt-PT"/>
        </w:rPr>
      </w:pPr>
    </w:p>
    <w:p w14:paraId="4B517022" w14:textId="77777777" w:rsidR="00397B0C" w:rsidRPr="009A539C" w:rsidRDefault="00397B0C" w:rsidP="003466A0">
      <w:pPr>
        <w:numPr>
          <w:ilvl w:val="0"/>
          <w:numId w:val="52"/>
        </w:numPr>
        <w:tabs>
          <w:tab w:val="left" w:pos="851"/>
        </w:tabs>
        <w:spacing w:after="0" w:line="360" w:lineRule="auto"/>
        <w:ind w:left="720" w:right="-1" w:hanging="357"/>
        <w:jc w:val="both"/>
        <w:rPr>
          <w:rFonts w:eastAsia="Calibri" w:cstheme="minorHAnsi"/>
          <w:lang w:eastAsia="pt-PT"/>
        </w:rPr>
      </w:pPr>
      <w:r w:rsidRPr="009A539C">
        <w:rPr>
          <w:rFonts w:eastAsia="Calibri" w:cstheme="minorHAnsi"/>
          <w:lang w:eastAsia="pt-PT"/>
        </w:rPr>
        <w:t xml:space="preserve">O horário concentrado, continua a ser raro, isoladamente ou em conjugação com outro instrumento </w:t>
      </w:r>
      <w:r w:rsidRPr="009A539C">
        <w:rPr>
          <w:rFonts w:cstheme="minorHAnsi"/>
        </w:rPr>
        <w:t>(4.4.5.e).</w:t>
      </w:r>
      <w:r w:rsidRPr="009A539C">
        <w:rPr>
          <w:rFonts w:eastAsia="Calibri" w:cstheme="minorHAnsi"/>
          <w:lang w:eastAsia="pt-PT"/>
        </w:rPr>
        <w:t xml:space="preserve"> Em 2019, apenas se encontram três situações: uma coexiste com a disciplina do banco de horas e as outras duas com a previsão da adaptabilidade.</w:t>
      </w:r>
    </w:p>
    <w:p w14:paraId="0E47AF02" w14:textId="77777777" w:rsidR="00397B0C" w:rsidRPr="009A539C" w:rsidRDefault="00397B0C" w:rsidP="003466A0">
      <w:pPr>
        <w:tabs>
          <w:tab w:val="left" w:pos="851"/>
        </w:tabs>
        <w:spacing w:after="0" w:line="360" w:lineRule="auto"/>
        <w:ind w:left="720" w:right="-1"/>
        <w:jc w:val="both"/>
        <w:rPr>
          <w:rFonts w:eastAsia="Calibri" w:cstheme="minorHAnsi"/>
          <w:lang w:eastAsia="pt-PT"/>
        </w:rPr>
      </w:pPr>
    </w:p>
    <w:p w14:paraId="6F118D5B" w14:textId="77777777" w:rsidR="00397B0C" w:rsidRPr="009A539C" w:rsidRDefault="00397B0C" w:rsidP="003466A0">
      <w:pPr>
        <w:numPr>
          <w:ilvl w:val="0"/>
          <w:numId w:val="52"/>
        </w:numPr>
        <w:tabs>
          <w:tab w:val="left" w:pos="851"/>
        </w:tabs>
        <w:spacing w:after="0" w:line="360" w:lineRule="auto"/>
        <w:ind w:left="714" w:right="-1" w:hanging="357"/>
        <w:jc w:val="both"/>
        <w:rPr>
          <w:rFonts w:eastAsia="Calibri" w:cstheme="minorHAnsi"/>
        </w:rPr>
      </w:pPr>
      <w:r w:rsidRPr="009A539C">
        <w:rPr>
          <w:rFonts w:eastAsia="Calibri" w:cstheme="minorHAnsi"/>
          <w:lang w:eastAsia="pt-PT"/>
        </w:rPr>
        <w:t xml:space="preserve">A previsão de regimes de prevenção e disponibilidade (4.4.5.f) conhece, em 2019, por relação aos anos anteriores, </w:t>
      </w:r>
      <w:r w:rsidRPr="009A539C">
        <w:rPr>
          <w:rFonts w:cstheme="minorHAnsi"/>
          <w:lang w:eastAsia="pt-PT"/>
        </w:rPr>
        <w:t>uma ligeira subida, alavancada por vários grupos de convenções paralelas (59% de 27 convenções). A figura continua a marcar presença essencialmente ao nível da empresa e em três setores de atividade: “Indústrias transformadoras”(C’); “Comércio por grosso e a retalho, reparação de veículos automóveis e motociclos”(G); e “Transportes e armazenagem”(H). No recorte dos seus conteúdos denota-se as especificidades de cada organização empresarial (e da atividade nela desenvolvida), com relevo na organização do trabalho em laboração contínua. Tal com em anos anteriores, sobressai a</w:t>
      </w:r>
      <w:r w:rsidRPr="009A539C">
        <w:rPr>
          <w:rFonts w:eastAsia="Calibri" w:cstheme="minorHAnsi"/>
        </w:rPr>
        <w:t xml:space="preserve"> variabilidade de soluções, no que toca, entre outros aspetos: à extensão e à sua instituição (acordo ou ato de gestão) e, bem assim, </w:t>
      </w:r>
      <w:r w:rsidRPr="009A539C">
        <w:rPr>
          <w:rFonts w:cstheme="minorHAnsi"/>
        </w:rPr>
        <w:t xml:space="preserve">à </w:t>
      </w:r>
      <w:r w:rsidRPr="009A539C">
        <w:rPr>
          <w:rFonts w:eastAsia="Calibri" w:cstheme="minorHAnsi"/>
        </w:rPr>
        <w:t>previsão de mecanismos de compensação, designadamente, através de subsídio de disponibilidade associado, ou não, a acréscimos remuneratórios para o trabalho efetivamente prestado.</w:t>
      </w:r>
    </w:p>
    <w:p w14:paraId="0F68CDA7" w14:textId="77777777" w:rsidR="00397B0C" w:rsidRPr="009A539C" w:rsidRDefault="00397B0C" w:rsidP="003466A0">
      <w:pPr>
        <w:spacing w:after="0" w:line="360" w:lineRule="auto"/>
        <w:ind w:left="360" w:right="-1"/>
        <w:contextualSpacing/>
        <w:jc w:val="both"/>
        <w:rPr>
          <w:rFonts w:cstheme="minorHAnsi"/>
        </w:rPr>
      </w:pPr>
    </w:p>
    <w:p w14:paraId="42A6413B" w14:textId="77777777" w:rsidR="00397B0C" w:rsidRPr="009A539C" w:rsidRDefault="00397B0C" w:rsidP="003466A0">
      <w:pPr>
        <w:numPr>
          <w:ilvl w:val="0"/>
          <w:numId w:val="52"/>
        </w:numPr>
        <w:tabs>
          <w:tab w:val="left" w:pos="851"/>
        </w:tabs>
        <w:spacing w:after="0" w:line="360" w:lineRule="auto"/>
        <w:ind w:left="714" w:right="-1" w:hanging="357"/>
        <w:jc w:val="both"/>
        <w:rPr>
          <w:rFonts w:eastAsia="Arial" w:cstheme="minorHAnsi"/>
          <w:lang w:eastAsia="pt-PT" w:bidi="pt-PT"/>
        </w:rPr>
      </w:pPr>
      <w:r w:rsidRPr="009A539C">
        <w:rPr>
          <w:rFonts w:eastAsia="Arial" w:cstheme="minorHAnsi"/>
          <w:lang w:eastAsia="pt-PT" w:bidi="pt-PT"/>
        </w:rPr>
        <w:t>No panorama da contratação coletiva dos últimos anos, o trabalho suplementar tem sido um dos institutos jurídicos mais versado no conjunto de matérias sobre  organização dos tempos de trabalho, o que espelha a sua importância nas relações de trabalho, apesar de  uma ligeira diminuição observada em  2019 (91 em 2019  e 97 em 2018). O clausulado versa, sobretudo, a dimensão remuneratória, destacando-se a este propósito que 90% das primeiras convenções, que regulam o tema, fixa acréscimos remuneratórios acima da lei. Encontram-se, ainda, outras matérias associadas à aplicação do regime do trabalho suplementar (admissibilidade, possibilidade de escusa do trabalhador, conjugação com os regimes do trabalho noturno e do trabalho por turnos).</w:t>
      </w:r>
    </w:p>
    <w:p w14:paraId="7F214BCC" w14:textId="77777777" w:rsidR="00397B0C" w:rsidRPr="009A539C" w:rsidRDefault="00397B0C" w:rsidP="003466A0">
      <w:pPr>
        <w:tabs>
          <w:tab w:val="left" w:pos="851"/>
        </w:tabs>
        <w:spacing w:after="0" w:line="360" w:lineRule="auto"/>
        <w:ind w:right="-1"/>
        <w:jc w:val="both"/>
        <w:rPr>
          <w:rFonts w:eastAsia="Arial" w:cstheme="minorHAnsi"/>
          <w:lang w:eastAsia="pt-PT" w:bidi="pt-PT"/>
        </w:rPr>
      </w:pPr>
    </w:p>
    <w:p w14:paraId="3B65C95F" w14:textId="77777777" w:rsidR="00397B0C" w:rsidRPr="009A539C" w:rsidRDefault="00397B0C" w:rsidP="003466A0">
      <w:pPr>
        <w:numPr>
          <w:ilvl w:val="0"/>
          <w:numId w:val="52"/>
        </w:numPr>
        <w:tabs>
          <w:tab w:val="left" w:pos="851"/>
        </w:tabs>
        <w:spacing w:after="0" w:line="360" w:lineRule="auto"/>
        <w:ind w:left="714" w:right="-1" w:hanging="357"/>
        <w:jc w:val="both"/>
        <w:rPr>
          <w:rFonts w:cstheme="minorHAnsi"/>
        </w:rPr>
      </w:pPr>
      <w:r w:rsidRPr="009A539C">
        <w:rPr>
          <w:rFonts w:cstheme="minorHAnsi"/>
        </w:rPr>
        <w:t xml:space="preserve">Os relatórios do CRL  têm acompanhado os mecanismos de flexibilização do tempo de trabalho no interesse do trabalhador, em capitulo próprio (4.4.5.h), a par da relevância reconhecida aos interesses do trabalhador no quadro do funcionamento de outros mecanismos de flexibilidade (adaptabilidade, banco de horas) e também por nós assinalada. </w:t>
      </w:r>
    </w:p>
    <w:p w14:paraId="4AEB0984" w14:textId="77777777" w:rsidR="00397B0C" w:rsidRPr="009A539C" w:rsidRDefault="00397B0C" w:rsidP="003466A0">
      <w:pPr>
        <w:tabs>
          <w:tab w:val="left" w:pos="851"/>
        </w:tabs>
        <w:spacing w:after="0" w:line="360" w:lineRule="auto"/>
        <w:ind w:left="714" w:right="-1"/>
        <w:jc w:val="both"/>
        <w:rPr>
          <w:rFonts w:cstheme="minorHAnsi"/>
        </w:rPr>
      </w:pPr>
      <w:r w:rsidRPr="009A539C">
        <w:rPr>
          <w:rFonts w:cstheme="minorHAnsi"/>
        </w:rPr>
        <w:t>Como é sabido, a figura mais usual neste domínio é, todavia, a previsão de horários flexíveis. Aqui as convenções, para além de definirem a noção de horário flexível, constroem o respetivo regime, em termos muito variáveis, quer quanto ao nível de aprofundamento quer quanto às regras que o integram (conteúdo e amplitude da margem de gestão conferida ao trabalhador, deveres do trabalhador, regime dos débitos ou saldos horários, etc.).</w:t>
      </w:r>
    </w:p>
    <w:p w14:paraId="35D8FC26" w14:textId="77777777" w:rsidR="00397B0C" w:rsidRPr="009A539C" w:rsidRDefault="00397B0C" w:rsidP="003466A0">
      <w:pPr>
        <w:tabs>
          <w:tab w:val="left" w:pos="851"/>
        </w:tabs>
        <w:spacing w:after="0" w:line="360" w:lineRule="auto"/>
        <w:ind w:left="714" w:right="-1"/>
        <w:jc w:val="both"/>
        <w:rPr>
          <w:rFonts w:cstheme="minorHAnsi"/>
        </w:rPr>
      </w:pPr>
      <w:r w:rsidRPr="009A539C">
        <w:rPr>
          <w:rFonts w:cstheme="minorHAnsi"/>
        </w:rPr>
        <w:t xml:space="preserve"> </w:t>
      </w:r>
    </w:p>
    <w:p w14:paraId="604E068F" w14:textId="77777777" w:rsidR="00397B0C" w:rsidRPr="009A539C" w:rsidRDefault="00397B0C" w:rsidP="003466A0">
      <w:pPr>
        <w:numPr>
          <w:ilvl w:val="0"/>
          <w:numId w:val="52"/>
        </w:numPr>
        <w:tabs>
          <w:tab w:val="left" w:pos="851"/>
        </w:tabs>
        <w:spacing w:after="0" w:line="360" w:lineRule="auto"/>
        <w:ind w:left="714" w:right="-1" w:hanging="357"/>
        <w:jc w:val="both"/>
        <w:rPr>
          <w:rFonts w:cstheme="minorHAnsi"/>
        </w:rPr>
      </w:pPr>
      <w:r w:rsidRPr="009A539C">
        <w:rPr>
          <w:rFonts w:cstheme="minorHAnsi"/>
        </w:rPr>
        <w:t xml:space="preserve">Por seu turno, a figura da isenção do horário de trabalho (4.4.5.i)) tem sido, a par do trabalho suplementar, um instrumento tradicional de flexibilidade temporal da prestação de trabalho. Em 2019, regista-se, todavia, uma ligeira quebra face a 2018 (65 em 2018; 56 em 2019), para o qual contribuiu o peso relativo das revisões parciais, assim como a relevância, em vários </w:t>
      </w:r>
      <w:r w:rsidRPr="009A539C">
        <w:rPr>
          <w:rFonts w:cstheme="minorHAnsi"/>
          <w:i/>
        </w:rPr>
        <w:t>clusters</w:t>
      </w:r>
      <w:r w:rsidRPr="009A539C">
        <w:rPr>
          <w:rFonts w:cstheme="minorHAnsi"/>
        </w:rPr>
        <w:t xml:space="preserve"> convencionais, de uma organização do tempo trabalho assente, primordialmente, em horários fixos ou móveis. No plano qualitativo, </w:t>
      </w:r>
      <w:r w:rsidRPr="009A539C">
        <w:rPr>
          <w:rFonts w:eastAsia="Calibri" w:cstheme="minorHAnsi"/>
        </w:rPr>
        <w:t xml:space="preserve">parte das convenções replica o regime legal, nas demais encontramos como objeto de regulação específica várias </w:t>
      </w:r>
      <w:r w:rsidRPr="009A539C">
        <w:rPr>
          <w:rFonts w:eastAsia="Calibri" w:cstheme="minorHAnsi"/>
          <w:i/>
        </w:rPr>
        <w:t>nuances</w:t>
      </w:r>
      <w:r w:rsidRPr="009A539C">
        <w:rPr>
          <w:rFonts w:eastAsia="Calibri" w:cstheme="minorHAnsi"/>
        </w:rPr>
        <w:t xml:space="preserve"> do regime (delimitação das situações de admissibilidade, modalidades admitidas, situações de cessação do regime e, menos comummente, a fixação de limites à duração do trabalho). De outra parte, persiste grande diversidade de modalidades convencionadas a propósito da determinação do subsídio de isenção de horário de trabalho.  </w:t>
      </w:r>
    </w:p>
    <w:p w14:paraId="2C5E841A" w14:textId="77777777" w:rsidR="00397B0C" w:rsidRPr="009A539C" w:rsidRDefault="00397B0C" w:rsidP="003466A0">
      <w:pPr>
        <w:tabs>
          <w:tab w:val="left" w:pos="851"/>
        </w:tabs>
        <w:spacing w:after="0" w:line="360" w:lineRule="auto"/>
        <w:ind w:left="714" w:right="-1"/>
        <w:jc w:val="both"/>
        <w:rPr>
          <w:rFonts w:cstheme="minorHAnsi"/>
        </w:rPr>
      </w:pPr>
      <w:r w:rsidRPr="009A539C">
        <w:rPr>
          <w:rFonts w:eastAsia="Calibri" w:cstheme="minorHAnsi"/>
        </w:rPr>
        <w:t xml:space="preserve"> </w:t>
      </w:r>
    </w:p>
    <w:p w14:paraId="40FE9F5B" w14:textId="77777777" w:rsidR="00397B0C" w:rsidRPr="009A539C" w:rsidRDefault="00397B0C" w:rsidP="003466A0">
      <w:pPr>
        <w:numPr>
          <w:ilvl w:val="0"/>
          <w:numId w:val="52"/>
        </w:numPr>
        <w:tabs>
          <w:tab w:val="left" w:pos="851"/>
        </w:tabs>
        <w:spacing w:after="0" w:line="360" w:lineRule="auto"/>
        <w:ind w:left="714" w:right="-1" w:hanging="357"/>
        <w:jc w:val="both"/>
        <w:rPr>
          <w:rFonts w:eastAsia="Calibri" w:cstheme="minorHAnsi"/>
        </w:rPr>
      </w:pPr>
      <w:r w:rsidRPr="009A539C">
        <w:rPr>
          <w:rFonts w:eastAsia="Calibri" w:cstheme="minorHAnsi"/>
        </w:rPr>
        <w:t>Em termos gerais, a matéria da promoção das qualificações dos trabalhadores (formação profissional e trabalhador-estudante – 4.4.6.) é versada em cerca de (38%) das convenções coletivas de trabalho publicadas em 2019, nas quais continua a predominar a sua negociação ao nível da empresa (AE). Os apuramentos totais estão ligeiramente acima dos do ano anterior (90 em 2019, 87 em 2018).</w:t>
      </w:r>
    </w:p>
    <w:p w14:paraId="03342B99" w14:textId="77777777" w:rsidR="00397B0C" w:rsidRPr="009A539C" w:rsidRDefault="00397B0C" w:rsidP="003466A0">
      <w:pPr>
        <w:tabs>
          <w:tab w:val="left" w:pos="851"/>
        </w:tabs>
        <w:spacing w:after="0" w:line="360" w:lineRule="auto"/>
        <w:ind w:right="-1"/>
        <w:jc w:val="both"/>
        <w:rPr>
          <w:rFonts w:eastAsia="Calibri" w:cstheme="minorHAnsi"/>
        </w:rPr>
      </w:pPr>
    </w:p>
    <w:p w14:paraId="03792F47" w14:textId="77777777" w:rsidR="00397B0C" w:rsidRPr="009A539C" w:rsidRDefault="00397B0C" w:rsidP="003466A0">
      <w:pPr>
        <w:numPr>
          <w:ilvl w:val="0"/>
          <w:numId w:val="52"/>
        </w:numPr>
        <w:tabs>
          <w:tab w:val="left" w:pos="851"/>
        </w:tabs>
        <w:spacing w:after="0" w:line="360" w:lineRule="auto"/>
        <w:ind w:left="714" w:right="-1" w:hanging="357"/>
        <w:jc w:val="both"/>
        <w:rPr>
          <w:rFonts w:cstheme="minorHAnsi"/>
        </w:rPr>
      </w:pPr>
      <w:r w:rsidRPr="009A539C">
        <w:rPr>
          <w:rFonts w:eastAsia="Calibri" w:cstheme="minorHAnsi"/>
        </w:rPr>
        <w:t xml:space="preserve">No que concerne à formação profissional (4.4.6.2), muito embora se encontrem convenções com conteúdos sobre formação profissional inicial (17 em 77 convenções), prevalece a regulação de aspetos atinentes formação continua (72 em 77 convenções). </w:t>
      </w:r>
      <w:r w:rsidRPr="009A539C">
        <w:rPr>
          <w:rFonts w:eastAsia="Arial" w:cstheme="minorHAnsi"/>
          <w:lang w:eastAsia="pt-PT" w:bidi="pt-PT"/>
        </w:rPr>
        <w:t xml:space="preserve">No geral, </w:t>
      </w:r>
      <w:r w:rsidRPr="009A539C">
        <w:rPr>
          <w:rFonts w:eastAsia="Calibri" w:cstheme="minorHAnsi"/>
        </w:rPr>
        <w:t>o papel do empregador, na formação inicial, está essencialmente associado à valorização, capitalização e reconhecimento da formação profissional do trabalhador.</w:t>
      </w:r>
      <w:r w:rsidRPr="009A539C">
        <w:rPr>
          <w:rFonts w:eastAsia="Arial" w:cstheme="minorHAnsi"/>
          <w:lang w:eastAsia="pt-PT" w:bidi="pt-PT"/>
        </w:rPr>
        <w:t xml:space="preserve"> Enquanto na segunda modalidade o aprofundamento das matérias, assim como os níveis de intervenção do empregador, trabalhador e, por vezes, das estruturas de representação coletiva dos trabalhadores, seguem de perto o disposto na lei. </w:t>
      </w:r>
      <w:r w:rsidRPr="009A539C">
        <w:rPr>
          <w:rFonts w:eastAsia="Calibri" w:cstheme="minorHAnsi"/>
        </w:rPr>
        <w:t xml:space="preserve">Continua a merecer algum detalhe </w:t>
      </w:r>
      <w:r w:rsidRPr="009A539C">
        <w:rPr>
          <w:rFonts w:eastAsia="Arial" w:cstheme="minorHAnsi"/>
          <w:lang w:eastAsia="pt-PT" w:bidi="pt-PT"/>
        </w:rPr>
        <w:t>a formação necessária à obtenção e manutenção de títulos profissionais em profissões regulamentadas, em conformidade, as mais das vezes, com normas legais do setor. Por outro, existem várias referências a formação profissional tendo em vista a reconversão de trabalhadores por razões tecnológicas.</w:t>
      </w:r>
    </w:p>
    <w:p w14:paraId="5B176E17" w14:textId="77777777" w:rsidR="00397B0C" w:rsidRPr="009A539C" w:rsidRDefault="00397B0C" w:rsidP="003466A0">
      <w:pPr>
        <w:spacing w:after="0" w:line="360" w:lineRule="auto"/>
        <w:ind w:right="-1"/>
        <w:jc w:val="both"/>
        <w:rPr>
          <w:rFonts w:cstheme="minorHAnsi"/>
        </w:rPr>
      </w:pPr>
    </w:p>
    <w:p w14:paraId="2CE75B24" w14:textId="77777777" w:rsidR="00397B0C" w:rsidRPr="009A539C" w:rsidRDefault="00397B0C" w:rsidP="003466A0">
      <w:pPr>
        <w:numPr>
          <w:ilvl w:val="0"/>
          <w:numId w:val="52"/>
        </w:numPr>
        <w:tabs>
          <w:tab w:val="left" w:pos="851"/>
        </w:tabs>
        <w:spacing w:after="0" w:line="360" w:lineRule="auto"/>
        <w:ind w:left="720" w:right="-1" w:hanging="357"/>
        <w:jc w:val="both"/>
        <w:rPr>
          <w:rFonts w:eastAsia="Arial" w:cstheme="minorHAnsi"/>
          <w:lang w:eastAsia="pt-PT" w:bidi="pt-PT"/>
        </w:rPr>
      </w:pPr>
      <w:r w:rsidRPr="009A539C">
        <w:rPr>
          <w:rFonts w:eastAsia="Arial" w:cstheme="minorHAnsi"/>
          <w:lang w:eastAsia="pt-PT" w:bidi="pt-PT"/>
        </w:rPr>
        <w:t>Existem 47 convenções que, em 2019, disciplinam o estatuto do trabalhador-estudante (4.4.6.3.), incidindo em particular nos aspetos relativos à flexibilização dos tempos de trabalho, com o propósito de promover a conciliação dos percursos académicos com a prestação da atividade do trabalhador-estudante, regulando matérias como dispensas, horários, licenças e férias, a par do financiamento ou comparticipação dos estudos.</w:t>
      </w:r>
    </w:p>
    <w:p w14:paraId="42A050C4" w14:textId="77777777" w:rsidR="00397B0C" w:rsidRPr="009A539C" w:rsidRDefault="00397B0C" w:rsidP="003466A0">
      <w:pPr>
        <w:tabs>
          <w:tab w:val="left" w:pos="851"/>
        </w:tabs>
        <w:spacing w:after="0" w:line="360" w:lineRule="auto"/>
        <w:ind w:left="720" w:right="-1"/>
        <w:jc w:val="both"/>
        <w:rPr>
          <w:rFonts w:eastAsia="Arial" w:cstheme="minorHAnsi"/>
          <w:lang w:eastAsia="pt-PT" w:bidi="pt-PT"/>
        </w:rPr>
      </w:pPr>
    </w:p>
    <w:p w14:paraId="1B473D22" w14:textId="77777777" w:rsidR="00397B0C" w:rsidRPr="009A539C" w:rsidRDefault="00397B0C" w:rsidP="003466A0">
      <w:pPr>
        <w:numPr>
          <w:ilvl w:val="0"/>
          <w:numId w:val="52"/>
        </w:numPr>
        <w:tabs>
          <w:tab w:val="left" w:pos="851"/>
        </w:tabs>
        <w:spacing w:after="0" w:line="360" w:lineRule="auto"/>
        <w:ind w:left="720" w:right="-1" w:hanging="357"/>
        <w:jc w:val="both"/>
        <w:rPr>
          <w:rFonts w:eastAsia="Arial" w:cstheme="minorHAnsi"/>
          <w:lang w:eastAsia="pt-PT" w:bidi="pt-PT"/>
        </w:rPr>
      </w:pPr>
      <w:r w:rsidRPr="009A539C">
        <w:rPr>
          <w:rFonts w:eastAsia="Arial" w:cstheme="minorHAnsi"/>
          <w:lang w:eastAsia="pt-PT" w:bidi="pt-PT"/>
        </w:rPr>
        <w:t xml:space="preserve">O Relatório dedica um capítulo próprio ao princípio da igualdade nas relações laborais (4.4.7.), centrado em três tópicos: assédio moral, conciliação entre a vida familiar e profissional e parentalidade e igualdade de condições de trabalho em geral. O tema tem merecido a atenção crescente dos outorgantes da negociação coletiva, que tem acompanhado o quadro legal em vigor, no sentido do reforço da tutela do trabalhador. Este contexto tem contribuído para uma trajetória de crescimento destes temas nos últimos anos, que prossegue em 2019. Nalgumas situações, as convenções limitam-se a mencionar ou a reproduzir a lei, como acontece a propósito do assédio moral.  </w:t>
      </w:r>
    </w:p>
    <w:p w14:paraId="1700F13C" w14:textId="77777777" w:rsidR="00397B0C" w:rsidRPr="009A539C" w:rsidRDefault="00397B0C" w:rsidP="003466A0">
      <w:pPr>
        <w:tabs>
          <w:tab w:val="left" w:pos="851"/>
        </w:tabs>
        <w:spacing w:after="0" w:line="360" w:lineRule="auto"/>
        <w:ind w:right="-1"/>
        <w:jc w:val="both"/>
        <w:rPr>
          <w:rFonts w:cstheme="minorHAnsi"/>
        </w:rPr>
      </w:pPr>
    </w:p>
    <w:p w14:paraId="1A3340E6" w14:textId="77777777" w:rsidR="00397B0C" w:rsidRPr="009A539C" w:rsidRDefault="00397B0C" w:rsidP="003466A0">
      <w:pPr>
        <w:numPr>
          <w:ilvl w:val="0"/>
          <w:numId w:val="52"/>
        </w:numPr>
        <w:tabs>
          <w:tab w:val="left" w:pos="851"/>
        </w:tabs>
        <w:spacing w:after="0" w:line="360" w:lineRule="auto"/>
        <w:ind w:left="714" w:right="-1" w:hanging="357"/>
        <w:jc w:val="both"/>
        <w:rPr>
          <w:rFonts w:cstheme="minorHAnsi"/>
        </w:rPr>
      </w:pPr>
      <w:r w:rsidRPr="009A539C">
        <w:rPr>
          <w:rFonts w:eastAsia="Calibri" w:cstheme="minorHAnsi"/>
        </w:rPr>
        <w:t xml:space="preserve">No plano da conciliação da vida familiar e profissional (4.4.7.3), encontra-se a habitual variedade de referências com relevância em duas vertentes: </w:t>
      </w:r>
    </w:p>
    <w:p w14:paraId="3B4D7093" w14:textId="77777777" w:rsidR="00397B0C" w:rsidRPr="009A539C" w:rsidRDefault="00397B0C" w:rsidP="003466A0">
      <w:pPr>
        <w:numPr>
          <w:ilvl w:val="0"/>
          <w:numId w:val="10"/>
        </w:numPr>
        <w:autoSpaceDE w:val="0"/>
        <w:autoSpaceDN w:val="0"/>
        <w:adjustRightInd w:val="0"/>
        <w:spacing w:after="0" w:line="360" w:lineRule="auto"/>
        <w:ind w:left="993" w:right="-1" w:hanging="284"/>
        <w:jc w:val="both"/>
        <w:rPr>
          <w:rFonts w:eastAsia="Calibri" w:cstheme="minorHAnsi"/>
        </w:rPr>
      </w:pPr>
      <w:r w:rsidRPr="009A539C">
        <w:rPr>
          <w:rFonts w:eastAsia="Calibri" w:cstheme="minorHAnsi"/>
        </w:rPr>
        <w:t xml:space="preserve"> a tutela da parentalidade e da maternidade, incluindo a sua articulação com o regime de proteção social (art. 34.º do CT) e o catálogo de direitos do trabalhador plasmado no art. 35.º do CT, que acolhe um conjunto de licenças permitidas para o exercício da paternidade, assim como a possibilidade de modulação da organização dos tempos de trabalho;</w:t>
      </w:r>
    </w:p>
    <w:p w14:paraId="24E49A03" w14:textId="77777777" w:rsidR="00397B0C" w:rsidRPr="009A539C" w:rsidRDefault="00397B0C" w:rsidP="003466A0">
      <w:pPr>
        <w:numPr>
          <w:ilvl w:val="0"/>
          <w:numId w:val="10"/>
        </w:numPr>
        <w:autoSpaceDE w:val="0"/>
        <w:autoSpaceDN w:val="0"/>
        <w:adjustRightInd w:val="0"/>
        <w:spacing w:after="0" w:line="360" w:lineRule="auto"/>
        <w:ind w:left="993" w:right="-1" w:hanging="284"/>
        <w:jc w:val="both"/>
        <w:rPr>
          <w:rFonts w:eastAsia="Calibri" w:cstheme="minorHAnsi"/>
        </w:rPr>
      </w:pPr>
      <w:r w:rsidRPr="009A539C">
        <w:rPr>
          <w:rFonts w:eastAsia="Calibri" w:cstheme="minorHAnsi"/>
        </w:rPr>
        <w:t xml:space="preserve"> a tutela da conciliação associada ao binómio tempo de trabalho/tempo de não trabalho.</w:t>
      </w:r>
    </w:p>
    <w:p w14:paraId="70F51A10" w14:textId="77777777" w:rsidR="00397B0C" w:rsidRPr="009A539C" w:rsidRDefault="00397B0C" w:rsidP="003466A0">
      <w:pPr>
        <w:autoSpaceDE w:val="0"/>
        <w:autoSpaceDN w:val="0"/>
        <w:adjustRightInd w:val="0"/>
        <w:spacing w:after="0" w:line="360" w:lineRule="auto"/>
        <w:ind w:left="993" w:right="-1"/>
        <w:jc w:val="both"/>
        <w:rPr>
          <w:rFonts w:eastAsia="Calibri" w:cstheme="minorHAnsi"/>
        </w:rPr>
      </w:pPr>
    </w:p>
    <w:p w14:paraId="05F5C1C4" w14:textId="77777777" w:rsidR="00397B0C" w:rsidRPr="009A539C" w:rsidRDefault="00397B0C" w:rsidP="003466A0">
      <w:pPr>
        <w:numPr>
          <w:ilvl w:val="0"/>
          <w:numId w:val="52"/>
        </w:numPr>
        <w:tabs>
          <w:tab w:val="left" w:pos="851"/>
        </w:tabs>
        <w:spacing w:after="0" w:line="360" w:lineRule="auto"/>
        <w:ind w:left="714" w:right="-1" w:hanging="357"/>
        <w:jc w:val="both"/>
        <w:rPr>
          <w:rFonts w:eastAsia="Calibri" w:cstheme="minorHAnsi"/>
        </w:rPr>
      </w:pPr>
      <w:r w:rsidRPr="009A539C">
        <w:rPr>
          <w:rFonts w:eastAsia="Calibri" w:cstheme="minorHAnsi"/>
        </w:rPr>
        <w:t>Quanto à aplicação do princípio da igualdade e não discriminação, em geral (4.4.7.4.), as convenções continuam a dedicar uma especial atenção às condições específicas de certos grupos de trabalhadores – doença, deficiência, idade, acidente de trabalho – preconizando, por vezes, a tutela dos trabalhadores com capacidade de trabalho reduzida, independentemente da origem dessa condição. Encontram-se também outras projeções do princípio da igualdade para proteção de certos trabalhadores em função da idade, com repercussões no acesso ao emprego e na afetação a trabalho noturno, por turnos ou suplementar, a partir de certa idade.</w:t>
      </w:r>
    </w:p>
    <w:p w14:paraId="40172989" w14:textId="77777777" w:rsidR="00397B0C" w:rsidRPr="009A539C" w:rsidRDefault="00397B0C" w:rsidP="003466A0">
      <w:pPr>
        <w:tabs>
          <w:tab w:val="left" w:pos="851"/>
        </w:tabs>
        <w:spacing w:after="0" w:line="360" w:lineRule="auto"/>
        <w:ind w:right="-1"/>
        <w:jc w:val="both"/>
        <w:rPr>
          <w:rFonts w:eastAsia="Calibri" w:cstheme="minorHAnsi"/>
        </w:rPr>
      </w:pPr>
    </w:p>
    <w:p w14:paraId="53A1427D" w14:textId="77777777" w:rsidR="00397B0C" w:rsidRPr="009A539C" w:rsidRDefault="00397B0C" w:rsidP="003466A0">
      <w:pPr>
        <w:numPr>
          <w:ilvl w:val="0"/>
          <w:numId w:val="52"/>
        </w:numPr>
        <w:tabs>
          <w:tab w:val="left" w:pos="851"/>
        </w:tabs>
        <w:spacing w:after="0" w:line="360" w:lineRule="auto"/>
        <w:ind w:left="714" w:right="-1" w:hanging="357"/>
        <w:jc w:val="both"/>
        <w:rPr>
          <w:rFonts w:eastAsia="Calibri" w:cstheme="minorHAnsi"/>
        </w:rPr>
      </w:pPr>
      <w:r w:rsidRPr="009A539C">
        <w:rPr>
          <w:rFonts w:eastAsia="Calibri" w:cstheme="minorHAnsi"/>
        </w:rPr>
        <w:t xml:space="preserve">Este ano dedica-se um capítulo específico ao direito à proteção de dados pessoais e a sua conexão com os direitos de personalidade, assim como o conjunto de desafios colocados pela tecnologia e a digitalização das relações laborais (4.4.8.). Na maior parte das situações, o afloramento destas matérias é, ainda embrionário. Mas é já um sinal da centralidade que a temática tem vindo  conquistar na contratação coletiva. </w:t>
      </w:r>
    </w:p>
    <w:p w14:paraId="6C808774" w14:textId="77777777" w:rsidR="00397B0C" w:rsidRPr="009A539C" w:rsidRDefault="00397B0C" w:rsidP="003466A0">
      <w:pPr>
        <w:tabs>
          <w:tab w:val="left" w:pos="851"/>
        </w:tabs>
        <w:spacing w:after="0" w:line="360" w:lineRule="auto"/>
        <w:ind w:left="714" w:right="-1"/>
        <w:jc w:val="both"/>
        <w:rPr>
          <w:rFonts w:cstheme="minorHAnsi"/>
        </w:rPr>
      </w:pPr>
    </w:p>
    <w:p w14:paraId="19D96960" w14:textId="77777777" w:rsidR="00397B0C" w:rsidRPr="009A539C" w:rsidRDefault="00397B0C" w:rsidP="003466A0">
      <w:pPr>
        <w:numPr>
          <w:ilvl w:val="0"/>
          <w:numId w:val="52"/>
        </w:numPr>
        <w:tabs>
          <w:tab w:val="left" w:pos="851"/>
        </w:tabs>
        <w:spacing w:after="0" w:line="360" w:lineRule="auto"/>
        <w:ind w:left="714" w:right="-1" w:hanging="357"/>
        <w:jc w:val="both"/>
        <w:rPr>
          <w:rFonts w:cstheme="minorHAnsi"/>
        </w:rPr>
      </w:pPr>
      <w:r w:rsidRPr="009A539C">
        <w:rPr>
          <w:rFonts w:cstheme="minorHAnsi"/>
        </w:rPr>
        <w:t>Dando continuidade à análise iniciada no Relatório do ano anterior, dedica-se um capítulo autónomo para os sistemas de avaliação de desempenho na negociação coletiva (4.4.10), matéria que não encontra paralelo na lei, e predominante em primeiras convenções,</w:t>
      </w:r>
      <w:r w:rsidRPr="009A539C">
        <w:rPr>
          <w:rFonts w:eastAsia="Calibri" w:cs="Calibri"/>
          <w:lang w:eastAsia="pt-PT"/>
        </w:rPr>
        <w:t xml:space="preserve"> na negociação de âmbito empresarial (AE e AC). Esta </w:t>
      </w:r>
      <w:r w:rsidRPr="009A539C">
        <w:rPr>
          <w:rFonts w:eastAsia="Calibri" w:cstheme="minorHAnsi"/>
          <w:lang w:eastAsia="pt-PT"/>
        </w:rPr>
        <w:t>distribuição parece sinalizar uma ligação estreita com a realidade empresarial subjacente à negociação coletiva. Dá-se também nota da diversidade de abordagens e dos principais aspetos previstos nas convenções coletivas.</w:t>
      </w:r>
    </w:p>
    <w:p w14:paraId="44AC417F" w14:textId="77777777" w:rsidR="00397B0C" w:rsidRPr="009A539C" w:rsidRDefault="00397B0C" w:rsidP="003466A0">
      <w:pPr>
        <w:tabs>
          <w:tab w:val="left" w:pos="851"/>
        </w:tabs>
        <w:spacing w:after="0" w:line="360" w:lineRule="auto"/>
        <w:ind w:right="-1"/>
        <w:jc w:val="both"/>
        <w:rPr>
          <w:rFonts w:cstheme="minorHAnsi"/>
        </w:rPr>
      </w:pPr>
    </w:p>
    <w:p w14:paraId="1F5972C4" w14:textId="77777777" w:rsidR="00397B0C" w:rsidRPr="009A539C" w:rsidRDefault="00397B0C" w:rsidP="003466A0">
      <w:pPr>
        <w:numPr>
          <w:ilvl w:val="0"/>
          <w:numId w:val="52"/>
        </w:numPr>
        <w:tabs>
          <w:tab w:val="left" w:pos="851"/>
        </w:tabs>
        <w:spacing w:after="0" w:line="360" w:lineRule="auto"/>
        <w:ind w:left="714" w:right="-1" w:hanging="357"/>
        <w:jc w:val="both"/>
      </w:pPr>
      <w:r w:rsidRPr="009A539C">
        <w:rPr>
          <w:rFonts w:cstheme="minorHAnsi"/>
        </w:rPr>
        <w:t xml:space="preserve">Em 2019, a disciplina das estruturas representativas dos trabalhadores e da atividade sindical na empresa (4.4.10) </w:t>
      </w:r>
      <w:r w:rsidRPr="009A539C">
        <w:t xml:space="preserve">está presente em 74 das 240 convenções publicadas, o que representa uma descida face ao ano anterior (91 em 220 convenções, em 2018).Como houve ocasião de referir anteriormente, a este facto não é alheio o peso das revisões parciais no total de convenções do ano (67% em 240 convenções), subtipo onde é menos comum encontrarem-se disposições sobre este tema. Deste modo, a distribuição por modalidade de convenção coletiva revela a predominância da negociação ao nível dos acordos de empresa e, sobretudo, em primeiras convenções e revisões globais (respetivamente 34 e 30, em 74 convenções).     </w:t>
      </w:r>
    </w:p>
    <w:p w14:paraId="45948392" w14:textId="77777777" w:rsidR="00397B0C" w:rsidRPr="009A539C" w:rsidRDefault="00397B0C" w:rsidP="003466A0">
      <w:pPr>
        <w:spacing w:after="0" w:line="360" w:lineRule="auto"/>
        <w:ind w:left="360" w:right="-1"/>
        <w:contextualSpacing/>
        <w:jc w:val="both"/>
      </w:pPr>
    </w:p>
    <w:p w14:paraId="6D8864FB" w14:textId="77777777" w:rsidR="00397B0C" w:rsidRPr="009A539C" w:rsidRDefault="00397B0C" w:rsidP="003466A0">
      <w:pPr>
        <w:numPr>
          <w:ilvl w:val="0"/>
          <w:numId w:val="52"/>
        </w:numPr>
        <w:tabs>
          <w:tab w:val="left" w:pos="851"/>
        </w:tabs>
        <w:spacing w:after="0" w:line="360" w:lineRule="auto"/>
        <w:ind w:left="714" w:right="-1" w:hanging="357"/>
        <w:jc w:val="both"/>
        <w:rPr>
          <w:rFonts w:cstheme="minorHAnsi"/>
        </w:rPr>
      </w:pPr>
      <w:r w:rsidRPr="009A539C">
        <w:rPr>
          <w:rFonts w:cstheme="minorHAnsi"/>
        </w:rPr>
        <w:t xml:space="preserve"> Na perspetiva qualitativa, o figurino encontrado em 2019 segue de perto o recorte já conhecido quanto a matérias abordadas, nível de aprofundamento e soluções desenhadas. As convenções incidem, ainda, sobretudo (e por ordem de frequência), sobre o direito de reunião no local de trabalho, o direito a afixação e distribuição de informação, o crédito de horas dos representantes sindicais, o direito a instalações e o direito de reunião com os órgãos de gestão da empresa.</w:t>
      </w:r>
    </w:p>
    <w:p w14:paraId="2496F56F" w14:textId="77777777" w:rsidR="00397B0C" w:rsidRPr="009A539C" w:rsidRDefault="00397B0C" w:rsidP="003466A0">
      <w:pPr>
        <w:tabs>
          <w:tab w:val="left" w:pos="851"/>
        </w:tabs>
        <w:spacing w:after="0" w:line="360" w:lineRule="auto"/>
        <w:ind w:left="714" w:right="-1"/>
        <w:jc w:val="both"/>
        <w:rPr>
          <w:rFonts w:cstheme="minorHAnsi"/>
        </w:rPr>
      </w:pPr>
      <w:r w:rsidRPr="009A539C">
        <w:rPr>
          <w:rFonts w:cstheme="minorHAnsi"/>
        </w:rPr>
        <w:t xml:space="preserve">A referência à participação das estruturas de representação de trabalhadores surge, amiúde, em aspetos associados à organização do tempo de trabalho e, em especial, aos regimes de flexibilização temporal da prestação do trabalho; assim como às carreiras e categorias profissionais, nomeadamente, a propósito da mudança definitiva de função, em resultado de um processo de mobilidade funcional ou da criação de novas categorias profissionais.     </w:t>
      </w:r>
    </w:p>
    <w:p w14:paraId="4E526DBA" w14:textId="77777777" w:rsidR="00397B0C" w:rsidRPr="009A539C" w:rsidRDefault="00397B0C" w:rsidP="003466A0">
      <w:pPr>
        <w:tabs>
          <w:tab w:val="left" w:pos="851"/>
        </w:tabs>
        <w:spacing w:after="0" w:line="360" w:lineRule="auto"/>
        <w:ind w:right="-1"/>
        <w:jc w:val="both"/>
        <w:rPr>
          <w:rFonts w:cstheme="minorHAnsi"/>
        </w:rPr>
      </w:pPr>
    </w:p>
    <w:p w14:paraId="4B486092" w14:textId="26F336EB" w:rsidR="00397B0C" w:rsidRPr="009A539C" w:rsidRDefault="00397B0C" w:rsidP="003466A0">
      <w:pPr>
        <w:numPr>
          <w:ilvl w:val="0"/>
          <w:numId w:val="52"/>
        </w:numPr>
        <w:tabs>
          <w:tab w:val="left" w:pos="851"/>
        </w:tabs>
        <w:spacing w:after="0" w:line="360" w:lineRule="auto"/>
        <w:ind w:left="714" w:right="-1" w:hanging="357"/>
        <w:jc w:val="both"/>
        <w:rPr>
          <w:rFonts w:cstheme="minorHAnsi"/>
        </w:rPr>
      </w:pPr>
      <w:r w:rsidRPr="009A539C">
        <w:rPr>
          <w:rFonts w:eastAsia="Calibri"/>
        </w:rPr>
        <w:t xml:space="preserve">Cerca de um terço das convenções publicadas em 2019 estipula a atribuição </w:t>
      </w:r>
      <w:r w:rsidRPr="009A539C">
        <w:rPr>
          <w:rFonts w:eastAsia="Calibri" w:cstheme="minorHAnsi"/>
        </w:rPr>
        <w:t xml:space="preserve">de prestações que visam complementar as concedidas pelo regime geral da segurança social para proteção de eventualidades cobertas por este regime </w:t>
      </w:r>
      <w:r w:rsidRPr="009A539C">
        <w:rPr>
          <w:rFonts w:eastAsia="Calibri"/>
        </w:rPr>
        <w:t>– incluindo doença, velhice e invalidez -</w:t>
      </w:r>
      <w:r w:rsidRPr="009A539C">
        <w:rPr>
          <w:rFonts w:eastAsia="Calibri" w:cstheme="minorHAnsi"/>
        </w:rPr>
        <w:t xml:space="preserve"> e de benefícios de outra ordem, relacionados com a situação pessoal e familiar do trabalhador</w:t>
      </w:r>
      <w:r w:rsidRPr="009A539C">
        <w:rPr>
          <w:rFonts w:eastAsia="Calibri"/>
        </w:rPr>
        <w:t xml:space="preserve"> (4.4.12). Tal corresponde, em termos nominais, a uma subida na ordem dos 17%, face a 2018</w:t>
      </w:r>
      <w:r w:rsidRPr="009A539C">
        <w:rPr>
          <w:rFonts w:cstheme="minorHAnsi"/>
        </w:rPr>
        <w:t xml:space="preserve">. O perfil de benefícios atribuídos é idêntico ao de anos anteriores, com a prevalência </w:t>
      </w:r>
      <w:r w:rsidRPr="009A539C">
        <w:rPr>
          <w:rFonts w:eastAsia="Calibri" w:cstheme="minorHAnsi"/>
        </w:rPr>
        <w:t>do estabelecimento de mecanismos de proteção na doença, através de uma gama muito variável de benefícios e com grande modulação de soluções.</w:t>
      </w:r>
    </w:p>
    <w:p w14:paraId="1D1473F9" w14:textId="77777777" w:rsidR="00E25B96" w:rsidRPr="009A539C" w:rsidRDefault="00E25B96" w:rsidP="003466A0">
      <w:pPr>
        <w:tabs>
          <w:tab w:val="left" w:pos="851"/>
        </w:tabs>
        <w:spacing w:after="0" w:line="360" w:lineRule="auto"/>
        <w:ind w:left="714" w:right="-1"/>
        <w:jc w:val="both"/>
        <w:rPr>
          <w:rFonts w:cstheme="minorHAnsi"/>
        </w:rPr>
      </w:pPr>
    </w:p>
    <w:p w14:paraId="5B8E9BE1" w14:textId="0803EC8F" w:rsidR="00E25B96" w:rsidRPr="009A539C" w:rsidRDefault="00E25B96" w:rsidP="003466A0">
      <w:pPr>
        <w:numPr>
          <w:ilvl w:val="0"/>
          <w:numId w:val="52"/>
        </w:numPr>
        <w:tabs>
          <w:tab w:val="left" w:pos="851"/>
        </w:tabs>
        <w:spacing w:after="0" w:line="360" w:lineRule="auto"/>
        <w:ind w:left="714" w:right="-1" w:hanging="357"/>
        <w:jc w:val="both"/>
        <w:rPr>
          <w:rFonts w:eastAsia="Calibri"/>
        </w:rPr>
      </w:pPr>
      <w:r w:rsidRPr="009A539C">
        <w:rPr>
          <w:rFonts w:eastAsia="Calibri"/>
        </w:rPr>
        <w:t xml:space="preserve">O capítulo IV termina com uma breve panorâmica dos conteúdos convencionais face à recente revisão do Código do Trabalho, em particular a Lei n.º 93/2019, de 4 de setembro (4.4.13). Este diploma produz efeitos ainda no perímetro temporal abrangido pelo presente relatório, embora sem impacto imediato na contratação coletiva de 2019, porquanto o seu regime transitório permite, quando necessário, o ajustamento dos conteúdos dos IRCT nos 12 meses seguintes à entrada em vigor da lei, isto é, a partir de outubro de 2019. No ano em análise, e na maioria das situações, as convenções ou se respaldam ou reproduzem o figurino normativo constante da versão do Código do Trabalho anterior às alterações introduzidas em 2019.  </w:t>
      </w:r>
    </w:p>
    <w:p w14:paraId="32AD9F60" w14:textId="77777777" w:rsidR="00397B0C" w:rsidRPr="009A539C" w:rsidRDefault="00397B0C" w:rsidP="003466A0">
      <w:pPr>
        <w:tabs>
          <w:tab w:val="left" w:pos="851"/>
        </w:tabs>
        <w:spacing w:after="0" w:line="360" w:lineRule="auto"/>
        <w:ind w:left="714" w:right="-1"/>
        <w:jc w:val="both"/>
        <w:rPr>
          <w:rFonts w:cstheme="minorHAnsi"/>
        </w:rPr>
      </w:pPr>
    </w:p>
    <w:p w14:paraId="49C7F3A6" w14:textId="77777777" w:rsidR="00397B0C" w:rsidRPr="009A539C" w:rsidRDefault="00397B0C" w:rsidP="003466A0">
      <w:pPr>
        <w:numPr>
          <w:ilvl w:val="0"/>
          <w:numId w:val="52"/>
        </w:numPr>
        <w:tabs>
          <w:tab w:val="left" w:pos="851"/>
        </w:tabs>
        <w:spacing w:after="0" w:line="360" w:lineRule="auto"/>
        <w:ind w:left="714" w:right="-1" w:hanging="357"/>
        <w:jc w:val="both"/>
        <w:rPr>
          <w:rFonts w:eastAsia="Calibri" w:cstheme="minorHAnsi"/>
        </w:rPr>
      </w:pPr>
      <w:r w:rsidRPr="009A539C">
        <w:rPr>
          <w:rFonts w:cstheme="minorHAnsi"/>
        </w:rPr>
        <w:t xml:space="preserve">Por fim, o Relatório encerra com a </w:t>
      </w:r>
      <w:r w:rsidRPr="009A539C">
        <w:rPr>
          <w:rFonts w:eastAsia="Calibri" w:cstheme="minorHAnsi"/>
        </w:rPr>
        <w:t>referência à negociação coletiva na Administração Pública (Capítulo V). Assinala-se a publicação, em 2019, de 2 Acordos coletivos de carreira (ACC) e 115 Acordos coletivos de empregador público (ACEP), dos quais 79 são revisões de acordos existentes (71 são “revisões globais” e 8 “revisões parciais”), o que corresponde uma diminuição de 34,66% nos ACEP celebrados.</w:t>
      </w:r>
    </w:p>
    <w:p w14:paraId="16DB15FA" w14:textId="77777777" w:rsidR="00397B0C" w:rsidRPr="009A539C" w:rsidRDefault="00397B0C" w:rsidP="003466A0">
      <w:pPr>
        <w:tabs>
          <w:tab w:val="left" w:pos="851"/>
        </w:tabs>
        <w:spacing w:after="0" w:line="360" w:lineRule="auto"/>
        <w:ind w:left="714" w:right="-1"/>
        <w:jc w:val="both"/>
        <w:rPr>
          <w:rFonts w:cstheme="minorHAnsi"/>
        </w:rPr>
      </w:pPr>
      <w:r w:rsidRPr="009A539C">
        <w:rPr>
          <w:rFonts w:cstheme="minorHAnsi"/>
        </w:rPr>
        <w:t>As linhas de força da contratação coletiva na Administração Pública não sofreram alterações significativas relativamente a 2018, confirmando-se a vitalidade da contratação coletiva ao nível da administração local.</w:t>
      </w:r>
    </w:p>
    <w:p w14:paraId="127B684C" w14:textId="77777777" w:rsidR="00397B0C" w:rsidRPr="009A539C" w:rsidRDefault="00397B0C" w:rsidP="00397B0C"/>
    <w:p w14:paraId="3D34BD2C" w14:textId="77777777" w:rsidR="00397B0C" w:rsidRPr="009A539C" w:rsidRDefault="00397B0C" w:rsidP="00397B0C"/>
    <w:p w14:paraId="2B0CDF57" w14:textId="77777777" w:rsidR="0087143A" w:rsidRPr="009A539C" w:rsidRDefault="0087143A">
      <w:pPr>
        <w:rPr>
          <w:rFonts w:ascii="Calibri" w:hAnsi="Calibri" w:cs="Calibri"/>
          <w:b/>
          <w:sz w:val="28"/>
          <w:szCs w:val="28"/>
        </w:rPr>
      </w:pPr>
      <w:bookmarkStart w:id="22" w:name="_Toc42511540"/>
      <w:r w:rsidRPr="009A539C">
        <w:rPr>
          <w:rFonts w:ascii="Calibri" w:hAnsi="Calibri" w:cs="Calibri"/>
          <w:b/>
          <w:sz w:val="28"/>
          <w:szCs w:val="28"/>
        </w:rPr>
        <w:br w:type="page"/>
      </w:r>
    </w:p>
    <w:p w14:paraId="52578262" w14:textId="31692DC0" w:rsidR="001E5AF9" w:rsidRPr="009A539C" w:rsidRDefault="005E7447" w:rsidP="00B90788">
      <w:pPr>
        <w:pStyle w:val="PargrafodaLista"/>
        <w:numPr>
          <w:ilvl w:val="0"/>
          <w:numId w:val="1"/>
        </w:numPr>
        <w:spacing w:line="360" w:lineRule="auto"/>
        <w:ind w:left="709" w:right="-1"/>
        <w:outlineLvl w:val="0"/>
        <w:rPr>
          <w:rFonts w:ascii="Calibri" w:hAnsi="Calibri" w:cs="Calibri"/>
          <w:b/>
          <w:sz w:val="28"/>
          <w:szCs w:val="28"/>
        </w:rPr>
      </w:pPr>
      <w:bookmarkStart w:id="23" w:name="_Toc45535678"/>
      <w:r w:rsidRPr="009A539C">
        <w:rPr>
          <w:rFonts w:ascii="Calibri" w:hAnsi="Calibri" w:cs="Calibri"/>
          <w:b/>
          <w:sz w:val="28"/>
          <w:szCs w:val="28"/>
        </w:rPr>
        <w:t xml:space="preserve">Nota </w:t>
      </w:r>
      <w:r w:rsidR="001E5AF9" w:rsidRPr="009A539C">
        <w:rPr>
          <w:rFonts w:ascii="Calibri" w:hAnsi="Calibri" w:cs="Calibri"/>
          <w:b/>
          <w:sz w:val="28"/>
          <w:szCs w:val="28"/>
        </w:rPr>
        <w:t>prévia</w:t>
      </w:r>
      <w:bookmarkEnd w:id="22"/>
      <w:bookmarkEnd w:id="23"/>
    </w:p>
    <w:p w14:paraId="1A1FDE71" w14:textId="77777777" w:rsidR="00B12BD7" w:rsidRPr="009A539C" w:rsidRDefault="00B12BD7" w:rsidP="00B12BD7">
      <w:pPr>
        <w:pStyle w:val="PargrafodaLista"/>
        <w:spacing w:line="360" w:lineRule="auto"/>
        <w:ind w:left="709" w:right="-1"/>
        <w:outlineLvl w:val="0"/>
        <w:rPr>
          <w:rFonts w:ascii="Calibri" w:hAnsi="Calibri" w:cs="Calibri"/>
          <w:b/>
          <w:sz w:val="28"/>
          <w:szCs w:val="28"/>
        </w:rPr>
      </w:pPr>
    </w:p>
    <w:p w14:paraId="6F81D702" w14:textId="6EAEAD3B" w:rsidR="00B12BD7" w:rsidRPr="009A539C" w:rsidRDefault="00B12BD7" w:rsidP="00922B44">
      <w:pPr>
        <w:pStyle w:val="PargrafodaLista"/>
        <w:numPr>
          <w:ilvl w:val="0"/>
          <w:numId w:val="72"/>
        </w:numPr>
        <w:tabs>
          <w:tab w:val="left" w:pos="0"/>
        </w:tabs>
        <w:spacing w:line="360" w:lineRule="auto"/>
        <w:ind w:left="0" w:right="-1" w:firstLine="426"/>
        <w:jc w:val="both"/>
        <w:rPr>
          <w:rFonts w:eastAsia="Times New Roman" w:cstheme="minorHAnsi"/>
          <w:lang w:eastAsia="pt-PT"/>
        </w:rPr>
      </w:pPr>
      <w:r w:rsidRPr="009A539C">
        <w:rPr>
          <w:rFonts w:eastAsia="Times New Roman" w:cstheme="minorHAnsi"/>
          <w:lang w:eastAsia="pt-PT"/>
        </w:rPr>
        <w:t>No contexto da atividade do Centro de Relações Laborais têm vindo a ser elaborados relatórios anuais sobre a contratação coletiva que abrangem já um período de 5 anos, os quais constituem, hoje, um importante repositório de informação sobre negociação coletiva em Portugal.</w:t>
      </w:r>
    </w:p>
    <w:p w14:paraId="09423C8B" w14:textId="7F15F577" w:rsidR="00B12BD7" w:rsidRPr="009A539C" w:rsidRDefault="00B12BD7" w:rsidP="00B12BD7">
      <w:pPr>
        <w:tabs>
          <w:tab w:val="left" w:pos="851"/>
        </w:tabs>
        <w:spacing w:line="360" w:lineRule="auto"/>
        <w:ind w:right="-1"/>
        <w:jc w:val="both"/>
        <w:rPr>
          <w:rFonts w:eastAsia="Times New Roman" w:cstheme="minorHAnsi"/>
          <w:lang w:eastAsia="pt-PT"/>
        </w:rPr>
      </w:pPr>
      <w:r w:rsidRPr="009A539C">
        <w:rPr>
          <w:rFonts w:eastAsia="Times New Roman" w:cstheme="minorHAnsi"/>
          <w:lang w:eastAsia="pt-PT"/>
        </w:rPr>
        <w:t>Os Relatórios procedem a uma análise dos procedimentos e do conteúdo das convenções coletivas revelando, em termos comparativos, as matérias objeto de negociação e a reação da negociação coletiva às vicissitudes normativas que enquadram a contratação coletiva seja quanto às matérias reguladas, seja quanto ao enquadramento da negociação coletiva. Embora o aprofundamento incida sobre um ano, não se afasta da análise dinâmica das diferentes temáticas da contratação coletiva.</w:t>
      </w:r>
    </w:p>
    <w:p w14:paraId="7C3903CE" w14:textId="77777777" w:rsidR="00B12BD7" w:rsidRPr="009A539C" w:rsidRDefault="00B12BD7" w:rsidP="00B12BD7">
      <w:pPr>
        <w:spacing w:line="360" w:lineRule="auto"/>
        <w:ind w:right="-1" w:firstLine="426"/>
        <w:jc w:val="both"/>
        <w:rPr>
          <w:rFonts w:eastAsia="Times New Roman" w:cstheme="minorHAnsi"/>
          <w:lang w:eastAsia="pt-PT"/>
        </w:rPr>
      </w:pPr>
      <w:r w:rsidRPr="009A539C">
        <w:rPr>
          <w:rFonts w:eastAsia="Times New Roman" w:cstheme="minorHAnsi"/>
          <w:lang w:eastAsia="pt-PT"/>
        </w:rPr>
        <w:t>A utilidade da informação recolhida e o contributo para a observação sistemática da contratação beneficia de uma certa estabilidade nos dados recolhidos e na abordagem feita, como tem sido salientado em anteriores edições. Optou-se, por isso, por não introduzir alterações significativas na estrutura do relatório, procurando acomodar eventuais desenvolvimentos ou ajustamentos a uma visão evolutiva no tempo, sem cortes. Esta opção mantém válidas as justificações feitas em anteriores relatórios para a modelação da estruturação do texto e do seu conteúdo.</w:t>
      </w:r>
    </w:p>
    <w:p w14:paraId="7F0F8E98" w14:textId="3253E807" w:rsidR="00B12BD7" w:rsidRPr="009A539C" w:rsidRDefault="00B12BD7" w:rsidP="00B12BD7">
      <w:pPr>
        <w:spacing w:line="360" w:lineRule="auto"/>
        <w:ind w:right="-1" w:firstLine="426"/>
        <w:jc w:val="both"/>
        <w:rPr>
          <w:rFonts w:eastAsia="Times New Roman" w:cstheme="minorHAnsi"/>
          <w:lang w:eastAsia="pt-PT"/>
        </w:rPr>
      </w:pPr>
      <w:r w:rsidRPr="009A539C">
        <w:rPr>
          <w:rFonts w:eastAsia="Times New Roman" w:cstheme="minorHAnsi"/>
          <w:lang w:eastAsia="pt-PT"/>
        </w:rPr>
        <w:t>Pretende-se, deste modo, que o Relatório de 2019 permita uma leitura conjunta com os dados recolhidos em anos anteriores, habilitando assim um elevado grau de harmonização evidenciando-se nos devidos sítios os aspetos estruturais novos.</w:t>
      </w:r>
    </w:p>
    <w:p w14:paraId="6562DBBA" w14:textId="30F7D257" w:rsidR="00B12BD7" w:rsidRPr="009A539C" w:rsidRDefault="00B12BD7" w:rsidP="00B12BD7">
      <w:pPr>
        <w:spacing w:line="360" w:lineRule="auto"/>
        <w:ind w:right="-1" w:firstLine="426"/>
        <w:jc w:val="both"/>
        <w:rPr>
          <w:rFonts w:eastAsia="Times New Roman" w:cstheme="minorHAnsi"/>
          <w:lang w:eastAsia="pt-PT"/>
        </w:rPr>
      </w:pPr>
      <w:r w:rsidRPr="009A539C">
        <w:rPr>
          <w:rFonts w:eastAsia="Times New Roman" w:cstheme="minorHAnsi"/>
          <w:lang w:eastAsia="pt-PT"/>
        </w:rPr>
        <w:t>II. Numa perspetiva de evolução e ajustamento do relatório afigura-se relevante proceder a determinados desenvolvimentos e introdução de novos tópicos de análise, sem que a perspetiva que os seus autores têm das diferentes questões condicionem a leitura e a possibilidade de interpretação dos dados consoante outros ângulos de análise.</w:t>
      </w:r>
    </w:p>
    <w:p w14:paraId="65CE044C" w14:textId="6CC12537" w:rsidR="00B12BD7" w:rsidRPr="009A539C" w:rsidRDefault="00B12BD7" w:rsidP="00B12BD7">
      <w:pPr>
        <w:tabs>
          <w:tab w:val="left" w:pos="-1276"/>
        </w:tabs>
        <w:spacing w:line="360" w:lineRule="auto"/>
        <w:ind w:right="-1" w:firstLine="426"/>
        <w:jc w:val="both"/>
        <w:rPr>
          <w:rFonts w:eastAsia="Times New Roman" w:cstheme="minorHAnsi"/>
          <w:lang w:eastAsia="pt-PT"/>
        </w:rPr>
      </w:pPr>
      <w:r w:rsidRPr="009A539C">
        <w:rPr>
          <w:rFonts w:eastAsia="Times New Roman" w:cstheme="minorHAnsi"/>
          <w:lang w:eastAsia="pt-PT"/>
        </w:rPr>
        <w:t>Assim, impõe-se prosseguir, por referência ao ano em apreço, a avaliação do impacto das Leis do Orçamento do Estado para 2018 e 2019 em resultado da abertura à contratação coletiva para regular as condições de trabalho no âmbito de entidades do setor público que regem as suas relações de trabalho pelo Código do Trabalho, para além de se enfatizar a especialidade da contratação coletiva do empregador público, seja no âmbito do Código do Trabalho, seja na Lei Geral do Trabalho em Funções Públicas.</w:t>
      </w:r>
    </w:p>
    <w:p w14:paraId="10A0CF97" w14:textId="2EF97B34" w:rsidR="00B12BD7" w:rsidRPr="009A539C" w:rsidRDefault="00B12BD7" w:rsidP="00B12BD7">
      <w:pPr>
        <w:tabs>
          <w:tab w:val="left" w:pos="-1276"/>
        </w:tabs>
        <w:spacing w:line="360" w:lineRule="auto"/>
        <w:ind w:right="-1" w:firstLine="426"/>
        <w:jc w:val="both"/>
        <w:rPr>
          <w:rFonts w:eastAsia="Times New Roman" w:cstheme="minorHAnsi"/>
          <w:lang w:eastAsia="pt-PT"/>
        </w:rPr>
      </w:pPr>
      <w:r w:rsidRPr="009A539C">
        <w:rPr>
          <w:rFonts w:eastAsia="Times New Roman" w:cstheme="minorHAnsi"/>
          <w:lang w:eastAsia="pt-PT"/>
        </w:rPr>
        <w:t>Por outro lado, julgou-se importante manter a opção de verificar os desenvolvimentos em matéria de avaliação de desempenho iniciada em 2017, prosseguida em 2018.</w:t>
      </w:r>
    </w:p>
    <w:p w14:paraId="107F82F1" w14:textId="26097F1F" w:rsidR="00B12BD7" w:rsidRPr="009A539C" w:rsidRDefault="00B12BD7" w:rsidP="003466A0">
      <w:pPr>
        <w:tabs>
          <w:tab w:val="left" w:pos="-1276"/>
        </w:tabs>
        <w:spacing w:line="360" w:lineRule="auto"/>
        <w:ind w:right="-1" w:firstLine="426"/>
        <w:jc w:val="both"/>
        <w:rPr>
          <w:rFonts w:eastAsia="Times New Roman" w:cstheme="minorHAnsi"/>
          <w:lang w:eastAsia="pt-PT"/>
        </w:rPr>
      </w:pPr>
      <w:r w:rsidRPr="009A539C">
        <w:rPr>
          <w:rFonts w:eastAsia="Times New Roman" w:cstheme="minorHAnsi"/>
          <w:lang w:eastAsia="pt-PT"/>
        </w:rPr>
        <w:t>A Proteção de Dados em contexto laboral é uma das matérias que se ramifica por diversas áreas do Direito e da disciplina laboral e, em particular, no âmbito do Direito Coletivo, em especial, quanto à função das convenções coletiva neste âmbito. Não só entrou em vigor em 2018 o Regulamento (EU) 2016/679 sobre proteção de dados pessoais, como em 2019 foi publicada a respetiva Lei de Execução materializada na Lei n.º 58/2019, de 8 de agosto.</w:t>
      </w:r>
    </w:p>
    <w:p w14:paraId="51344E36" w14:textId="4403DB76" w:rsidR="00B12BD7" w:rsidRPr="009A539C" w:rsidRDefault="00B12BD7" w:rsidP="003466A0">
      <w:pPr>
        <w:tabs>
          <w:tab w:val="left" w:pos="-1276"/>
        </w:tabs>
        <w:spacing w:line="360" w:lineRule="auto"/>
        <w:ind w:right="-1" w:firstLine="426"/>
        <w:jc w:val="both"/>
        <w:rPr>
          <w:rFonts w:eastAsia="Times New Roman" w:cstheme="minorHAnsi"/>
          <w:lang w:eastAsia="pt-PT"/>
        </w:rPr>
      </w:pPr>
      <w:r w:rsidRPr="009A539C">
        <w:rPr>
          <w:rFonts w:eastAsia="Times New Roman" w:cstheme="minorHAnsi"/>
          <w:lang w:eastAsia="pt-PT"/>
        </w:rPr>
        <w:t xml:space="preserve">Deve, por isso, consolidar-se a análise da proteção de dados na contratação coletiva, mas agora com reforço deste tema através da análise do tratamento de </w:t>
      </w:r>
      <w:r w:rsidR="001D1090" w:rsidRPr="009A539C">
        <w:rPr>
          <w:rFonts w:eastAsia="Times New Roman" w:cstheme="minorHAnsi"/>
          <w:lang w:eastAsia="pt-PT"/>
        </w:rPr>
        <w:t>dados pessoais impostos</w:t>
      </w:r>
      <w:r w:rsidRPr="009A539C">
        <w:rPr>
          <w:rFonts w:eastAsia="Times New Roman" w:cstheme="minorHAnsi"/>
          <w:lang w:eastAsia="pt-PT"/>
        </w:rPr>
        <w:t xml:space="preserve"> pela execução das convenções coletivas.</w:t>
      </w:r>
    </w:p>
    <w:p w14:paraId="230ADDD9" w14:textId="126407C0" w:rsidR="00B12BD7" w:rsidRPr="009A539C" w:rsidRDefault="00B12BD7" w:rsidP="003466A0">
      <w:pPr>
        <w:tabs>
          <w:tab w:val="left" w:pos="-1276"/>
        </w:tabs>
        <w:spacing w:line="360" w:lineRule="auto"/>
        <w:ind w:right="-1" w:firstLine="426"/>
        <w:jc w:val="both"/>
        <w:rPr>
          <w:rFonts w:eastAsia="Times New Roman" w:cstheme="minorHAnsi"/>
          <w:lang w:eastAsia="pt-PT"/>
        </w:rPr>
      </w:pPr>
      <w:r w:rsidRPr="009A539C">
        <w:rPr>
          <w:rFonts w:eastAsia="Times New Roman" w:cstheme="minorHAnsi"/>
          <w:lang w:eastAsia="pt-PT"/>
        </w:rPr>
        <w:t xml:space="preserve">Adicionalmente julga-se importante conhecer </w:t>
      </w:r>
      <w:r w:rsidR="001D1090" w:rsidRPr="009A539C">
        <w:rPr>
          <w:rFonts w:eastAsia="Times New Roman" w:cstheme="minorHAnsi"/>
          <w:lang w:eastAsia="pt-PT"/>
        </w:rPr>
        <w:t>as matérias</w:t>
      </w:r>
      <w:r w:rsidRPr="009A539C">
        <w:rPr>
          <w:rFonts w:eastAsia="Times New Roman" w:cstheme="minorHAnsi"/>
          <w:lang w:eastAsia="pt-PT"/>
        </w:rPr>
        <w:t xml:space="preserve"> tratadas nos instrumentos de regulação das condições de trabalho que tem origem nas convenções coletivas mas que não revestem a mesma forma. Estão nesta categoria os protocolos adicionais que não publicados no BTE e os regulamentos internos impostos ao empregador por negociação coletiva ou os regulamentos internos negociados; estamos perante uma negociação coletiva oculta ou atípica que se procura trazer para a discussão e para análise, retirando da zona de penumbra em que se encontram.</w:t>
      </w:r>
    </w:p>
    <w:p w14:paraId="3261E9D5" w14:textId="21EBCF04" w:rsidR="00B12BD7" w:rsidRPr="009A539C" w:rsidRDefault="00B12BD7" w:rsidP="003466A0">
      <w:pPr>
        <w:tabs>
          <w:tab w:val="left" w:pos="-1276"/>
        </w:tabs>
        <w:spacing w:line="360" w:lineRule="auto"/>
        <w:ind w:right="-1" w:firstLine="426"/>
        <w:jc w:val="both"/>
        <w:rPr>
          <w:rFonts w:eastAsia="Times New Roman" w:cstheme="minorHAnsi"/>
          <w:lang w:eastAsia="pt-PT"/>
        </w:rPr>
      </w:pPr>
      <w:r w:rsidRPr="009A539C">
        <w:rPr>
          <w:rFonts w:eastAsia="Times New Roman" w:cstheme="minorHAnsi"/>
          <w:lang w:eastAsia="pt-PT"/>
        </w:rPr>
        <w:t>As alterações do Código do Trabalho de 2019 que entraram em vigor na 2ª metade do ano podem refletir-se no conteúdo das convenções pelo que se optou por incluir uma análise de conteúdo necessariamente transitória para evidenciar as matérias e regulações que podem ser afetadas pel</w:t>
      </w:r>
      <w:r w:rsidR="001D1090" w:rsidRPr="009A539C">
        <w:rPr>
          <w:rFonts w:eastAsia="Times New Roman" w:cstheme="minorHAnsi"/>
          <w:lang w:eastAsia="pt-PT"/>
        </w:rPr>
        <w:t>o</w:t>
      </w:r>
      <w:r w:rsidRPr="009A539C">
        <w:rPr>
          <w:rFonts w:eastAsia="Times New Roman" w:cstheme="minorHAnsi"/>
          <w:lang w:eastAsia="pt-PT"/>
        </w:rPr>
        <w:t xml:space="preserve"> texto da lei.</w:t>
      </w:r>
    </w:p>
    <w:p w14:paraId="74FB9CEC" w14:textId="73C00690" w:rsidR="00B12BD7" w:rsidRPr="009A539C" w:rsidRDefault="00B12BD7">
      <w:pPr>
        <w:rPr>
          <w:rFonts w:eastAsia="Times New Roman" w:cstheme="minorHAnsi"/>
          <w:lang w:eastAsia="pt-PT"/>
        </w:rPr>
      </w:pPr>
      <w:r w:rsidRPr="009A539C">
        <w:rPr>
          <w:rFonts w:eastAsia="Times New Roman" w:cstheme="minorHAnsi"/>
          <w:lang w:eastAsia="pt-PT"/>
        </w:rPr>
        <w:br w:type="page"/>
      </w:r>
    </w:p>
    <w:p w14:paraId="28C8B3D5" w14:textId="77777777" w:rsidR="00B12BD7" w:rsidRPr="009A539C" w:rsidRDefault="00B12BD7" w:rsidP="00B12BD7">
      <w:pPr>
        <w:tabs>
          <w:tab w:val="left" w:pos="851"/>
        </w:tabs>
        <w:spacing w:line="360" w:lineRule="auto"/>
        <w:ind w:left="207" w:right="-1"/>
        <w:jc w:val="both"/>
        <w:rPr>
          <w:rFonts w:eastAsia="Times New Roman" w:cstheme="minorHAnsi"/>
          <w:lang w:eastAsia="pt-PT"/>
        </w:rPr>
      </w:pPr>
    </w:p>
    <w:p w14:paraId="67EFD8EE" w14:textId="77777777" w:rsidR="001E5AF9" w:rsidRPr="009A539C" w:rsidRDefault="005E7447" w:rsidP="00B90788">
      <w:pPr>
        <w:pStyle w:val="PargrafodaLista"/>
        <w:numPr>
          <w:ilvl w:val="0"/>
          <w:numId w:val="1"/>
        </w:numPr>
        <w:spacing w:line="360" w:lineRule="auto"/>
        <w:ind w:left="709" w:right="-1"/>
        <w:outlineLvl w:val="0"/>
        <w:rPr>
          <w:rFonts w:ascii="Calibri" w:hAnsi="Calibri" w:cs="Calibri"/>
          <w:b/>
          <w:sz w:val="28"/>
          <w:szCs w:val="28"/>
        </w:rPr>
      </w:pPr>
      <w:bookmarkStart w:id="24" w:name="_Toc42511541"/>
      <w:bookmarkStart w:id="25" w:name="_Toc45535679"/>
      <w:r w:rsidRPr="009A539C">
        <w:rPr>
          <w:rFonts w:ascii="Calibri" w:hAnsi="Calibri" w:cs="Calibri"/>
          <w:b/>
          <w:sz w:val="28"/>
          <w:szCs w:val="28"/>
        </w:rPr>
        <w:t>Enquadramento geral: cont</w:t>
      </w:r>
      <w:r w:rsidR="001E5AF9" w:rsidRPr="009A539C">
        <w:rPr>
          <w:rFonts w:ascii="Calibri" w:hAnsi="Calibri" w:cs="Calibri"/>
          <w:b/>
          <w:sz w:val="28"/>
          <w:szCs w:val="28"/>
        </w:rPr>
        <w:t>exto económico e normativo</w:t>
      </w:r>
      <w:bookmarkEnd w:id="24"/>
      <w:bookmarkEnd w:id="25"/>
    </w:p>
    <w:p w14:paraId="77621194" w14:textId="77777777" w:rsidR="00352391" w:rsidRPr="009A539C" w:rsidRDefault="00352391" w:rsidP="00B90788">
      <w:pPr>
        <w:pStyle w:val="PargrafodaLista"/>
        <w:spacing w:line="360" w:lineRule="auto"/>
        <w:ind w:left="0" w:right="-1"/>
        <w:rPr>
          <w:rFonts w:ascii="Calibri" w:hAnsi="Calibri" w:cs="Calibri"/>
          <w:b/>
        </w:rPr>
      </w:pPr>
    </w:p>
    <w:p w14:paraId="084942EB" w14:textId="77777777" w:rsidR="001E5AF9" w:rsidRPr="009A539C" w:rsidRDefault="001E5AF9" w:rsidP="00B90788">
      <w:pPr>
        <w:pStyle w:val="PargrafodaLista"/>
        <w:numPr>
          <w:ilvl w:val="1"/>
          <w:numId w:val="1"/>
        </w:numPr>
        <w:spacing w:line="360" w:lineRule="auto"/>
        <w:ind w:left="426" w:right="-1"/>
        <w:outlineLvl w:val="1"/>
        <w:rPr>
          <w:rFonts w:ascii="Calibri" w:hAnsi="Calibri" w:cs="Calibri"/>
          <w:b/>
          <w:sz w:val="24"/>
          <w:szCs w:val="24"/>
        </w:rPr>
      </w:pPr>
      <w:bookmarkStart w:id="26" w:name="_Toc42511542"/>
      <w:bookmarkStart w:id="27" w:name="_Toc45535680"/>
      <w:r w:rsidRPr="009A539C">
        <w:rPr>
          <w:rFonts w:ascii="Calibri" w:hAnsi="Calibri" w:cs="Calibri"/>
          <w:b/>
          <w:sz w:val="24"/>
          <w:szCs w:val="24"/>
        </w:rPr>
        <w:t>Contexto económico</w:t>
      </w:r>
      <w:bookmarkEnd w:id="26"/>
      <w:bookmarkEnd w:id="27"/>
    </w:p>
    <w:p w14:paraId="7D98F76D" w14:textId="77777777" w:rsidR="00945E43" w:rsidRPr="009A539C" w:rsidRDefault="00945E43" w:rsidP="00AF188D">
      <w:pPr>
        <w:pStyle w:val="PargrafodaLista"/>
        <w:numPr>
          <w:ilvl w:val="0"/>
          <w:numId w:val="61"/>
        </w:numPr>
        <w:spacing w:line="360" w:lineRule="auto"/>
        <w:ind w:left="567" w:right="-1"/>
        <w:jc w:val="both"/>
        <w:rPr>
          <w:rFonts w:eastAsia="Times New Roman" w:cstheme="minorHAnsi"/>
          <w:lang w:eastAsia="pt-PT"/>
        </w:rPr>
      </w:pPr>
      <w:r w:rsidRPr="009A539C">
        <w:rPr>
          <w:rFonts w:eastAsia="Times New Roman" w:cstheme="minorHAnsi"/>
          <w:lang w:eastAsia="pt-PT"/>
        </w:rPr>
        <w:t>No ano de 2019, continua a assistir-se à tendência de crescimento económico, iniciada a partir de 2014, embora este percurso ascendent</w:t>
      </w:r>
      <w:r w:rsidRPr="009A539C">
        <w:rPr>
          <w:rFonts w:eastAsia="Times New Roman" w:cstheme="minorHAnsi"/>
          <w:i/>
          <w:lang w:eastAsia="pt-PT"/>
        </w:rPr>
        <w:t>e</w:t>
      </w:r>
      <w:r w:rsidRPr="009A539C">
        <w:rPr>
          <w:rFonts w:eastAsia="Times New Roman" w:cstheme="minorHAnsi"/>
          <w:lang w:eastAsia="pt-PT"/>
        </w:rPr>
        <w:t xml:space="preserve"> não seja constante e, em 2019, se recupere 0,1 ponto percentual, face a ligeira desaceleração do ano anterior. Desde 2014, Portugal vem recuperando da crise económica desencadeada a partir de 2008, com taxas de crescimento real negativas desde 2009 (exceto 2010) e que se acumularam em torno dos 8% até 2013.</w:t>
      </w:r>
    </w:p>
    <w:p w14:paraId="70590A6E" w14:textId="77777777" w:rsidR="00945E43" w:rsidRPr="009A539C" w:rsidRDefault="00945E43" w:rsidP="00B90788">
      <w:pPr>
        <w:tabs>
          <w:tab w:val="left" w:pos="851"/>
        </w:tabs>
        <w:spacing w:before="240" w:line="360" w:lineRule="auto"/>
        <w:ind w:right="-1" w:firstLine="425"/>
        <w:jc w:val="both"/>
        <w:rPr>
          <w:rFonts w:ascii="Calibri" w:eastAsia="Calibri" w:hAnsi="Calibri" w:cs="Calibri"/>
        </w:rPr>
      </w:pPr>
    </w:p>
    <w:p w14:paraId="22F2054A" w14:textId="77777777" w:rsidR="00945E43" w:rsidRPr="009A539C" w:rsidRDefault="00945E43" w:rsidP="00B90788">
      <w:pPr>
        <w:pStyle w:val="Legenda"/>
        <w:ind w:right="-1"/>
        <w:jc w:val="center"/>
        <w:rPr>
          <w:sz w:val="22"/>
          <w:szCs w:val="22"/>
        </w:rPr>
      </w:pPr>
      <w:bookmarkStart w:id="28" w:name="_Toc15655031"/>
      <w:bookmarkStart w:id="29" w:name="_Toc44665203"/>
      <w:r w:rsidRPr="009A539C">
        <w:rPr>
          <w:sz w:val="22"/>
          <w:szCs w:val="22"/>
        </w:rPr>
        <w:t xml:space="preserve">Gráfico </w:t>
      </w:r>
      <w:r w:rsidR="009972BC" w:rsidRPr="009A539C">
        <w:rPr>
          <w:noProof/>
          <w:sz w:val="22"/>
          <w:szCs w:val="22"/>
        </w:rPr>
        <w:fldChar w:fldCharType="begin"/>
      </w:r>
      <w:r w:rsidRPr="009A539C">
        <w:rPr>
          <w:noProof/>
          <w:sz w:val="22"/>
          <w:szCs w:val="22"/>
        </w:rPr>
        <w:instrText xml:space="preserve"> SEQ Gráfico \* ARABIC </w:instrText>
      </w:r>
      <w:r w:rsidR="009972BC" w:rsidRPr="009A539C">
        <w:rPr>
          <w:noProof/>
          <w:sz w:val="22"/>
          <w:szCs w:val="22"/>
        </w:rPr>
        <w:fldChar w:fldCharType="separate"/>
      </w:r>
      <w:r w:rsidR="00D821DE">
        <w:rPr>
          <w:noProof/>
          <w:sz w:val="22"/>
          <w:szCs w:val="22"/>
        </w:rPr>
        <w:t>1</w:t>
      </w:r>
      <w:r w:rsidR="009972BC" w:rsidRPr="009A539C">
        <w:rPr>
          <w:noProof/>
          <w:sz w:val="22"/>
          <w:szCs w:val="22"/>
        </w:rPr>
        <w:fldChar w:fldCharType="end"/>
      </w:r>
      <w:r w:rsidRPr="009A539C">
        <w:rPr>
          <w:sz w:val="22"/>
          <w:szCs w:val="22"/>
        </w:rPr>
        <w:t xml:space="preserve"> - Evolução da Taxa de Crescimento do PIB (2005-2019)</w:t>
      </w:r>
      <w:bookmarkEnd w:id="28"/>
      <w:bookmarkEnd w:id="29"/>
    </w:p>
    <w:p w14:paraId="39C1ADF1" w14:textId="77777777" w:rsidR="00945E43" w:rsidRPr="009A539C" w:rsidRDefault="00945E43" w:rsidP="00B90788">
      <w:pPr>
        <w:pStyle w:val="Legenda"/>
        <w:ind w:right="-1"/>
        <w:jc w:val="center"/>
        <w:rPr>
          <w:rFonts w:ascii="Calibri" w:eastAsia="Calibri" w:hAnsi="Calibri" w:cs="Calibri"/>
          <w:sz w:val="22"/>
          <w:szCs w:val="22"/>
        </w:rPr>
      </w:pPr>
      <w:r w:rsidRPr="009A539C">
        <w:rPr>
          <w:noProof/>
          <w:sz w:val="22"/>
          <w:szCs w:val="22"/>
          <w:lang w:eastAsia="pt-PT"/>
        </w:rPr>
        <w:drawing>
          <wp:inline distT="0" distB="0" distL="0" distR="0" wp14:anchorId="25DE164E" wp14:editId="540A78AA">
            <wp:extent cx="5381625" cy="2990850"/>
            <wp:effectExtent l="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6489" cy="2993553"/>
                    </a:xfrm>
                    <a:prstGeom prst="rect">
                      <a:avLst/>
                    </a:prstGeom>
                    <a:noFill/>
                  </pic:spPr>
                </pic:pic>
              </a:graphicData>
            </a:graphic>
          </wp:inline>
        </w:drawing>
      </w:r>
    </w:p>
    <w:p w14:paraId="563ACA05" w14:textId="77777777" w:rsidR="00945E43" w:rsidRPr="009A539C" w:rsidRDefault="00945E43" w:rsidP="00B90788">
      <w:pPr>
        <w:tabs>
          <w:tab w:val="left" w:pos="851"/>
        </w:tabs>
        <w:spacing w:line="360" w:lineRule="auto"/>
        <w:ind w:right="-1" w:firstLine="425"/>
        <w:jc w:val="both"/>
        <w:rPr>
          <w:rFonts w:eastAsia="Times New Roman" w:cstheme="minorHAnsi"/>
          <w:lang w:eastAsia="pt-PT"/>
        </w:rPr>
      </w:pPr>
    </w:p>
    <w:p w14:paraId="4716D6AF" w14:textId="4CC7D84C" w:rsidR="00945E43" w:rsidRPr="009A539C" w:rsidRDefault="00945E43" w:rsidP="00B55151">
      <w:pPr>
        <w:tabs>
          <w:tab w:val="left" w:pos="851"/>
        </w:tabs>
        <w:spacing w:line="360" w:lineRule="auto"/>
        <w:ind w:right="-1" w:firstLine="425"/>
        <w:jc w:val="both"/>
        <w:rPr>
          <w:rFonts w:eastAsia="Times New Roman" w:cstheme="minorHAnsi"/>
          <w:lang w:eastAsia="pt-PT"/>
        </w:rPr>
      </w:pPr>
      <w:r w:rsidRPr="009A539C">
        <w:rPr>
          <w:rFonts w:eastAsia="Times New Roman" w:cstheme="minorHAnsi"/>
          <w:lang w:eastAsia="pt-PT"/>
        </w:rPr>
        <w:t xml:space="preserve">Em termos de valor acrescentado bruto (VAB base, não incluindo impostos indiretos líquidos de subsídios aos produtos) por setor de atividade (NACE rev.2), em percentagem do PIB, sobressai a continuidade face ao ano anterior, sendo a maioria das oscilações de 0,1 ponto percentual. </w:t>
      </w:r>
      <w:bookmarkStart w:id="30" w:name="_Toc508721025"/>
      <w:r w:rsidRPr="009A539C">
        <w:rPr>
          <w:rFonts w:eastAsia="Times New Roman" w:cstheme="minorHAnsi"/>
          <w:lang w:eastAsia="pt-PT"/>
        </w:rPr>
        <w:t xml:space="preserve">A variação entre 2018 e 2019 na “Indústria (exceto </w:t>
      </w:r>
      <w:r w:rsidR="005C6204" w:rsidRPr="009A539C">
        <w:rPr>
          <w:rFonts w:eastAsia="Times New Roman" w:cstheme="minorHAnsi"/>
          <w:lang w:eastAsia="pt-PT"/>
        </w:rPr>
        <w:t xml:space="preserve">construção) </w:t>
      </w:r>
      <w:r w:rsidRPr="009A539C">
        <w:rPr>
          <w:rFonts w:eastAsia="Times New Roman" w:cstheme="minorHAnsi"/>
          <w:lang w:eastAsia="pt-PT"/>
        </w:rPr>
        <w:t>” (B-E) foi de -0,5 p.p., no setor da “Construç</w:t>
      </w:r>
      <w:r w:rsidR="00F33D05" w:rsidRPr="009A539C">
        <w:rPr>
          <w:rFonts w:eastAsia="Times New Roman" w:cstheme="minorHAnsi"/>
          <w:lang w:eastAsia="pt-PT"/>
        </w:rPr>
        <w:t>ão” (F) foi de 0,3 p.p.</w:t>
      </w:r>
      <w:r w:rsidR="004A306E" w:rsidRPr="009A539C">
        <w:rPr>
          <w:rFonts w:eastAsia="Times New Roman" w:cstheme="minorHAnsi"/>
          <w:lang w:eastAsia="pt-PT"/>
        </w:rPr>
        <w:t xml:space="preserve">, enquanto </w:t>
      </w:r>
      <w:r w:rsidR="00F33D05" w:rsidRPr="009A539C">
        <w:rPr>
          <w:rFonts w:eastAsia="Times New Roman" w:cstheme="minorHAnsi"/>
          <w:lang w:eastAsia="pt-PT"/>
        </w:rPr>
        <w:t xml:space="preserve"> os se</w:t>
      </w:r>
      <w:r w:rsidRPr="009A539C">
        <w:rPr>
          <w:rFonts w:eastAsia="Times New Roman" w:cstheme="minorHAnsi"/>
          <w:lang w:eastAsia="pt-PT"/>
        </w:rPr>
        <w:t>tores</w:t>
      </w:r>
      <w:r w:rsidR="004A306E" w:rsidRPr="009A539C">
        <w:rPr>
          <w:rFonts w:eastAsia="Times New Roman" w:cstheme="minorHAnsi"/>
          <w:lang w:eastAsia="pt-PT"/>
        </w:rPr>
        <w:t xml:space="preserve"> do Comércio e do alojamento (</w:t>
      </w:r>
      <w:r w:rsidRPr="009A539C">
        <w:rPr>
          <w:rFonts w:eastAsia="Times New Roman" w:cstheme="minorHAnsi"/>
          <w:lang w:eastAsia="pt-PT"/>
        </w:rPr>
        <w:t>G-</w:t>
      </w:r>
      <w:r w:rsidR="004A306E" w:rsidRPr="009A539C">
        <w:rPr>
          <w:rFonts w:eastAsia="Times New Roman" w:cstheme="minorHAnsi"/>
          <w:lang w:eastAsia="pt-PT"/>
        </w:rPr>
        <w:t>I)</w:t>
      </w:r>
      <w:r w:rsidRPr="009A539C">
        <w:rPr>
          <w:rFonts w:eastAsia="Times New Roman" w:cstheme="minorHAnsi"/>
          <w:lang w:eastAsia="pt-PT"/>
        </w:rPr>
        <w:t>, ‘</w:t>
      </w:r>
      <w:r w:rsidR="00CC0881" w:rsidRPr="009A539C">
        <w:rPr>
          <w:rFonts w:eastAsia="Times New Roman" w:cstheme="minorHAnsi"/>
          <w:lang w:eastAsia="pt-PT"/>
        </w:rPr>
        <w:t>Atividade de consultoria;adminstr e serv (M-N)</w:t>
      </w:r>
      <w:r w:rsidRPr="009A539C">
        <w:rPr>
          <w:rFonts w:eastAsia="Times New Roman" w:cstheme="minorHAnsi"/>
          <w:lang w:eastAsia="pt-PT"/>
        </w:rPr>
        <w:t xml:space="preserve"> e</w:t>
      </w:r>
      <w:r w:rsidR="00CC0881" w:rsidRPr="009A539C">
        <w:rPr>
          <w:rFonts w:eastAsia="Times New Roman" w:cstheme="minorHAnsi"/>
          <w:lang w:eastAsia="pt-PT"/>
        </w:rPr>
        <w:t xml:space="preserve"> outras atividades e serviços (R-U)</w:t>
      </w:r>
      <w:r w:rsidRPr="009A539C">
        <w:rPr>
          <w:rFonts w:eastAsia="Times New Roman" w:cstheme="minorHAnsi"/>
          <w:lang w:eastAsia="pt-PT"/>
        </w:rPr>
        <w:t xml:space="preserve"> mantiveram a mesma percentagem (ver o gráfico 2).</w:t>
      </w:r>
    </w:p>
    <w:p w14:paraId="5236CC51" w14:textId="77777777" w:rsidR="00945E43" w:rsidRPr="009A539C" w:rsidRDefault="00945E43" w:rsidP="00B90788">
      <w:pPr>
        <w:tabs>
          <w:tab w:val="left" w:pos="851"/>
        </w:tabs>
        <w:spacing w:line="360" w:lineRule="auto"/>
        <w:ind w:right="-1" w:firstLine="425"/>
        <w:jc w:val="both"/>
        <w:rPr>
          <w:rFonts w:ascii="Calibri" w:eastAsia="Times New Roman" w:hAnsi="Calibri" w:cs="Calibri"/>
          <w:lang w:eastAsia="pt-PT"/>
        </w:rPr>
      </w:pPr>
    </w:p>
    <w:p w14:paraId="76F2D4E1" w14:textId="37FD8582" w:rsidR="00945E43" w:rsidRPr="009A539C" w:rsidRDefault="00945E43" w:rsidP="00B90788">
      <w:pPr>
        <w:pStyle w:val="Legenda"/>
        <w:ind w:right="-1"/>
        <w:jc w:val="center"/>
        <w:rPr>
          <w:sz w:val="22"/>
          <w:szCs w:val="22"/>
        </w:rPr>
      </w:pPr>
      <w:bookmarkStart w:id="31" w:name="_Toc15655032"/>
      <w:bookmarkStart w:id="32" w:name="_Toc44665204"/>
      <w:bookmarkEnd w:id="30"/>
      <w:r w:rsidRPr="009A539C">
        <w:rPr>
          <w:sz w:val="22"/>
          <w:szCs w:val="22"/>
        </w:rPr>
        <w:t xml:space="preserve">Gráfico </w:t>
      </w:r>
      <w:r w:rsidR="009972BC" w:rsidRPr="009A539C">
        <w:rPr>
          <w:noProof/>
          <w:sz w:val="22"/>
          <w:szCs w:val="22"/>
        </w:rPr>
        <w:fldChar w:fldCharType="begin"/>
      </w:r>
      <w:r w:rsidRPr="009A539C">
        <w:rPr>
          <w:noProof/>
          <w:sz w:val="22"/>
          <w:szCs w:val="22"/>
        </w:rPr>
        <w:instrText xml:space="preserve"> SEQ Gráfico \* ARABIC </w:instrText>
      </w:r>
      <w:r w:rsidR="009972BC" w:rsidRPr="009A539C">
        <w:rPr>
          <w:noProof/>
          <w:sz w:val="22"/>
          <w:szCs w:val="22"/>
        </w:rPr>
        <w:fldChar w:fldCharType="separate"/>
      </w:r>
      <w:r w:rsidR="00D821DE">
        <w:rPr>
          <w:noProof/>
          <w:sz w:val="22"/>
          <w:szCs w:val="22"/>
        </w:rPr>
        <w:t>2</w:t>
      </w:r>
      <w:r w:rsidR="009972BC" w:rsidRPr="009A539C">
        <w:rPr>
          <w:noProof/>
          <w:sz w:val="22"/>
          <w:szCs w:val="22"/>
        </w:rPr>
        <w:fldChar w:fldCharType="end"/>
      </w:r>
      <w:r w:rsidRPr="009A539C">
        <w:rPr>
          <w:sz w:val="22"/>
          <w:szCs w:val="22"/>
        </w:rPr>
        <w:t xml:space="preserve"> - Valor Acrescentado Bruto por setor de atividade, em % do PIB</w:t>
      </w:r>
      <w:r w:rsidR="00605D20">
        <w:rPr>
          <w:sz w:val="22"/>
          <w:szCs w:val="22"/>
        </w:rPr>
        <w:t xml:space="preserve"> (</w:t>
      </w:r>
      <w:r w:rsidRPr="009A539C">
        <w:rPr>
          <w:sz w:val="22"/>
          <w:szCs w:val="22"/>
        </w:rPr>
        <w:t>2018 e 201</w:t>
      </w:r>
      <w:bookmarkEnd w:id="31"/>
      <w:r w:rsidRPr="009A539C">
        <w:rPr>
          <w:sz w:val="22"/>
          <w:szCs w:val="22"/>
        </w:rPr>
        <w:t>9</w:t>
      </w:r>
      <w:bookmarkEnd w:id="32"/>
      <w:r w:rsidR="00605D20">
        <w:rPr>
          <w:sz w:val="22"/>
          <w:szCs w:val="22"/>
        </w:rPr>
        <w:t>)</w:t>
      </w:r>
    </w:p>
    <w:p w14:paraId="5CDDB725" w14:textId="77777777" w:rsidR="00945E43" w:rsidRPr="009A539C" w:rsidRDefault="00945E43" w:rsidP="00B90788">
      <w:pPr>
        <w:ind w:right="-1"/>
      </w:pPr>
      <w:r w:rsidRPr="009A539C">
        <w:rPr>
          <w:noProof/>
          <w:lang w:eastAsia="pt-PT"/>
        </w:rPr>
        <w:drawing>
          <wp:inline distT="0" distB="0" distL="0" distR="0" wp14:anchorId="30C3F2CB" wp14:editId="684611D6">
            <wp:extent cx="5381625" cy="3263964"/>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82938" cy="3264760"/>
                    </a:xfrm>
                    <a:prstGeom prst="rect">
                      <a:avLst/>
                    </a:prstGeom>
                    <a:noFill/>
                  </pic:spPr>
                </pic:pic>
              </a:graphicData>
            </a:graphic>
          </wp:inline>
        </w:drawing>
      </w:r>
    </w:p>
    <w:p w14:paraId="40C7E693" w14:textId="3DE05DF4" w:rsidR="00945E43" w:rsidRPr="009A539C" w:rsidRDefault="00945E43" w:rsidP="00A95C56">
      <w:pPr>
        <w:pStyle w:val="PargrafodaLista"/>
        <w:numPr>
          <w:ilvl w:val="0"/>
          <w:numId w:val="8"/>
        </w:numPr>
        <w:tabs>
          <w:tab w:val="left" w:pos="851"/>
        </w:tabs>
        <w:spacing w:before="240" w:after="0" w:line="360" w:lineRule="auto"/>
        <w:ind w:left="0" w:right="-1" w:firstLine="426"/>
        <w:jc w:val="both"/>
        <w:rPr>
          <w:rFonts w:ascii="Calibri" w:eastAsia="Calibri" w:hAnsi="Calibri" w:cs="Calibri"/>
        </w:rPr>
      </w:pPr>
      <w:r w:rsidRPr="009A539C">
        <w:rPr>
          <w:rFonts w:ascii="Calibri" w:eastAsia="Calibri" w:hAnsi="Calibri" w:cstheme="minorHAnsi"/>
        </w:rPr>
        <w:t>A evolução do índice de preços no consumidor no mesmo período é ilustrada pelo gráfico seguinte</w:t>
      </w:r>
      <w:r w:rsidR="006D55A6" w:rsidRPr="009A539C">
        <w:rPr>
          <w:rFonts w:ascii="Calibri" w:eastAsia="Calibri" w:hAnsi="Calibri" w:cs="Calibri"/>
        </w:rPr>
        <w:t>:</w:t>
      </w:r>
    </w:p>
    <w:p w14:paraId="63813F51" w14:textId="77777777" w:rsidR="006D55A6" w:rsidRPr="009A539C" w:rsidRDefault="006D55A6" w:rsidP="006D55A6">
      <w:pPr>
        <w:tabs>
          <w:tab w:val="left" w:pos="851"/>
        </w:tabs>
        <w:spacing w:before="240" w:after="0" w:line="360" w:lineRule="auto"/>
        <w:ind w:right="-1"/>
        <w:jc w:val="both"/>
        <w:rPr>
          <w:rFonts w:ascii="Calibri" w:eastAsia="Calibri" w:hAnsi="Calibri" w:cs="Calibri"/>
        </w:rPr>
      </w:pPr>
    </w:p>
    <w:p w14:paraId="4FE570F7" w14:textId="77777777" w:rsidR="00945E43" w:rsidRPr="009A539C" w:rsidRDefault="00945E43" w:rsidP="00B90788">
      <w:pPr>
        <w:spacing w:line="240" w:lineRule="auto"/>
        <w:ind w:right="-1"/>
        <w:jc w:val="center"/>
        <w:rPr>
          <w:rFonts w:cs="Times New Roman"/>
          <w:b/>
          <w:bCs/>
          <w:color w:val="4F81BD" w:themeColor="accent1"/>
        </w:rPr>
      </w:pPr>
      <w:bookmarkStart w:id="33" w:name="_Toc15655033"/>
      <w:bookmarkStart w:id="34" w:name="_Toc44665205"/>
      <w:r w:rsidRPr="009A539C">
        <w:rPr>
          <w:rFonts w:cs="Times New Roman"/>
          <w:b/>
          <w:bCs/>
          <w:color w:val="4F81BD" w:themeColor="accent1"/>
        </w:rPr>
        <w:t xml:space="preserve">Gráfico </w:t>
      </w:r>
      <w:r w:rsidR="009972BC" w:rsidRPr="009A539C">
        <w:rPr>
          <w:rFonts w:cs="Times New Roman"/>
          <w:b/>
          <w:bCs/>
          <w:noProof/>
          <w:color w:val="4F81BD" w:themeColor="accent1"/>
        </w:rPr>
        <w:fldChar w:fldCharType="begin"/>
      </w:r>
      <w:r w:rsidRPr="009A539C">
        <w:rPr>
          <w:rFonts w:cs="Times New Roman"/>
          <w:b/>
          <w:bCs/>
          <w:noProof/>
          <w:color w:val="4F81BD" w:themeColor="accent1"/>
        </w:rPr>
        <w:instrText xml:space="preserve"> SEQ Gráfico \* ARABIC </w:instrText>
      </w:r>
      <w:r w:rsidR="009972BC" w:rsidRPr="009A539C">
        <w:rPr>
          <w:rFonts w:cs="Times New Roman"/>
          <w:b/>
          <w:bCs/>
          <w:noProof/>
          <w:color w:val="4F81BD" w:themeColor="accent1"/>
        </w:rPr>
        <w:fldChar w:fldCharType="separate"/>
      </w:r>
      <w:r w:rsidR="00D821DE">
        <w:rPr>
          <w:rFonts w:cs="Times New Roman"/>
          <w:b/>
          <w:bCs/>
          <w:noProof/>
          <w:color w:val="4F81BD" w:themeColor="accent1"/>
        </w:rPr>
        <w:t>3</w:t>
      </w:r>
      <w:r w:rsidR="009972BC" w:rsidRPr="009A539C">
        <w:rPr>
          <w:rFonts w:cs="Times New Roman"/>
          <w:b/>
          <w:bCs/>
          <w:noProof/>
          <w:color w:val="4F81BD" w:themeColor="accent1"/>
        </w:rPr>
        <w:fldChar w:fldCharType="end"/>
      </w:r>
      <w:r w:rsidRPr="009A539C">
        <w:rPr>
          <w:rFonts w:cs="Times New Roman"/>
          <w:b/>
          <w:bCs/>
          <w:color w:val="4F81BD" w:themeColor="accent1"/>
        </w:rPr>
        <w:t xml:space="preserve"> - Evolução do índice de preços no consumidor - taxa de inflação (%)</w:t>
      </w:r>
      <w:bookmarkEnd w:id="33"/>
      <w:bookmarkEnd w:id="34"/>
    </w:p>
    <w:p w14:paraId="302B8C39" w14:textId="77777777" w:rsidR="00945E43" w:rsidRPr="009A539C" w:rsidRDefault="00945E43" w:rsidP="00B90788">
      <w:pPr>
        <w:spacing w:after="0" w:line="240" w:lineRule="auto"/>
        <w:ind w:right="-1"/>
        <w:rPr>
          <w:rFonts w:cs="Times New Roman"/>
          <w:color w:val="00000A"/>
        </w:rPr>
      </w:pPr>
      <w:r w:rsidRPr="009A539C">
        <w:rPr>
          <w:rFonts w:cs="Times New Roman"/>
          <w:noProof/>
          <w:color w:val="00000A"/>
          <w:lang w:eastAsia="pt-PT"/>
        </w:rPr>
        <w:drawing>
          <wp:inline distT="0" distB="0" distL="0" distR="0" wp14:anchorId="63273281" wp14:editId="71C9710D">
            <wp:extent cx="5343525" cy="2799430"/>
            <wp:effectExtent l="0" t="0" r="0" b="127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47948" cy="2801747"/>
                    </a:xfrm>
                    <a:prstGeom prst="rect">
                      <a:avLst/>
                    </a:prstGeom>
                    <a:noFill/>
                  </pic:spPr>
                </pic:pic>
              </a:graphicData>
            </a:graphic>
          </wp:inline>
        </w:drawing>
      </w:r>
    </w:p>
    <w:p w14:paraId="11AF2E0B" w14:textId="77777777" w:rsidR="00945E43" w:rsidRPr="009A539C" w:rsidRDefault="00945E43" w:rsidP="00B90788">
      <w:pPr>
        <w:spacing w:after="0" w:line="240" w:lineRule="auto"/>
        <w:ind w:right="-1"/>
        <w:rPr>
          <w:rFonts w:cs="Times New Roman"/>
          <w:color w:val="00000A"/>
        </w:rPr>
      </w:pPr>
    </w:p>
    <w:p w14:paraId="08860C7A" w14:textId="34D86A42" w:rsidR="001E1FB9" w:rsidRPr="009A539C" w:rsidRDefault="001E1FB9" w:rsidP="00A95C56">
      <w:pPr>
        <w:pStyle w:val="PargrafodaLista"/>
        <w:numPr>
          <w:ilvl w:val="0"/>
          <w:numId w:val="8"/>
        </w:numPr>
        <w:tabs>
          <w:tab w:val="left" w:pos="851"/>
        </w:tabs>
        <w:spacing w:before="240" w:after="0" w:line="360" w:lineRule="auto"/>
        <w:ind w:left="0" w:right="-1" w:firstLine="426"/>
        <w:jc w:val="both"/>
        <w:rPr>
          <w:rFonts w:ascii="Calibri" w:eastAsia="Times New Roman" w:hAnsi="Calibri" w:cstheme="minorHAnsi"/>
          <w:lang w:eastAsia="pt-PT"/>
        </w:rPr>
      </w:pPr>
      <w:r w:rsidRPr="009A539C">
        <w:rPr>
          <w:rFonts w:ascii="Calibri" w:eastAsia="Calibri" w:hAnsi="Calibri" w:cstheme="minorHAnsi"/>
        </w:rPr>
        <w:t>Os dados relativos à estrutura empresarial – obtidos a partir dos “</w:t>
      </w:r>
      <w:r w:rsidRPr="009A539C">
        <w:rPr>
          <w:rFonts w:ascii="Calibri" w:eastAsia="Times New Roman" w:hAnsi="Calibri" w:cstheme="minorHAnsi"/>
          <w:lang w:eastAsia="pt-PT"/>
        </w:rPr>
        <w:t>Quadros de Pessoal” do Gabinete de Estratégia e Planeamento do MTSSS (GEP)</w:t>
      </w:r>
      <w:r w:rsidR="00B55151" w:rsidRPr="009A539C">
        <w:rPr>
          <w:rFonts w:ascii="Calibri" w:eastAsia="Times New Roman" w:hAnsi="Calibri" w:cstheme="minorHAnsi"/>
          <w:lang w:eastAsia="pt-PT"/>
        </w:rPr>
        <w:t xml:space="preserve"> </w:t>
      </w:r>
      <w:r w:rsidRPr="009A539C">
        <w:rPr>
          <w:rFonts w:ascii="Calibri" w:eastAsia="Times New Roman" w:hAnsi="Calibri" w:cstheme="minorHAnsi"/>
          <w:lang w:eastAsia="pt-PT"/>
        </w:rPr>
        <w:t>e disponíveis até 2018</w:t>
      </w:r>
      <w:r w:rsidR="006D4C12" w:rsidRPr="009A539C">
        <w:rPr>
          <w:rFonts w:ascii="Calibri" w:eastAsia="Times New Roman" w:hAnsi="Calibri" w:cstheme="minorHAnsi"/>
          <w:lang w:eastAsia="pt-PT"/>
        </w:rPr>
        <w:t xml:space="preserve"> </w:t>
      </w:r>
      <w:r w:rsidRPr="009A539C">
        <w:rPr>
          <w:rFonts w:ascii="Calibri" w:eastAsia="Times New Roman" w:hAnsi="Calibri" w:cstheme="minorHAnsi"/>
          <w:lang w:eastAsia="pt-PT"/>
        </w:rPr>
        <w:t>– permitem considerar que não existe inflexão das linhas de evolução assinaladas nos Relatórios anteriores</w:t>
      </w:r>
      <w:r w:rsidRPr="009A539C">
        <w:rPr>
          <w:rFonts w:ascii="Calibri" w:eastAsia="Times New Roman" w:hAnsi="Calibri" w:cs="Calibri"/>
          <w:lang w:eastAsia="pt-PT"/>
        </w:rPr>
        <w:t xml:space="preserve">. </w:t>
      </w:r>
    </w:p>
    <w:p w14:paraId="19996BCE" w14:textId="77777777" w:rsidR="001E1FB9" w:rsidRPr="009A539C" w:rsidRDefault="001E1FB9" w:rsidP="00B90788">
      <w:pPr>
        <w:tabs>
          <w:tab w:val="left" w:pos="851"/>
        </w:tabs>
        <w:spacing w:after="0" w:line="360" w:lineRule="auto"/>
        <w:ind w:right="-1" w:firstLine="425"/>
        <w:jc w:val="both"/>
        <w:rPr>
          <w:rFonts w:eastAsia="Times New Roman" w:cstheme="minorHAnsi"/>
          <w:lang w:eastAsia="pt-PT"/>
        </w:rPr>
      </w:pPr>
      <w:r w:rsidRPr="009A539C">
        <w:rPr>
          <w:rFonts w:eastAsia="Times New Roman" w:cstheme="minorHAnsi"/>
          <w:lang w:eastAsia="pt-PT"/>
        </w:rPr>
        <w:t>Com efeito, em 2018, o total de empresas que responderam aos “Quadros de Pessoal” foi de 282.236, mais 3.045 do que no ano anterior. Este é o quinto ano consecutivo (2014-2018) onde se verifica subida do número de empresas, após cinco anos consecutivos de descida (2009-2013).</w:t>
      </w:r>
    </w:p>
    <w:p w14:paraId="2DC97C41" w14:textId="77777777" w:rsidR="001E1FB9" w:rsidRPr="009A539C" w:rsidRDefault="001E1FB9" w:rsidP="00B90788">
      <w:pPr>
        <w:tabs>
          <w:tab w:val="left" w:pos="851"/>
        </w:tabs>
        <w:spacing w:after="0" w:line="360" w:lineRule="auto"/>
        <w:ind w:right="-1" w:firstLine="425"/>
        <w:jc w:val="both"/>
        <w:rPr>
          <w:rFonts w:ascii="Calibri" w:eastAsia="Times New Roman" w:hAnsi="Calibri" w:cs="Calibri"/>
          <w:lang w:eastAsia="pt-PT"/>
        </w:rPr>
      </w:pPr>
    </w:p>
    <w:p w14:paraId="25B088DB" w14:textId="77777777" w:rsidR="001E1FB9" w:rsidRPr="00E742C1" w:rsidRDefault="001E1FB9" w:rsidP="00B90788">
      <w:pPr>
        <w:spacing w:line="240" w:lineRule="auto"/>
        <w:ind w:right="-1"/>
        <w:jc w:val="center"/>
        <w:rPr>
          <w:rFonts w:cs="Times New Roman"/>
          <w:bCs/>
          <w:color w:val="4F81BD" w:themeColor="accent1"/>
        </w:rPr>
      </w:pPr>
      <w:bookmarkStart w:id="35" w:name="_Toc15654939"/>
      <w:bookmarkStart w:id="36" w:name="_Toc45716622"/>
      <w:r w:rsidRPr="00E742C1">
        <w:rPr>
          <w:rFonts w:cs="Times New Roman"/>
          <w:bCs/>
          <w:color w:val="4F81BD" w:themeColor="accent1"/>
        </w:rPr>
        <w:t xml:space="preserve">Quadro </w:t>
      </w:r>
      <w:r w:rsidR="009972BC" w:rsidRPr="00E742C1">
        <w:rPr>
          <w:rFonts w:cs="Times New Roman"/>
          <w:bCs/>
          <w:noProof/>
          <w:color w:val="4F81BD" w:themeColor="accent1"/>
        </w:rPr>
        <w:fldChar w:fldCharType="begin"/>
      </w:r>
      <w:r w:rsidRPr="00E742C1">
        <w:rPr>
          <w:rFonts w:cs="Times New Roman"/>
          <w:bCs/>
          <w:noProof/>
          <w:color w:val="4F81BD" w:themeColor="accent1"/>
        </w:rPr>
        <w:instrText xml:space="preserve"> SEQ Quadro \* ARABIC </w:instrText>
      </w:r>
      <w:r w:rsidR="009972BC" w:rsidRPr="00E742C1">
        <w:rPr>
          <w:rFonts w:cs="Times New Roman"/>
          <w:bCs/>
          <w:noProof/>
          <w:color w:val="4F81BD" w:themeColor="accent1"/>
        </w:rPr>
        <w:fldChar w:fldCharType="separate"/>
      </w:r>
      <w:r w:rsidR="00D821DE" w:rsidRPr="00E742C1">
        <w:rPr>
          <w:rFonts w:cs="Times New Roman"/>
          <w:bCs/>
          <w:noProof/>
          <w:color w:val="4F81BD" w:themeColor="accent1"/>
        </w:rPr>
        <w:t>1</w:t>
      </w:r>
      <w:r w:rsidR="009972BC" w:rsidRPr="00E742C1">
        <w:rPr>
          <w:rFonts w:cs="Times New Roman"/>
          <w:bCs/>
          <w:noProof/>
          <w:color w:val="4F81BD" w:themeColor="accent1"/>
        </w:rPr>
        <w:fldChar w:fldCharType="end"/>
      </w:r>
      <w:r w:rsidRPr="00E742C1">
        <w:rPr>
          <w:rFonts w:cs="Times New Roman"/>
          <w:bCs/>
          <w:color w:val="4F81BD" w:themeColor="accent1"/>
        </w:rPr>
        <w:t xml:space="preserve"> - Evolução do número de empresas (2005-2018)</w:t>
      </w:r>
      <w:bookmarkEnd w:id="35"/>
      <w:bookmarkEnd w:id="36"/>
    </w:p>
    <w:p w14:paraId="007EF8BA" w14:textId="77777777" w:rsidR="001E1FB9" w:rsidRPr="009A539C" w:rsidRDefault="0018136E" w:rsidP="0018136E">
      <w:pPr>
        <w:spacing w:after="0" w:line="240" w:lineRule="auto"/>
        <w:ind w:right="-1"/>
        <w:jc w:val="center"/>
        <w:rPr>
          <w:rFonts w:cs="Times New Roman"/>
          <w:color w:val="00000A"/>
        </w:rPr>
      </w:pPr>
      <w:r w:rsidRPr="009A539C">
        <w:rPr>
          <w:noProof/>
          <w:lang w:eastAsia="pt-PT"/>
        </w:rPr>
        <w:drawing>
          <wp:inline distT="0" distB="0" distL="0" distR="0" wp14:anchorId="5802F908" wp14:editId="051884BF">
            <wp:extent cx="6480810" cy="908591"/>
            <wp:effectExtent l="0" t="0" r="0" b="6350"/>
            <wp:docPr id="1203" name="Imagem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0810" cy="908591"/>
                    </a:xfrm>
                    <a:prstGeom prst="rect">
                      <a:avLst/>
                    </a:prstGeom>
                    <a:noFill/>
                    <a:ln>
                      <a:noFill/>
                    </a:ln>
                  </pic:spPr>
                </pic:pic>
              </a:graphicData>
            </a:graphic>
          </wp:inline>
        </w:drawing>
      </w:r>
    </w:p>
    <w:p w14:paraId="2218AFC5" w14:textId="77777777" w:rsidR="001E1FB9" w:rsidRPr="009A539C" w:rsidRDefault="001E1FB9" w:rsidP="00B90788">
      <w:pPr>
        <w:spacing w:after="0" w:line="240" w:lineRule="auto"/>
        <w:ind w:right="-1"/>
        <w:jc w:val="center"/>
        <w:rPr>
          <w:rFonts w:ascii="Calibri" w:eastAsia="Calibri" w:hAnsi="Calibri" w:cs="Calibri"/>
          <w:color w:val="00000A"/>
        </w:rPr>
      </w:pPr>
    </w:p>
    <w:p w14:paraId="281BD4E3" w14:textId="44F4745D" w:rsidR="001E1FB9" w:rsidRPr="009A539C" w:rsidRDefault="001E1FB9" w:rsidP="00B90788">
      <w:pPr>
        <w:tabs>
          <w:tab w:val="left" w:pos="851"/>
        </w:tabs>
        <w:spacing w:before="120" w:after="0" w:line="360" w:lineRule="auto"/>
        <w:ind w:right="-1" w:firstLine="425"/>
        <w:jc w:val="both"/>
        <w:rPr>
          <w:rFonts w:ascii="Calibri" w:eastAsia="Times New Roman" w:hAnsi="Calibri" w:cs="Calibri"/>
          <w:lang w:eastAsia="pt-PT"/>
        </w:rPr>
      </w:pPr>
      <w:r w:rsidRPr="009A539C">
        <w:rPr>
          <w:rFonts w:eastAsia="Times New Roman" w:cstheme="minorHAnsi"/>
          <w:lang w:eastAsia="pt-PT"/>
        </w:rPr>
        <w:t>O quadro seguinte (quadro 2</w:t>
      </w:r>
      <w:r w:rsidR="00B55151" w:rsidRPr="009A539C">
        <w:rPr>
          <w:rFonts w:eastAsia="Times New Roman" w:cstheme="minorHAnsi"/>
          <w:lang w:eastAsia="pt-PT"/>
        </w:rPr>
        <w:t xml:space="preserve">) </w:t>
      </w:r>
      <w:r w:rsidRPr="009A539C">
        <w:rPr>
          <w:rFonts w:eastAsia="Times New Roman" w:cstheme="minorHAnsi"/>
          <w:lang w:eastAsia="pt-PT"/>
        </w:rPr>
        <w:t xml:space="preserve">dá nota da desigualdade do tecido empresarial e </w:t>
      </w:r>
      <w:r w:rsidR="00B55151" w:rsidRPr="009A539C">
        <w:rPr>
          <w:rFonts w:eastAsia="Times New Roman" w:cstheme="minorHAnsi"/>
          <w:lang w:eastAsia="pt-PT"/>
        </w:rPr>
        <w:t>do peso relativo</w:t>
      </w:r>
      <w:r w:rsidRPr="009A539C">
        <w:rPr>
          <w:rFonts w:eastAsia="Times New Roman" w:cstheme="minorHAnsi"/>
          <w:lang w:eastAsia="pt-PT"/>
        </w:rPr>
        <w:t xml:space="preserve"> dos diferentes setores de atividade. Também em 2018, continua a </w:t>
      </w:r>
      <w:r w:rsidR="006D4C12" w:rsidRPr="009A539C">
        <w:rPr>
          <w:rFonts w:eastAsia="Times New Roman" w:cstheme="minorHAnsi"/>
          <w:lang w:eastAsia="pt-PT"/>
        </w:rPr>
        <w:t>ser notória a predominâ</w:t>
      </w:r>
      <w:r w:rsidR="00967BD4" w:rsidRPr="009A539C">
        <w:rPr>
          <w:rFonts w:eastAsia="Times New Roman" w:cstheme="minorHAnsi"/>
          <w:lang w:eastAsia="pt-PT"/>
        </w:rPr>
        <w:t xml:space="preserve">ncia das </w:t>
      </w:r>
      <w:r w:rsidRPr="009A539C">
        <w:rPr>
          <w:rFonts w:eastAsia="Times New Roman" w:cstheme="minorHAnsi"/>
          <w:lang w:eastAsia="pt-PT"/>
        </w:rPr>
        <w:t>micro (83,3%) e pequenas empresas (13,9%), particularmente expressiva no setor do “Comércio por grosso e a retalho, reparação de veículos automóveis e motociclos” (G) e no “Alojamento</w:t>
      </w:r>
      <w:r w:rsidR="00B55151" w:rsidRPr="009A539C">
        <w:rPr>
          <w:rFonts w:eastAsia="Times New Roman" w:cstheme="minorHAnsi"/>
          <w:lang w:eastAsia="pt-PT"/>
        </w:rPr>
        <w:t>, restauração e similares” (</w:t>
      </w:r>
      <w:r w:rsidRPr="009A539C">
        <w:rPr>
          <w:rFonts w:eastAsia="Times New Roman" w:cstheme="minorHAnsi"/>
          <w:lang w:eastAsia="pt-PT"/>
        </w:rPr>
        <w:t>I). Em termos relativos, o setor com maior número de empresa</w:t>
      </w:r>
      <w:r w:rsidR="00B55151" w:rsidRPr="009A539C">
        <w:rPr>
          <w:rFonts w:eastAsia="Times New Roman" w:cstheme="minorHAnsi"/>
          <w:lang w:eastAsia="pt-PT"/>
        </w:rPr>
        <w:t>s volta a ser o “Comércio” (</w:t>
      </w:r>
      <w:r w:rsidRPr="009A539C">
        <w:rPr>
          <w:rFonts w:eastAsia="Times New Roman" w:cstheme="minorHAnsi"/>
          <w:lang w:eastAsia="pt-PT"/>
        </w:rPr>
        <w:t>G), seguido do “Alojamento</w:t>
      </w:r>
      <w:r w:rsidR="00B55151" w:rsidRPr="009A539C">
        <w:rPr>
          <w:rFonts w:eastAsia="Times New Roman" w:cstheme="minorHAnsi"/>
          <w:lang w:eastAsia="pt-PT"/>
        </w:rPr>
        <w:t>, restauração e similares” (</w:t>
      </w:r>
      <w:r w:rsidRPr="009A539C">
        <w:rPr>
          <w:rFonts w:eastAsia="Times New Roman" w:cstheme="minorHAnsi"/>
          <w:lang w:eastAsia="pt-PT"/>
        </w:rPr>
        <w:t>I) e das “I</w:t>
      </w:r>
      <w:r w:rsidR="00B55151" w:rsidRPr="009A539C">
        <w:rPr>
          <w:rFonts w:eastAsia="Times New Roman" w:cstheme="minorHAnsi"/>
          <w:lang w:eastAsia="pt-PT"/>
        </w:rPr>
        <w:t>ndústrias transformadoras” (</w:t>
      </w:r>
      <w:r w:rsidRPr="009A539C">
        <w:rPr>
          <w:rFonts w:eastAsia="Times New Roman" w:cstheme="minorHAnsi"/>
          <w:lang w:eastAsia="pt-PT"/>
        </w:rPr>
        <w:t>C), na linha da repartição entre grupos de atividades observada em 2017</w:t>
      </w:r>
      <w:r w:rsidRPr="009A539C">
        <w:rPr>
          <w:rFonts w:ascii="Calibri" w:eastAsia="Times New Roman" w:hAnsi="Calibri" w:cs="Calibri"/>
          <w:lang w:eastAsia="pt-PT"/>
        </w:rPr>
        <w:t xml:space="preserve">.  </w:t>
      </w:r>
      <w:r w:rsidRPr="009A539C">
        <w:rPr>
          <w:rFonts w:eastAsia="Times New Roman" w:cstheme="minorHAnsi"/>
          <w:lang w:eastAsia="pt-PT"/>
        </w:rPr>
        <w:t xml:space="preserve"> </w:t>
      </w:r>
      <w:bookmarkStart w:id="37" w:name="_Toc508720958"/>
      <w:bookmarkStart w:id="38" w:name="_Toc517332037"/>
    </w:p>
    <w:p w14:paraId="4EC2CFE9" w14:textId="77777777" w:rsidR="001E1FB9" w:rsidRPr="009A539C" w:rsidRDefault="001E1FB9" w:rsidP="00B90788">
      <w:pPr>
        <w:spacing w:after="0"/>
        <w:ind w:right="-1"/>
        <w:rPr>
          <w:rFonts w:ascii="Calibri" w:eastAsia="Times New Roman" w:hAnsi="Calibri" w:cs="Calibri"/>
          <w:lang w:eastAsia="pt-PT"/>
        </w:rPr>
      </w:pPr>
    </w:p>
    <w:p w14:paraId="22AEEBC2" w14:textId="77777777" w:rsidR="001E1FB9" w:rsidRPr="009A539C" w:rsidRDefault="001E1FB9" w:rsidP="00B90788">
      <w:pPr>
        <w:spacing w:after="0"/>
        <w:ind w:right="-1"/>
        <w:rPr>
          <w:rFonts w:ascii="Calibri" w:eastAsia="Times New Roman" w:hAnsi="Calibri" w:cs="Calibri"/>
          <w:lang w:eastAsia="pt-PT"/>
        </w:rPr>
      </w:pPr>
    </w:p>
    <w:p w14:paraId="2B9745FF" w14:textId="77777777" w:rsidR="001E1FB9" w:rsidRPr="009A539C" w:rsidRDefault="001E1FB9" w:rsidP="00B90788">
      <w:pPr>
        <w:spacing w:after="0"/>
        <w:ind w:right="-1"/>
        <w:rPr>
          <w:rFonts w:ascii="Calibri" w:eastAsia="Times New Roman" w:hAnsi="Calibri" w:cs="Calibri"/>
          <w:lang w:eastAsia="pt-PT"/>
        </w:rPr>
      </w:pPr>
    </w:p>
    <w:p w14:paraId="65651D47" w14:textId="0CF3ECF8" w:rsidR="001E1FB9" w:rsidRPr="009A539C" w:rsidRDefault="001E1FB9" w:rsidP="00B90788">
      <w:pPr>
        <w:spacing w:line="240" w:lineRule="auto"/>
        <w:ind w:right="-1"/>
        <w:jc w:val="center"/>
        <w:rPr>
          <w:rFonts w:cs="Times New Roman"/>
          <w:b/>
          <w:bCs/>
          <w:color w:val="4F81BD" w:themeColor="accent1"/>
        </w:rPr>
      </w:pPr>
      <w:bookmarkStart w:id="39" w:name="_Toc15654940"/>
      <w:bookmarkStart w:id="40" w:name="_Toc45716623"/>
      <w:r w:rsidRPr="00E742C1">
        <w:rPr>
          <w:rFonts w:cs="Times New Roman"/>
          <w:bCs/>
          <w:color w:val="4F81BD" w:themeColor="accent1"/>
        </w:rPr>
        <w:t xml:space="preserve">Quadro </w:t>
      </w:r>
      <w:r w:rsidR="009972BC" w:rsidRPr="00E742C1">
        <w:rPr>
          <w:rFonts w:cs="Times New Roman"/>
          <w:bCs/>
          <w:noProof/>
          <w:color w:val="4F81BD" w:themeColor="accent1"/>
        </w:rPr>
        <w:fldChar w:fldCharType="begin"/>
      </w:r>
      <w:r w:rsidRPr="00E742C1">
        <w:rPr>
          <w:rFonts w:cs="Times New Roman"/>
          <w:bCs/>
          <w:noProof/>
          <w:color w:val="4F81BD" w:themeColor="accent1"/>
        </w:rPr>
        <w:instrText xml:space="preserve"> SEQ Quadro \* ARABIC </w:instrText>
      </w:r>
      <w:r w:rsidR="009972BC" w:rsidRPr="00E742C1">
        <w:rPr>
          <w:rFonts w:cs="Times New Roman"/>
          <w:bCs/>
          <w:noProof/>
          <w:color w:val="4F81BD" w:themeColor="accent1"/>
        </w:rPr>
        <w:fldChar w:fldCharType="separate"/>
      </w:r>
      <w:r w:rsidR="00D821DE" w:rsidRPr="00E742C1">
        <w:rPr>
          <w:rFonts w:cs="Times New Roman"/>
          <w:bCs/>
          <w:noProof/>
          <w:color w:val="4F81BD" w:themeColor="accent1"/>
        </w:rPr>
        <w:t>2</w:t>
      </w:r>
      <w:r w:rsidR="009972BC" w:rsidRPr="00E742C1">
        <w:rPr>
          <w:rFonts w:cs="Times New Roman"/>
          <w:bCs/>
          <w:noProof/>
          <w:color w:val="4F81BD" w:themeColor="accent1"/>
        </w:rPr>
        <w:fldChar w:fldCharType="end"/>
      </w:r>
      <w:r w:rsidRPr="00E742C1">
        <w:rPr>
          <w:rFonts w:cs="Times New Roman"/>
          <w:bCs/>
          <w:color w:val="4F81BD" w:themeColor="accent1"/>
        </w:rPr>
        <w:t xml:space="preserve"> - Número de emp</w:t>
      </w:r>
      <w:r w:rsidR="003F750E" w:rsidRPr="00E742C1">
        <w:rPr>
          <w:rFonts w:cs="Times New Roman"/>
          <w:bCs/>
          <w:color w:val="4F81BD" w:themeColor="accent1"/>
        </w:rPr>
        <w:t xml:space="preserve">resas por atividade e dimensão </w:t>
      </w:r>
      <w:r w:rsidR="00605D20" w:rsidRPr="00E742C1">
        <w:rPr>
          <w:rFonts w:cs="Times New Roman"/>
          <w:bCs/>
          <w:color w:val="4F81BD" w:themeColor="accent1"/>
        </w:rPr>
        <w:t>(</w:t>
      </w:r>
      <w:r w:rsidRPr="00E742C1">
        <w:rPr>
          <w:rFonts w:cs="Times New Roman"/>
          <w:bCs/>
          <w:color w:val="4F81BD" w:themeColor="accent1"/>
        </w:rPr>
        <w:t>201</w:t>
      </w:r>
      <w:bookmarkEnd w:id="39"/>
      <w:r w:rsidRPr="00E742C1">
        <w:rPr>
          <w:rFonts w:cs="Times New Roman"/>
          <w:bCs/>
          <w:color w:val="4F81BD" w:themeColor="accent1"/>
        </w:rPr>
        <w:t>8</w:t>
      </w:r>
      <w:r w:rsidR="00605D20" w:rsidRPr="00E742C1">
        <w:rPr>
          <w:rFonts w:cs="Times New Roman"/>
          <w:bCs/>
          <w:color w:val="4F81BD" w:themeColor="accent1"/>
        </w:rPr>
        <w:t>)</w:t>
      </w:r>
      <w:r w:rsidRPr="009A539C">
        <w:rPr>
          <w:rFonts w:cs="Times New Roman"/>
          <w:b/>
          <w:bCs/>
          <w:noProof/>
          <w:color w:val="4F81BD" w:themeColor="accent1"/>
          <w:sz w:val="18"/>
          <w:szCs w:val="18"/>
          <w:lang w:eastAsia="pt-PT"/>
        </w:rPr>
        <w:drawing>
          <wp:inline distT="0" distB="0" distL="0" distR="0" wp14:anchorId="18A948E3" wp14:editId="315DFA77">
            <wp:extent cx="3905250" cy="523875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05250" cy="5238750"/>
                    </a:xfrm>
                    <a:prstGeom prst="rect">
                      <a:avLst/>
                    </a:prstGeom>
                    <a:noFill/>
                    <a:ln>
                      <a:noFill/>
                    </a:ln>
                  </pic:spPr>
                </pic:pic>
              </a:graphicData>
            </a:graphic>
          </wp:inline>
        </w:drawing>
      </w:r>
      <w:bookmarkEnd w:id="40"/>
    </w:p>
    <w:p w14:paraId="10763A4E" w14:textId="77777777" w:rsidR="006A1EBE" w:rsidRPr="009A539C" w:rsidRDefault="006A1EBE" w:rsidP="00B90788">
      <w:pPr>
        <w:spacing w:line="240" w:lineRule="auto"/>
        <w:ind w:right="-1"/>
        <w:jc w:val="center"/>
        <w:rPr>
          <w:rFonts w:cs="Times New Roman"/>
          <w:b/>
          <w:bCs/>
          <w:color w:val="4F81BD" w:themeColor="accent1"/>
        </w:rPr>
      </w:pPr>
    </w:p>
    <w:bookmarkEnd w:id="37"/>
    <w:bookmarkEnd w:id="38"/>
    <w:p w14:paraId="73211E3B" w14:textId="77777777" w:rsidR="001E1FB9" w:rsidRPr="009A539C" w:rsidRDefault="001E1FB9" w:rsidP="00A95C56">
      <w:pPr>
        <w:pStyle w:val="PargrafodaLista"/>
        <w:numPr>
          <w:ilvl w:val="0"/>
          <w:numId w:val="8"/>
        </w:numPr>
        <w:tabs>
          <w:tab w:val="left" w:pos="851"/>
        </w:tabs>
        <w:spacing w:before="240" w:after="0" w:line="360" w:lineRule="auto"/>
        <w:ind w:left="0" w:right="-1" w:firstLine="426"/>
        <w:jc w:val="both"/>
        <w:rPr>
          <w:rFonts w:eastAsia="Calibri" w:cstheme="minorHAnsi"/>
          <w:b/>
        </w:rPr>
      </w:pPr>
      <w:r w:rsidRPr="009A539C">
        <w:rPr>
          <w:rFonts w:eastAsia="Calibri" w:cstheme="minorHAnsi"/>
        </w:rPr>
        <w:t>De acordo com os dados do Inquérito ao Emprego do INE (dados do Continente), a</w:t>
      </w:r>
      <w:r w:rsidR="007A7B25" w:rsidRPr="009A539C">
        <w:rPr>
          <w:rFonts w:eastAsia="Calibri" w:cstheme="minorHAnsi"/>
        </w:rPr>
        <w:t xml:space="preserve"> </w:t>
      </w:r>
      <w:r w:rsidRPr="009A539C">
        <w:rPr>
          <w:rFonts w:eastAsia="Calibri" w:cstheme="minorHAnsi"/>
        </w:rPr>
        <w:t>população total em 2019 correspondeu a 9.768,3 milhares de indivíduos, a população ativa a 4.990,5 milhares e a população empregada a 4.670,4 milhares. Os trabalhadores por conta de outrem representavam 83,1% da população empregada</w:t>
      </w:r>
      <w:r w:rsidRPr="009A539C">
        <w:rPr>
          <w:rFonts w:eastAsia="Calibri" w:cstheme="minorHAnsi"/>
          <w:vertAlign w:val="superscript"/>
        </w:rPr>
        <w:footnoteReference w:id="2"/>
      </w:r>
      <w:r w:rsidRPr="009A539C">
        <w:rPr>
          <w:rFonts w:eastAsia="Calibri" w:cstheme="minorHAnsi"/>
        </w:rPr>
        <w:t>, menos 0,2 pontos percentuais que no ano anterior.</w:t>
      </w:r>
    </w:p>
    <w:p w14:paraId="5891BDC9" w14:textId="77777777" w:rsidR="001E1FB9" w:rsidRPr="009A539C" w:rsidRDefault="001E1FB9" w:rsidP="00B90788">
      <w:pPr>
        <w:tabs>
          <w:tab w:val="left" w:pos="851"/>
        </w:tabs>
        <w:spacing w:after="0" w:line="360" w:lineRule="auto"/>
        <w:ind w:right="-1" w:firstLine="425"/>
        <w:jc w:val="both"/>
        <w:rPr>
          <w:rFonts w:ascii="Calibri" w:eastAsia="Calibri" w:hAnsi="Calibri" w:cs="Calibri"/>
        </w:rPr>
      </w:pPr>
      <w:r w:rsidRPr="009A539C">
        <w:rPr>
          <w:rFonts w:eastAsia="Calibri" w:cstheme="minorHAnsi"/>
        </w:rPr>
        <w:t>Retrata-se no quadro seguinte (quadro 3), a evolução conjunta do emprego e da população ativa, bem como da taxa de atividade, desde 2012</w:t>
      </w:r>
      <w:r w:rsidRPr="009A539C">
        <w:rPr>
          <w:rFonts w:ascii="Calibri" w:eastAsia="Calibri" w:hAnsi="Calibri" w:cs="Calibri"/>
          <w:vertAlign w:val="superscript"/>
        </w:rPr>
        <w:footnoteReference w:id="3"/>
      </w:r>
      <w:r w:rsidRPr="009A539C">
        <w:rPr>
          <w:rFonts w:ascii="Calibri" w:eastAsia="Calibri" w:hAnsi="Calibri" w:cs="Calibri"/>
        </w:rPr>
        <w:t>.</w:t>
      </w:r>
    </w:p>
    <w:p w14:paraId="6A2AA7B3" w14:textId="77777777" w:rsidR="003F750E" w:rsidRPr="009A539C" w:rsidRDefault="003F750E" w:rsidP="00B90788">
      <w:pPr>
        <w:tabs>
          <w:tab w:val="left" w:pos="851"/>
        </w:tabs>
        <w:spacing w:after="0" w:line="360" w:lineRule="auto"/>
        <w:ind w:right="-1" w:firstLine="425"/>
        <w:jc w:val="both"/>
        <w:rPr>
          <w:rFonts w:ascii="Calibri" w:eastAsia="Calibri" w:hAnsi="Calibri" w:cs="Calibri"/>
        </w:rPr>
      </w:pPr>
    </w:p>
    <w:p w14:paraId="01707C83" w14:textId="77777777" w:rsidR="003F750E" w:rsidRPr="009A539C" w:rsidRDefault="003F750E" w:rsidP="00B90788">
      <w:pPr>
        <w:tabs>
          <w:tab w:val="left" w:pos="851"/>
        </w:tabs>
        <w:spacing w:after="0" w:line="360" w:lineRule="auto"/>
        <w:ind w:right="-1" w:firstLine="425"/>
        <w:jc w:val="both"/>
        <w:rPr>
          <w:rFonts w:ascii="Calibri" w:eastAsia="Calibri" w:hAnsi="Calibri" w:cs="Calibri"/>
        </w:rPr>
      </w:pPr>
    </w:p>
    <w:p w14:paraId="53655214" w14:textId="77777777" w:rsidR="003F750E" w:rsidRPr="009A539C" w:rsidRDefault="003F750E" w:rsidP="00B90788">
      <w:pPr>
        <w:tabs>
          <w:tab w:val="left" w:pos="851"/>
        </w:tabs>
        <w:spacing w:after="0" w:line="360" w:lineRule="auto"/>
        <w:ind w:right="-1" w:firstLine="425"/>
        <w:jc w:val="both"/>
        <w:rPr>
          <w:rFonts w:ascii="Calibri" w:eastAsia="Calibri" w:hAnsi="Calibri" w:cs="Calibri"/>
        </w:rPr>
      </w:pPr>
    </w:p>
    <w:p w14:paraId="42C3A18E" w14:textId="77777777" w:rsidR="001E1FB9" w:rsidRPr="00E742C1" w:rsidRDefault="001E1FB9" w:rsidP="00B90788">
      <w:pPr>
        <w:pStyle w:val="Legenda"/>
        <w:ind w:right="-1"/>
        <w:jc w:val="center"/>
        <w:rPr>
          <w:b w:val="0"/>
          <w:sz w:val="22"/>
          <w:szCs w:val="22"/>
        </w:rPr>
      </w:pPr>
      <w:bookmarkStart w:id="41" w:name="_Toc517332038"/>
      <w:bookmarkStart w:id="42" w:name="_Toc15654941"/>
      <w:bookmarkStart w:id="43" w:name="_Toc45716624"/>
      <w:r w:rsidRPr="00E742C1">
        <w:rPr>
          <w:b w:val="0"/>
          <w:sz w:val="22"/>
          <w:szCs w:val="22"/>
        </w:rPr>
        <w:t xml:space="preserve">Quadro </w:t>
      </w:r>
      <w:r w:rsidR="009972BC" w:rsidRPr="00E742C1">
        <w:rPr>
          <w:b w:val="0"/>
          <w:noProof/>
          <w:sz w:val="22"/>
          <w:szCs w:val="22"/>
        </w:rPr>
        <w:fldChar w:fldCharType="begin"/>
      </w:r>
      <w:r w:rsidRPr="00E742C1">
        <w:rPr>
          <w:b w:val="0"/>
          <w:noProof/>
          <w:sz w:val="22"/>
          <w:szCs w:val="22"/>
        </w:rPr>
        <w:instrText xml:space="preserve"> SEQ Quadro \* ARABIC </w:instrText>
      </w:r>
      <w:r w:rsidR="009972BC" w:rsidRPr="00E742C1">
        <w:rPr>
          <w:b w:val="0"/>
          <w:noProof/>
          <w:sz w:val="22"/>
          <w:szCs w:val="22"/>
        </w:rPr>
        <w:fldChar w:fldCharType="separate"/>
      </w:r>
      <w:r w:rsidR="00D821DE" w:rsidRPr="00E742C1">
        <w:rPr>
          <w:b w:val="0"/>
          <w:noProof/>
          <w:sz w:val="22"/>
          <w:szCs w:val="22"/>
        </w:rPr>
        <w:t>3</w:t>
      </w:r>
      <w:r w:rsidR="009972BC" w:rsidRPr="00E742C1">
        <w:rPr>
          <w:b w:val="0"/>
          <w:noProof/>
          <w:sz w:val="22"/>
          <w:szCs w:val="22"/>
        </w:rPr>
        <w:fldChar w:fldCharType="end"/>
      </w:r>
      <w:r w:rsidR="003F750E" w:rsidRPr="00E742C1">
        <w:rPr>
          <w:b w:val="0"/>
          <w:sz w:val="22"/>
          <w:szCs w:val="22"/>
        </w:rPr>
        <w:t xml:space="preserve"> - Evolução da população ativa</w:t>
      </w:r>
      <w:r w:rsidRPr="00E742C1">
        <w:rPr>
          <w:b w:val="0"/>
          <w:sz w:val="22"/>
          <w:szCs w:val="22"/>
        </w:rPr>
        <w:t xml:space="preserve"> do emprego e da taxa de atividade (2012-2019)</w:t>
      </w:r>
      <w:bookmarkEnd w:id="41"/>
      <w:bookmarkEnd w:id="42"/>
      <w:bookmarkEnd w:id="43"/>
    </w:p>
    <w:p w14:paraId="66198CBD" w14:textId="77777777" w:rsidR="001E1FB9" w:rsidRPr="009A539C" w:rsidRDefault="001E1FB9" w:rsidP="00B90788">
      <w:pPr>
        <w:ind w:right="-1"/>
        <w:jc w:val="center"/>
      </w:pPr>
      <w:r w:rsidRPr="009A539C">
        <w:rPr>
          <w:noProof/>
          <w:lang w:eastAsia="pt-PT"/>
        </w:rPr>
        <w:drawing>
          <wp:inline distT="0" distB="0" distL="0" distR="0" wp14:anchorId="7D5E8470" wp14:editId="2E0BBB65">
            <wp:extent cx="5400040" cy="1594298"/>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1594298"/>
                    </a:xfrm>
                    <a:prstGeom prst="rect">
                      <a:avLst/>
                    </a:prstGeom>
                    <a:noFill/>
                    <a:ln>
                      <a:noFill/>
                    </a:ln>
                  </pic:spPr>
                </pic:pic>
              </a:graphicData>
            </a:graphic>
          </wp:inline>
        </w:drawing>
      </w:r>
    </w:p>
    <w:p w14:paraId="7D392BC9" w14:textId="77777777" w:rsidR="001E1FB9" w:rsidRPr="009A539C" w:rsidRDefault="001E1FB9" w:rsidP="00B90788">
      <w:pPr>
        <w:tabs>
          <w:tab w:val="left" w:pos="851"/>
        </w:tabs>
        <w:spacing w:before="240" w:line="360" w:lineRule="auto"/>
        <w:ind w:right="-1" w:firstLine="425"/>
        <w:jc w:val="both"/>
        <w:rPr>
          <w:rFonts w:eastAsia="Calibri" w:cstheme="minorHAnsi"/>
        </w:rPr>
      </w:pPr>
      <w:r w:rsidRPr="009A539C">
        <w:rPr>
          <w:rFonts w:eastAsia="Calibri" w:cstheme="minorHAnsi"/>
        </w:rPr>
        <w:t>No gráfico 4 observam-se as curvas de população empregada e desempregada no período de 2005-2019: são nítidos quer o pico acentuado de desemprego entre 2009 e 2013 (e a concomitante retração do emprego) quer a inversão de tendência operada a partir de 2014. Em 2019, acentua-se a divergência entre a linha do desemprego e do emprego.</w:t>
      </w:r>
    </w:p>
    <w:p w14:paraId="7DEF8BF3" w14:textId="77777777" w:rsidR="001E1FB9" w:rsidRPr="009A539C" w:rsidRDefault="001E1FB9" w:rsidP="00B90788">
      <w:pPr>
        <w:pStyle w:val="Legenda"/>
        <w:ind w:right="-1"/>
        <w:jc w:val="center"/>
        <w:rPr>
          <w:sz w:val="22"/>
          <w:szCs w:val="22"/>
        </w:rPr>
      </w:pPr>
      <w:bookmarkStart w:id="44" w:name="_Toc15655034"/>
      <w:bookmarkStart w:id="45" w:name="_Toc44665206"/>
      <w:r w:rsidRPr="009A539C">
        <w:rPr>
          <w:sz w:val="22"/>
          <w:szCs w:val="22"/>
        </w:rPr>
        <w:t xml:space="preserve">Gráfico </w:t>
      </w:r>
      <w:r w:rsidR="009972BC" w:rsidRPr="009A539C">
        <w:rPr>
          <w:noProof/>
          <w:sz w:val="22"/>
          <w:szCs w:val="22"/>
        </w:rPr>
        <w:fldChar w:fldCharType="begin"/>
      </w:r>
      <w:r w:rsidRPr="009A539C">
        <w:rPr>
          <w:noProof/>
          <w:sz w:val="22"/>
          <w:szCs w:val="22"/>
        </w:rPr>
        <w:instrText xml:space="preserve"> SEQ Gráfico \* ARABIC </w:instrText>
      </w:r>
      <w:r w:rsidR="009972BC" w:rsidRPr="009A539C">
        <w:rPr>
          <w:noProof/>
          <w:sz w:val="22"/>
          <w:szCs w:val="22"/>
        </w:rPr>
        <w:fldChar w:fldCharType="separate"/>
      </w:r>
      <w:r w:rsidR="00D821DE">
        <w:rPr>
          <w:noProof/>
          <w:sz w:val="22"/>
          <w:szCs w:val="22"/>
        </w:rPr>
        <w:t>4</w:t>
      </w:r>
      <w:r w:rsidR="009972BC" w:rsidRPr="009A539C">
        <w:rPr>
          <w:noProof/>
          <w:sz w:val="22"/>
          <w:szCs w:val="22"/>
        </w:rPr>
        <w:fldChar w:fldCharType="end"/>
      </w:r>
      <w:r w:rsidRPr="009A539C">
        <w:rPr>
          <w:noProof/>
          <w:sz w:val="22"/>
          <w:szCs w:val="22"/>
        </w:rPr>
        <w:t xml:space="preserve"> </w:t>
      </w:r>
      <w:r w:rsidRPr="009A539C">
        <w:rPr>
          <w:sz w:val="22"/>
          <w:szCs w:val="22"/>
        </w:rPr>
        <w:t>- Evolução do número de Empregados e Desempregados, em milhares (2005-2019)</w:t>
      </w:r>
      <w:bookmarkEnd w:id="44"/>
      <w:bookmarkEnd w:id="45"/>
    </w:p>
    <w:p w14:paraId="69D8D579" w14:textId="77777777" w:rsidR="001E1FB9" w:rsidRPr="009A539C" w:rsidRDefault="001E1FB9" w:rsidP="00B90788">
      <w:pPr>
        <w:ind w:right="-1"/>
        <w:jc w:val="center"/>
      </w:pPr>
      <w:r w:rsidRPr="009A539C">
        <w:rPr>
          <w:noProof/>
          <w:lang w:eastAsia="pt-PT"/>
        </w:rPr>
        <w:drawing>
          <wp:inline distT="0" distB="0" distL="0" distR="0" wp14:anchorId="1320CB2A" wp14:editId="4250B634">
            <wp:extent cx="4648200" cy="2851215"/>
            <wp:effectExtent l="0" t="0" r="0" b="635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53941" cy="2854737"/>
                    </a:xfrm>
                    <a:prstGeom prst="rect">
                      <a:avLst/>
                    </a:prstGeom>
                    <a:noFill/>
                  </pic:spPr>
                </pic:pic>
              </a:graphicData>
            </a:graphic>
          </wp:inline>
        </w:drawing>
      </w:r>
    </w:p>
    <w:p w14:paraId="3E8267E3" w14:textId="77777777" w:rsidR="00B66DE9" w:rsidRPr="009A539C" w:rsidRDefault="00B66DE9" w:rsidP="00A95C56">
      <w:pPr>
        <w:pStyle w:val="PargrafodaLista"/>
        <w:numPr>
          <w:ilvl w:val="0"/>
          <w:numId w:val="8"/>
        </w:numPr>
        <w:tabs>
          <w:tab w:val="left" w:pos="851"/>
        </w:tabs>
        <w:spacing w:before="240" w:after="0" w:line="360" w:lineRule="auto"/>
        <w:ind w:left="0" w:right="-1" w:firstLine="426"/>
        <w:jc w:val="both"/>
        <w:rPr>
          <w:rFonts w:eastAsia="Times New Roman" w:cs="Calibri"/>
          <w:lang w:eastAsia="pt-PT"/>
        </w:rPr>
      </w:pPr>
      <w:r w:rsidRPr="009A539C">
        <w:rPr>
          <w:rFonts w:eastAsia="Times New Roman" w:cstheme="minorHAnsi"/>
          <w:lang w:eastAsia="pt-PT"/>
        </w:rPr>
        <w:t>Como é sabido, a série Relatório sobre evolução anual da Negociação Coletiva, dedica-se fundamentalmente à análise da contratação coletiva promovida no âmbito de dois grupos de trabalhadores: os</w:t>
      </w:r>
      <w:r w:rsidRPr="009A539C">
        <w:rPr>
          <w:rFonts w:eastAsia="Times New Roman" w:cs="Calibri"/>
          <w:lang w:eastAsia="pt-PT"/>
        </w:rPr>
        <w:t xml:space="preserve"> </w:t>
      </w:r>
      <w:r w:rsidRPr="009A539C">
        <w:rPr>
          <w:rFonts w:eastAsia="Times New Roman" w:cstheme="minorHAnsi"/>
          <w:lang w:eastAsia="pt-PT"/>
        </w:rPr>
        <w:t>trabalhadores registados pelas empresas no Relatório Único</w:t>
      </w:r>
      <w:r w:rsidRPr="009A539C">
        <w:rPr>
          <w:vertAlign w:val="superscript"/>
          <w:lang w:eastAsia="pt-PT"/>
        </w:rPr>
        <w:footnoteReference w:id="4"/>
      </w:r>
      <w:r w:rsidRPr="009A539C">
        <w:rPr>
          <w:rFonts w:eastAsia="Times New Roman" w:cstheme="minorHAnsi"/>
          <w:lang w:eastAsia="pt-PT"/>
        </w:rPr>
        <w:t xml:space="preserve">, cuja contratação coletiva se enquadra no Código do Trabalho; e os trabalhadores no âmbito da Administração Pública, cuja contratação coletiva é regulada pelo Lei Geral do Trabalho em Funções Públicas (LTFP). </w:t>
      </w:r>
      <w:r w:rsidR="005E4634" w:rsidRPr="009A539C">
        <w:rPr>
          <w:rFonts w:eastAsia="Times New Roman" w:cstheme="minorHAnsi"/>
          <w:lang w:eastAsia="pt-PT"/>
        </w:rPr>
        <w:t xml:space="preserve">Os quadros seguintes </w:t>
      </w:r>
      <w:r w:rsidRPr="009A539C">
        <w:rPr>
          <w:rFonts w:eastAsia="Times New Roman" w:cstheme="minorHAnsi"/>
          <w:lang w:eastAsia="pt-PT"/>
        </w:rPr>
        <w:t>(4 e 5) apresentam a evolução quantitativa desses dois universos.</w:t>
      </w:r>
    </w:p>
    <w:p w14:paraId="2BD83CA4" w14:textId="77777777" w:rsidR="005E4634" w:rsidRPr="009A539C" w:rsidRDefault="005E4634" w:rsidP="00B90788">
      <w:pPr>
        <w:tabs>
          <w:tab w:val="left" w:pos="851"/>
        </w:tabs>
        <w:spacing w:line="360" w:lineRule="auto"/>
        <w:ind w:right="-1"/>
        <w:jc w:val="both"/>
        <w:rPr>
          <w:rFonts w:eastAsia="Times New Roman" w:cstheme="minorHAnsi"/>
          <w:lang w:eastAsia="pt-PT"/>
        </w:rPr>
      </w:pPr>
    </w:p>
    <w:p w14:paraId="219B3CDE" w14:textId="77777777" w:rsidR="005E4634" w:rsidRPr="009A539C" w:rsidRDefault="005E4634" w:rsidP="00B90788">
      <w:pPr>
        <w:tabs>
          <w:tab w:val="left" w:pos="851"/>
        </w:tabs>
        <w:spacing w:line="360" w:lineRule="auto"/>
        <w:ind w:right="-1" w:firstLine="426"/>
        <w:jc w:val="both"/>
        <w:rPr>
          <w:rFonts w:ascii="Calibri" w:eastAsia="Times New Roman" w:hAnsi="Calibri" w:cs="Calibri"/>
          <w:lang w:eastAsia="pt-PT"/>
        </w:rPr>
      </w:pPr>
      <w:r w:rsidRPr="009A539C">
        <w:rPr>
          <w:rFonts w:eastAsia="Times New Roman" w:cstheme="minorHAnsi"/>
          <w:lang w:eastAsia="pt-PT"/>
        </w:rPr>
        <w:t>À semelhança do observado nos Relatórios anteriores, registou-se, com início em 2009, uma diminuição do número de trabalhadores por conta de outrem (</w:t>
      </w:r>
      <w:r w:rsidRPr="009A539C">
        <w:rPr>
          <w:rFonts w:eastAsia="Calibri" w:cstheme="minorHAnsi"/>
        </w:rPr>
        <w:t>TCO) recolhido nos “</w:t>
      </w:r>
      <w:r w:rsidRPr="009A539C">
        <w:rPr>
          <w:rFonts w:eastAsia="Times New Roman" w:cstheme="minorHAnsi"/>
          <w:lang w:eastAsia="pt-PT"/>
        </w:rPr>
        <w:t xml:space="preserve">Quadros de Pessoal”, seguida de uma recuperação, a partir de 2014. </w:t>
      </w:r>
    </w:p>
    <w:p w14:paraId="5B7AC998" w14:textId="77777777" w:rsidR="005E4634" w:rsidRPr="00E742C1" w:rsidRDefault="005E4634" w:rsidP="00B90788">
      <w:pPr>
        <w:pStyle w:val="Legenda"/>
        <w:ind w:right="-1"/>
        <w:jc w:val="center"/>
        <w:rPr>
          <w:b w:val="0"/>
          <w:sz w:val="22"/>
          <w:szCs w:val="22"/>
        </w:rPr>
      </w:pPr>
      <w:bookmarkStart w:id="46" w:name="_Toc15654942"/>
      <w:bookmarkStart w:id="47" w:name="_Toc45716625"/>
      <w:r w:rsidRPr="00E742C1">
        <w:rPr>
          <w:b w:val="0"/>
          <w:sz w:val="22"/>
          <w:szCs w:val="22"/>
        </w:rPr>
        <w:t xml:space="preserve">Quadro </w:t>
      </w:r>
      <w:r w:rsidR="009972BC" w:rsidRPr="00E742C1">
        <w:rPr>
          <w:b w:val="0"/>
          <w:noProof/>
          <w:sz w:val="22"/>
          <w:szCs w:val="22"/>
        </w:rPr>
        <w:fldChar w:fldCharType="begin"/>
      </w:r>
      <w:r w:rsidRPr="00E742C1">
        <w:rPr>
          <w:b w:val="0"/>
          <w:noProof/>
          <w:sz w:val="22"/>
          <w:szCs w:val="22"/>
        </w:rPr>
        <w:instrText xml:space="preserve"> SEQ Quadro \* ARABIC </w:instrText>
      </w:r>
      <w:r w:rsidR="009972BC" w:rsidRPr="00E742C1">
        <w:rPr>
          <w:b w:val="0"/>
          <w:noProof/>
          <w:sz w:val="22"/>
          <w:szCs w:val="22"/>
        </w:rPr>
        <w:fldChar w:fldCharType="separate"/>
      </w:r>
      <w:r w:rsidR="00D821DE" w:rsidRPr="00E742C1">
        <w:rPr>
          <w:b w:val="0"/>
          <w:noProof/>
          <w:sz w:val="22"/>
          <w:szCs w:val="22"/>
        </w:rPr>
        <w:t>4</w:t>
      </w:r>
      <w:r w:rsidR="009972BC" w:rsidRPr="00E742C1">
        <w:rPr>
          <w:b w:val="0"/>
          <w:noProof/>
          <w:sz w:val="22"/>
          <w:szCs w:val="22"/>
        </w:rPr>
        <w:fldChar w:fldCharType="end"/>
      </w:r>
      <w:r w:rsidRPr="00E742C1">
        <w:rPr>
          <w:b w:val="0"/>
          <w:sz w:val="22"/>
          <w:szCs w:val="22"/>
        </w:rPr>
        <w:t xml:space="preserve"> - Númer</w:t>
      </w:r>
      <w:r w:rsidR="003F750E" w:rsidRPr="00E742C1">
        <w:rPr>
          <w:b w:val="0"/>
          <w:sz w:val="22"/>
          <w:szCs w:val="22"/>
        </w:rPr>
        <w:t>o de TCO (2005-2018</w:t>
      </w:r>
      <w:r w:rsidRPr="00E742C1">
        <w:rPr>
          <w:b w:val="0"/>
          <w:sz w:val="22"/>
          <w:szCs w:val="22"/>
        </w:rPr>
        <w:t>)</w:t>
      </w:r>
      <w:bookmarkEnd w:id="46"/>
      <w:bookmarkEnd w:id="47"/>
    </w:p>
    <w:p w14:paraId="1094A7DC" w14:textId="77777777" w:rsidR="005E4634" w:rsidRPr="009A539C" w:rsidRDefault="005E4634" w:rsidP="00B90788">
      <w:pPr>
        <w:pStyle w:val="PargrafodaLista"/>
        <w:ind w:left="0" w:right="-1"/>
        <w:jc w:val="center"/>
      </w:pPr>
      <w:r w:rsidRPr="009A539C">
        <w:rPr>
          <w:noProof/>
          <w:lang w:eastAsia="pt-PT"/>
        </w:rPr>
        <w:drawing>
          <wp:inline distT="0" distB="0" distL="0" distR="0" wp14:anchorId="743631E3" wp14:editId="5E24BDBC">
            <wp:extent cx="6613300" cy="99060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2522" cy="990484"/>
                    </a:xfrm>
                    <a:prstGeom prst="rect">
                      <a:avLst/>
                    </a:prstGeom>
                    <a:noFill/>
                    <a:ln>
                      <a:noFill/>
                    </a:ln>
                  </pic:spPr>
                </pic:pic>
              </a:graphicData>
            </a:graphic>
          </wp:inline>
        </w:drawing>
      </w:r>
    </w:p>
    <w:p w14:paraId="31F85C05" w14:textId="77777777" w:rsidR="005E4634" w:rsidRPr="009A539C" w:rsidRDefault="005E4634" w:rsidP="00B90788">
      <w:pPr>
        <w:pStyle w:val="PargrafodaLista"/>
        <w:ind w:left="1146" w:right="-1"/>
      </w:pPr>
    </w:p>
    <w:p w14:paraId="1FEEEF08" w14:textId="77777777" w:rsidR="005E4634" w:rsidRPr="009A539C" w:rsidRDefault="005E4634" w:rsidP="00B90788">
      <w:pPr>
        <w:pStyle w:val="PargrafodaLista"/>
        <w:ind w:left="1146" w:right="-1"/>
      </w:pPr>
    </w:p>
    <w:p w14:paraId="2C54B6C3" w14:textId="77777777" w:rsidR="005E4634" w:rsidRPr="009A539C" w:rsidRDefault="005E4634" w:rsidP="00B90788">
      <w:pPr>
        <w:pStyle w:val="PargrafodaLista"/>
        <w:tabs>
          <w:tab w:val="left" w:pos="851"/>
        </w:tabs>
        <w:spacing w:line="360" w:lineRule="auto"/>
        <w:ind w:left="0" w:right="-1" w:firstLine="426"/>
        <w:jc w:val="both"/>
        <w:rPr>
          <w:rFonts w:eastAsia="Times New Roman" w:cstheme="minorHAnsi"/>
          <w:lang w:eastAsia="pt-PT"/>
        </w:rPr>
      </w:pPr>
      <w:r w:rsidRPr="009A539C">
        <w:rPr>
          <w:rFonts w:eastAsia="Times New Roman" w:cstheme="minorHAnsi"/>
          <w:lang w:eastAsia="pt-PT"/>
        </w:rPr>
        <w:t>É paralela a evolução no emprego público, aferida a partir dos dados da Direção-Geral da Administração e do Emprego Público: diminuição até 2014, tendo um aumento a partir de 2015.</w:t>
      </w:r>
    </w:p>
    <w:p w14:paraId="48F41ACD" w14:textId="77777777" w:rsidR="005E4634" w:rsidRPr="00E742C1" w:rsidRDefault="005E4634" w:rsidP="003F750E">
      <w:pPr>
        <w:pStyle w:val="Legenda"/>
        <w:ind w:right="-1"/>
        <w:jc w:val="center"/>
        <w:rPr>
          <w:b w:val="0"/>
          <w:sz w:val="22"/>
          <w:szCs w:val="22"/>
        </w:rPr>
      </w:pPr>
      <w:bookmarkStart w:id="48" w:name="_Toc15654943"/>
      <w:bookmarkStart w:id="49" w:name="_Toc45716626"/>
      <w:r w:rsidRPr="00E742C1">
        <w:rPr>
          <w:b w:val="0"/>
          <w:sz w:val="22"/>
          <w:szCs w:val="22"/>
        </w:rPr>
        <w:t xml:space="preserve">Quadro </w:t>
      </w:r>
      <w:r w:rsidR="009972BC" w:rsidRPr="00E742C1">
        <w:rPr>
          <w:b w:val="0"/>
          <w:noProof/>
          <w:sz w:val="22"/>
          <w:szCs w:val="22"/>
        </w:rPr>
        <w:fldChar w:fldCharType="begin"/>
      </w:r>
      <w:r w:rsidRPr="00E742C1">
        <w:rPr>
          <w:b w:val="0"/>
          <w:noProof/>
          <w:sz w:val="22"/>
          <w:szCs w:val="22"/>
        </w:rPr>
        <w:instrText xml:space="preserve"> SEQ Quadro \* ARABIC </w:instrText>
      </w:r>
      <w:r w:rsidR="009972BC" w:rsidRPr="00E742C1">
        <w:rPr>
          <w:b w:val="0"/>
          <w:noProof/>
          <w:sz w:val="22"/>
          <w:szCs w:val="22"/>
        </w:rPr>
        <w:fldChar w:fldCharType="separate"/>
      </w:r>
      <w:r w:rsidR="00D821DE" w:rsidRPr="00E742C1">
        <w:rPr>
          <w:b w:val="0"/>
          <w:noProof/>
          <w:sz w:val="22"/>
          <w:szCs w:val="22"/>
        </w:rPr>
        <w:t>5</w:t>
      </w:r>
      <w:r w:rsidR="009972BC" w:rsidRPr="00E742C1">
        <w:rPr>
          <w:b w:val="0"/>
          <w:noProof/>
          <w:sz w:val="22"/>
          <w:szCs w:val="22"/>
        </w:rPr>
        <w:fldChar w:fldCharType="end"/>
      </w:r>
      <w:r w:rsidR="003F750E" w:rsidRPr="00E742C1">
        <w:rPr>
          <w:b w:val="0"/>
          <w:sz w:val="22"/>
          <w:szCs w:val="22"/>
        </w:rPr>
        <w:t xml:space="preserve"> - Emprego no se</w:t>
      </w:r>
      <w:r w:rsidRPr="00E742C1">
        <w:rPr>
          <w:b w:val="0"/>
          <w:sz w:val="22"/>
          <w:szCs w:val="22"/>
        </w:rPr>
        <w:t>tor das ad</w:t>
      </w:r>
      <w:r w:rsidR="003F750E" w:rsidRPr="00E742C1">
        <w:rPr>
          <w:b w:val="0"/>
          <w:sz w:val="22"/>
          <w:szCs w:val="22"/>
        </w:rPr>
        <w:t>ministrações públicas por subsetor</w:t>
      </w:r>
      <w:r w:rsidRPr="00E742C1">
        <w:rPr>
          <w:b w:val="0"/>
          <w:sz w:val="22"/>
          <w:szCs w:val="22"/>
        </w:rPr>
        <w:t xml:space="preserve"> (2011-2019)</w:t>
      </w:r>
      <w:bookmarkEnd w:id="48"/>
      <w:bookmarkEnd w:id="49"/>
    </w:p>
    <w:p w14:paraId="57B4FAA5" w14:textId="77777777" w:rsidR="005E4634" w:rsidRPr="009A539C" w:rsidRDefault="005E4634" w:rsidP="00B90788">
      <w:pPr>
        <w:pStyle w:val="PargrafodaLista"/>
        <w:ind w:left="0" w:right="-1"/>
        <w:jc w:val="center"/>
      </w:pPr>
      <w:r w:rsidRPr="009A539C">
        <w:rPr>
          <w:noProof/>
          <w:lang w:eastAsia="pt-PT"/>
        </w:rPr>
        <w:drawing>
          <wp:inline distT="0" distB="0" distL="0" distR="0" wp14:anchorId="428FC145" wp14:editId="1FF64418">
            <wp:extent cx="5400040" cy="1892572"/>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1892572"/>
                    </a:xfrm>
                    <a:prstGeom prst="rect">
                      <a:avLst/>
                    </a:prstGeom>
                    <a:noFill/>
                    <a:ln>
                      <a:noFill/>
                    </a:ln>
                  </pic:spPr>
                </pic:pic>
              </a:graphicData>
            </a:graphic>
          </wp:inline>
        </w:drawing>
      </w:r>
    </w:p>
    <w:p w14:paraId="5500736B" w14:textId="77777777" w:rsidR="005E4634" w:rsidRPr="009A539C" w:rsidRDefault="005E4634" w:rsidP="00A95C56">
      <w:pPr>
        <w:pStyle w:val="PargrafodaLista"/>
        <w:numPr>
          <w:ilvl w:val="0"/>
          <w:numId w:val="8"/>
        </w:numPr>
        <w:ind w:right="-1"/>
        <w:rPr>
          <w:rStyle w:val="ListLabel2"/>
          <w:rFonts w:ascii="Calibri" w:eastAsia="Calibri" w:hAnsi="Calibri" w:cs="Calibri"/>
        </w:rPr>
      </w:pPr>
      <w:r w:rsidRPr="009A539C">
        <w:rPr>
          <w:rFonts w:ascii="Calibri" w:eastAsia="Calibri" w:hAnsi="Calibri" w:cs="Courier New"/>
          <w:b/>
        </w:rPr>
        <w:br w:type="page"/>
      </w:r>
    </w:p>
    <w:p w14:paraId="0D58A3CB" w14:textId="77777777" w:rsidR="00352391" w:rsidRPr="009A539C" w:rsidRDefault="00352391" w:rsidP="00B90788">
      <w:pPr>
        <w:pStyle w:val="PargrafodaLista"/>
        <w:spacing w:line="360" w:lineRule="auto"/>
        <w:ind w:left="0" w:right="-1"/>
        <w:rPr>
          <w:rFonts w:ascii="Calibri" w:hAnsi="Calibri" w:cs="Calibri"/>
          <w:bCs/>
        </w:rPr>
      </w:pPr>
    </w:p>
    <w:p w14:paraId="1C906702" w14:textId="6D670720" w:rsidR="001E5AF9" w:rsidRDefault="001E5AF9" w:rsidP="00B90788">
      <w:pPr>
        <w:pStyle w:val="PargrafodaLista"/>
        <w:numPr>
          <w:ilvl w:val="1"/>
          <w:numId w:val="1"/>
        </w:numPr>
        <w:spacing w:line="360" w:lineRule="auto"/>
        <w:ind w:left="851" w:right="-1" w:hanging="425"/>
        <w:outlineLvl w:val="1"/>
        <w:rPr>
          <w:rFonts w:ascii="Calibri" w:hAnsi="Calibri" w:cs="Calibri"/>
          <w:b/>
          <w:sz w:val="24"/>
          <w:szCs w:val="24"/>
        </w:rPr>
      </w:pPr>
      <w:bookmarkStart w:id="50" w:name="_Toc42511543"/>
      <w:bookmarkStart w:id="51" w:name="_Toc45535681"/>
      <w:r w:rsidRPr="009A539C">
        <w:rPr>
          <w:rFonts w:ascii="Calibri" w:hAnsi="Calibri" w:cs="Calibri"/>
          <w:b/>
          <w:sz w:val="24"/>
          <w:szCs w:val="24"/>
        </w:rPr>
        <w:t>Contexto normativo</w:t>
      </w:r>
      <w:bookmarkEnd w:id="50"/>
      <w:bookmarkEnd w:id="51"/>
    </w:p>
    <w:p w14:paraId="04D6A4BD" w14:textId="77777777" w:rsidR="00605D20" w:rsidRPr="009A539C" w:rsidRDefault="00605D20" w:rsidP="00605D20">
      <w:pPr>
        <w:pStyle w:val="PargrafodaLista"/>
        <w:spacing w:line="360" w:lineRule="auto"/>
        <w:ind w:left="851" w:right="-1"/>
        <w:outlineLvl w:val="1"/>
        <w:rPr>
          <w:rFonts w:ascii="Calibri" w:hAnsi="Calibri" w:cs="Calibri"/>
          <w:b/>
          <w:sz w:val="24"/>
          <w:szCs w:val="24"/>
        </w:rPr>
      </w:pPr>
    </w:p>
    <w:p w14:paraId="2FEFD549" w14:textId="550365A9" w:rsidR="00397B0C" w:rsidRPr="009A539C" w:rsidRDefault="00AC77D7" w:rsidP="00605D20">
      <w:pPr>
        <w:pStyle w:val="PargrafodaLista"/>
        <w:spacing w:before="120" w:line="360" w:lineRule="auto"/>
        <w:ind w:left="0" w:right="-1" w:firstLine="426"/>
        <w:jc w:val="both"/>
        <w:rPr>
          <w:rFonts w:ascii="Calibri" w:hAnsi="Calibri"/>
          <w:bCs/>
        </w:rPr>
      </w:pPr>
      <w:bookmarkStart w:id="52" w:name="_Toc42511544"/>
      <w:bookmarkStart w:id="53" w:name="_Toc42514308"/>
      <w:r w:rsidRPr="009A539C">
        <w:rPr>
          <w:rFonts w:ascii="Calibri" w:hAnsi="Calibri"/>
          <w:b/>
        </w:rPr>
        <w:t xml:space="preserve">I. </w:t>
      </w:r>
      <w:r w:rsidRPr="009A539C">
        <w:rPr>
          <w:rFonts w:ascii="Calibri" w:hAnsi="Calibri"/>
          <w:b/>
        </w:rPr>
        <w:tab/>
      </w:r>
      <w:r w:rsidR="00397B0C" w:rsidRPr="009A539C">
        <w:rPr>
          <w:rFonts w:ascii="Calibri" w:hAnsi="Calibri"/>
          <w:bCs/>
        </w:rPr>
        <w:t>O contexto normativo visa destacar os elementos legislativos mais importantes em matéria de Direito do Trabalho e, em particular, quanto às alterações legislativas com incidência na contratação coletiva e, bem assim, dar nota da jurisprudência mais relevante ao nível dos tribunais superiores do ano de 2019.</w:t>
      </w:r>
      <w:bookmarkEnd w:id="52"/>
      <w:bookmarkEnd w:id="53"/>
    </w:p>
    <w:p w14:paraId="1ED61EB3" w14:textId="261FAFEA" w:rsidR="00397B0C" w:rsidRPr="009A539C" w:rsidRDefault="00397B0C" w:rsidP="00605D20">
      <w:pPr>
        <w:pStyle w:val="PargrafodaLista"/>
        <w:spacing w:line="360" w:lineRule="auto"/>
        <w:ind w:left="0" w:firstLine="426"/>
        <w:jc w:val="both"/>
        <w:rPr>
          <w:rFonts w:ascii="Calibri" w:hAnsi="Calibri" w:cs="Calibri"/>
        </w:rPr>
      </w:pPr>
      <w:r w:rsidRPr="009A539C">
        <w:rPr>
          <w:rFonts w:ascii="Calibri" w:hAnsi="Calibri" w:cs="Calibri"/>
        </w:rPr>
        <w:tab/>
      </w:r>
      <w:bookmarkStart w:id="54" w:name="_Toc42511545"/>
      <w:bookmarkStart w:id="55" w:name="_Toc42514309"/>
      <w:r w:rsidRPr="009A539C">
        <w:rPr>
          <w:rFonts w:ascii="Calibri" w:hAnsi="Calibri" w:cs="Calibri"/>
        </w:rPr>
        <w:t xml:space="preserve">O ano de 2019 foi marcado por importantes alterações na legislação laboral, com especial destaque para as que </w:t>
      </w:r>
      <w:r w:rsidR="0092033D" w:rsidRPr="009A539C">
        <w:rPr>
          <w:rFonts w:ascii="Calibri" w:hAnsi="Calibri" w:cs="Calibri"/>
        </w:rPr>
        <w:t xml:space="preserve">foram introduzidas pela </w:t>
      </w:r>
      <w:r w:rsidRPr="009A539C">
        <w:rPr>
          <w:rFonts w:ascii="Calibri" w:hAnsi="Calibri" w:cs="Calibri"/>
        </w:rPr>
        <w:t>Lei n.º 90/2019, de 4 de setembro, relativa ao reforço da proteção na parentalidade, e que procede à décima quarta alteração ao Código do Trabalho, e pela Lei n.º 93/2019, de 4 de setembro, que procede à décima quinta alteração ao Código do Trabalho. Destes diplomas, o que assume maior peso no que respeita à negociação coletiva é a Lei n.º 93/2019, a qual consubstanciou um conjunto de alterações transversais às normas legais que regulam o contrato de trabalho, incluindo modificações relevantes do regime da negociação coletiva.</w:t>
      </w:r>
      <w:bookmarkEnd w:id="54"/>
      <w:bookmarkEnd w:id="55"/>
    </w:p>
    <w:p w14:paraId="17646FF4" w14:textId="40D19EF7" w:rsidR="00397B0C" w:rsidRPr="009A539C" w:rsidRDefault="00397B0C" w:rsidP="00605D20">
      <w:pPr>
        <w:pStyle w:val="PargrafodaLista"/>
        <w:spacing w:line="360" w:lineRule="auto"/>
        <w:ind w:left="0" w:firstLine="426"/>
        <w:jc w:val="both"/>
        <w:rPr>
          <w:rFonts w:ascii="Calibri" w:hAnsi="Calibri" w:cs="Calibri"/>
        </w:rPr>
      </w:pPr>
      <w:bookmarkStart w:id="56" w:name="_Toc42511546"/>
      <w:bookmarkStart w:id="57" w:name="_Toc42514310"/>
      <w:r w:rsidRPr="009A539C">
        <w:rPr>
          <w:rFonts w:ascii="Calibri" w:hAnsi="Calibri" w:cs="Calibri"/>
        </w:rPr>
        <w:t>A Lei n.º 93/2019, de 4 de setembro alterou, também, o Código dos Regimes Contributivos do Sistema Previdencial de Segurança Social que passou a prever uma contribuição adicional por rotatividade excessiva, aplicável às entidades empregadoras que apresentem um peso anual de contratação a termo superior ao respetivo indicador setorial anual em vigor (aditamento do art. 55º-A).</w:t>
      </w:r>
      <w:bookmarkEnd w:id="56"/>
      <w:bookmarkEnd w:id="57"/>
    </w:p>
    <w:p w14:paraId="44CC4EF5" w14:textId="77777777" w:rsidR="00AC77D7" w:rsidRPr="009A539C" w:rsidRDefault="00AC77D7" w:rsidP="00605D20">
      <w:pPr>
        <w:pStyle w:val="PargrafodaLista"/>
        <w:spacing w:line="360" w:lineRule="auto"/>
        <w:ind w:left="0" w:firstLine="426"/>
        <w:jc w:val="both"/>
        <w:rPr>
          <w:rFonts w:ascii="Calibri" w:hAnsi="Calibri" w:cs="Calibri"/>
        </w:rPr>
      </w:pPr>
    </w:p>
    <w:p w14:paraId="03279C97" w14:textId="77777777" w:rsidR="00397B0C" w:rsidRPr="009A539C" w:rsidRDefault="00397B0C" w:rsidP="00605D20">
      <w:pPr>
        <w:pStyle w:val="PargrafodaLista"/>
        <w:spacing w:line="360" w:lineRule="auto"/>
        <w:ind w:left="0" w:firstLine="426"/>
        <w:jc w:val="both"/>
        <w:rPr>
          <w:rFonts w:ascii="Calibri" w:hAnsi="Calibri" w:cs="Calibri"/>
        </w:rPr>
      </w:pPr>
      <w:bookmarkStart w:id="58" w:name="_Toc42511547"/>
      <w:bookmarkStart w:id="59" w:name="_Toc42514311"/>
      <w:r w:rsidRPr="009A539C">
        <w:rPr>
          <w:rFonts w:ascii="Calibri" w:hAnsi="Calibri" w:cs="Calibri"/>
        </w:rPr>
        <w:t>Através da Lei n.º 107/2019, de 9 de setembro, foi revisto o Código de Processo do Trabalho para o harmonizar com as normas do Código de Processo Civil (Lei n.º 107/2019, de 9 de setembro).</w:t>
      </w:r>
      <w:bookmarkEnd w:id="58"/>
      <w:bookmarkEnd w:id="59"/>
      <w:r w:rsidRPr="009A539C">
        <w:rPr>
          <w:rFonts w:ascii="Calibri" w:hAnsi="Calibri" w:cs="Calibri"/>
        </w:rPr>
        <w:t xml:space="preserve">  </w:t>
      </w:r>
    </w:p>
    <w:p w14:paraId="21AF0222" w14:textId="77777777" w:rsidR="00397B0C" w:rsidRPr="009A539C" w:rsidRDefault="00397B0C" w:rsidP="00605D20">
      <w:pPr>
        <w:pStyle w:val="PargrafodaLista"/>
        <w:spacing w:line="360" w:lineRule="auto"/>
        <w:ind w:left="0" w:firstLine="426"/>
        <w:jc w:val="both"/>
        <w:rPr>
          <w:rFonts w:ascii="Calibri" w:hAnsi="Calibri" w:cs="Calibri"/>
        </w:rPr>
      </w:pPr>
      <w:bookmarkStart w:id="60" w:name="_Toc42511548"/>
      <w:bookmarkStart w:id="61" w:name="_Toc42514312"/>
      <w:r w:rsidRPr="009A539C">
        <w:rPr>
          <w:rFonts w:ascii="Calibri" w:hAnsi="Calibri" w:cs="Calibri"/>
        </w:rPr>
        <w:t>Deve ainda ser dada nota da Lei n.º 58/2019, de 8 de agosto, que assegura a execução, na ordem jurídica nacional, do Regulamento (UE) 2016/679 do Parlamento e do Conselho, de 27 de abril de 2016, relativo à proteção das pessoas singulares no que diz respeito ao tratamento de dados pessoais e à livre circulação desses dados, com implicações no regime da proteção dos direitos de personalidade dos trabalhadores, nomeadamente em matérias de utilização de meios de videovigilância.</w:t>
      </w:r>
      <w:bookmarkEnd w:id="60"/>
      <w:bookmarkEnd w:id="61"/>
    </w:p>
    <w:p w14:paraId="28977229" w14:textId="77777777" w:rsidR="00AC77D7" w:rsidRPr="009A539C" w:rsidRDefault="00AC77D7" w:rsidP="00605D20">
      <w:pPr>
        <w:pStyle w:val="PargrafodaLista"/>
        <w:spacing w:line="360" w:lineRule="auto"/>
        <w:ind w:left="0" w:firstLine="426"/>
        <w:jc w:val="both"/>
        <w:rPr>
          <w:rFonts w:ascii="Calibri" w:hAnsi="Calibri" w:cs="Calibri"/>
        </w:rPr>
      </w:pPr>
    </w:p>
    <w:p w14:paraId="51F18B73" w14:textId="6CFDF60D" w:rsidR="00397B0C" w:rsidRPr="009A539C" w:rsidRDefault="00397B0C" w:rsidP="00605D20">
      <w:pPr>
        <w:pStyle w:val="PargrafodaLista"/>
        <w:spacing w:before="120" w:line="360" w:lineRule="auto"/>
        <w:ind w:left="0" w:right="-1" w:firstLine="426"/>
        <w:jc w:val="both"/>
        <w:rPr>
          <w:rFonts w:ascii="Calibri" w:hAnsi="Calibri"/>
          <w:bCs/>
        </w:rPr>
      </w:pPr>
      <w:r w:rsidRPr="009A539C">
        <w:rPr>
          <w:rFonts w:ascii="Calibri" w:hAnsi="Calibri"/>
          <w:b/>
        </w:rPr>
        <w:t>II.</w:t>
      </w:r>
      <w:r w:rsidRPr="009A539C">
        <w:rPr>
          <w:rFonts w:ascii="Calibri" w:hAnsi="Calibri"/>
          <w:b/>
        </w:rPr>
        <w:tab/>
      </w:r>
      <w:bookmarkStart w:id="62" w:name="_Toc42511549"/>
      <w:bookmarkStart w:id="63" w:name="_Toc42514313"/>
      <w:r w:rsidRPr="009A539C">
        <w:rPr>
          <w:rFonts w:ascii="Calibri" w:hAnsi="Calibri"/>
          <w:bCs/>
        </w:rPr>
        <w:t>No que tange à autonomia coletiva, a Lei n.º 93/2019, de 4 de setembro modificou a alínea j) do n.º 3 do artigo 3.º do Código do Trabalho para acrescentar o trabalho suplementar ao elenco de matérias sobre as quais os instrumentos de regulamentação coletiva só podem dispor em sentido mais favorável. De igual modo, foi restringida a autonomia coletiva quanto à contratação a termo com a nova redação do artigo 139.º do Código do Trabalho.</w:t>
      </w:r>
      <w:bookmarkEnd w:id="62"/>
      <w:bookmarkEnd w:id="63"/>
    </w:p>
    <w:p w14:paraId="65D543E3" w14:textId="397A9471" w:rsidR="00AC77D7" w:rsidRPr="009A539C" w:rsidRDefault="00605D20" w:rsidP="00605D20">
      <w:pPr>
        <w:pStyle w:val="PargrafodaLista"/>
        <w:tabs>
          <w:tab w:val="left" w:pos="6000"/>
        </w:tabs>
        <w:spacing w:before="120" w:line="360" w:lineRule="auto"/>
        <w:ind w:left="0" w:right="-1" w:firstLine="426"/>
        <w:jc w:val="both"/>
        <w:rPr>
          <w:rFonts w:ascii="Calibri" w:hAnsi="Calibri"/>
          <w:bCs/>
        </w:rPr>
      </w:pPr>
      <w:r>
        <w:rPr>
          <w:rFonts w:ascii="Calibri" w:hAnsi="Calibri"/>
          <w:bCs/>
        </w:rPr>
        <w:tab/>
      </w:r>
    </w:p>
    <w:p w14:paraId="3A7F94FE" w14:textId="5D946545" w:rsidR="00397B0C" w:rsidRPr="009A539C" w:rsidRDefault="00397B0C" w:rsidP="00605D20">
      <w:pPr>
        <w:pStyle w:val="PargrafodaLista"/>
        <w:spacing w:before="120" w:line="360" w:lineRule="auto"/>
        <w:ind w:left="0" w:right="-1" w:firstLine="426"/>
        <w:jc w:val="both"/>
        <w:rPr>
          <w:rFonts w:ascii="Calibri" w:hAnsi="Calibri"/>
          <w:bCs/>
        </w:rPr>
      </w:pPr>
      <w:bookmarkStart w:id="64" w:name="_Toc42511550"/>
      <w:bookmarkStart w:id="65" w:name="_Toc42514314"/>
      <w:r w:rsidRPr="009A539C">
        <w:rPr>
          <w:rFonts w:ascii="Calibri" w:hAnsi="Calibri"/>
          <w:bCs/>
        </w:rPr>
        <w:t>Uma das alterações que resultaram da Lei n.º 93/2019 prende-se com o alcance do mecanismo da adesão pelo trabalhador não filiado em qualquer associação sindical ao regime estabelecido em convenção coletiva, previsto no artigo 497.º do Código do Trabalho. As inovações introduzidas pela Lei n.º 93/2019 centram-se essencialmente na limitação da faculdade de adesão, (i) através do estabelecimento de um prazo três meses após a entrada em vigor do instrumento escolhido dentro do qual o trabalhador o pode fazer (n.º 2 do artigo 497.º), (ii) com um limite máximo de 15 meses para a duração da adesão (n.º 3 do artigo 497.º) e (iii) o trabalhador só pode fazer o uso dessa escolha uma vez (n.º 5 do artigo 497.º). Acresce que, nos termos do n.º 4 do artigo 497.º, a revogação da escolha apenas determinará a cessação da aplicação da convenção decorridos seis meses após a comunicação dessa revogação ou em momento anterior, caso se verifique a cessação da vigência da convenção ou se completem 15 meses contados da adesão, quando algum destes factos se verifique antes de decorridos seis meses da comunicação da revogação (n.º 2 do artigo 497.º).</w:t>
      </w:r>
      <w:bookmarkEnd w:id="64"/>
      <w:bookmarkEnd w:id="65"/>
    </w:p>
    <w:p w14:paraId="6A562B61" w14:textId="77777777" w:rsidR="00AC77D7" w:rsidRPr="009A539C" w:rsidRDefault="00AC77D7" w:rsidP="00605D20">
      <w:pPr>
        <w:pStyle w:val="PargrafodaLista"/>
        <w:spacing w:before="120" w:line="360" w:lineRule="auto"/>
        <w:ind w:left="0" w:right="-1" w:firstLine="426"/>
        <w:jc w:val="both"/>
        <w:rPr>
          <w:rFonts w:ascii="Calibri" w:hAnsi="Calibri"/>
          <w:bCs/>
        </w:rPr>
      </w:pPr>
    </w:p>
    <w:p w14:paraId="4B83A26C" w14:textId="77777777" w:rsidR="00397B0C" w:rsidRPr="009A539C" w:rsidRDefault="00397B0C" w:rsidP="00605D20">
      <w:pPr>
        <w:pStyle w:val="PargrafodaLista"/>
        <w:spacing w:before="120" w:line="360" w:lineRule="auto"/>
        <w:ind w:left="0" w:right="-1" w:firstLine="426"/>
        <w:jc w:val="both"/>
        <w:rPr>
          <w:rFonts w:ascii="Calibri" w:hAnsi="Calibri"/>
          <w:bCs/>
        </w:rPr>
      </w:pPr>
      <w:r w:rsidRPr="009A539C">
        <w:rPr>
          <w:rFonts w:ascii="Calibri" w:hAnsi="Calibri"/>
          <w:bCs/>
        </w:rPr>
        <w:tab/>
      </w:r>
      <w:bookmarkStart w:id="66" w:name="_Toc42511551"/>
      <w:bookmarkStart w:id="67" w:name="_Toc42514315"/>
      <w:r w:rsidRPr="009A539C">
        <w:rPr>
          <w:rFonts w:ascii="Calibri" w:hAnsi="Calibri"/>
          <w:bCs/>
        </w:rPr>
        <w:t>No que respeita ao âmbito temporal dos instrumentos de regulamentação coletiva, verificamos a inclusão de um conjunto significativo de alterações impulsionadas pela Lei n.º 93/2019, as quais incidem, desde logo, sobre a denúncia das convenções coletivas. Com efeito, o artigo 500.º do Código do Trabalho passou a exigir que, para além de proposta negocial global, a comunicação escrita que procede à denúncia da convenção seja igualmente acompanhada de fundamentação quanto a motivos de ordem económica, estrutural ou a desajustamentos do regime da convenção denunciada. Ainda no que concerne à denúncia foi criada a obrigação de a parte autora da denúncia proceder, no prazo de 10 dias a contar da data da denúncia, ao envio ao serviço competente do ministério responsável pela área laboral de cópia da mesma e da proposta negocial global que a acompanha, conforme resulta do atual n.º 3 do artigo 500.º do Código do Trabalho.</w:t>
      </w:r>
      <w:bookmarkEnd w:id="66"/>
      <w:bookmarkEnd w:id="67"/>
    </w:p>
    <w:p w14:paraId="06CB1DA8" w14:textId="77777777" w:rsidR="00AC77D7" w:rsidRPr="009A539C" w:rsidRDefault="00AC77D7" w:rsidP="00605D20">
      <w:pPr>
        <w:pStyle w:val="PargrafodaLista"/>
        <w:spacing w:before="120" w:line="360" w:lineRule="auto"/>
        <w:ind w:left="0" w:right="-1" w:firstLine="426"/>
        <w:jc w:val="both"/>
        <w:rPr>
          <w:rFonts w:ascii="Calibri" w:hAnsi="Calibri"/>
          <w:bCs/>
        </w:rPr>
      </w:pPr>
    </w:p>
    <w:p w14:paraId="13FAF463" w14:textId="393D5B59" w:rsidR="00397B0C" w:rsidRPr="009A539C" w:rsidRDefault="00397B0C" w:rsidP="00605D20">
      <w:pPr>
        <w:pStyle w:val="PargrafodaLista"/>
        <w:spacing w:before="120" w:line="360" w:lineRule="auto"/>
        <w:ind w:left="0" w:right="-1" w:firstLine="426"/>
        <w:jc w:val="both"/>
        <w:rPr>
          <w:rFonts w:ascii="Calibri" w:hAnsi="Calibri"/>
          <w:bCs/>
        </w:rPr>
      </w:pPr>
      <w:r w:rsidRPr="009A539C">
        <w:rPr>
          <w:rFonts w:ascii="Calibri" w:hAnsi="Calibri"/>
          <w:bCs/>
        </w:rPr>
        <w:tab/>
      </w:r>
      <w:bookmarkStart w:id="68" w:name="_Toc42511552"/>
      <w:bookmarkStart w:id="69" w:name="_Toc42514316"/>
      <w:r w:rsidRPr="009A539C">
        <w:rPr>
          <w:rFonts w:ascii="Calibri" w:hAnsi="Calibri"/>
          <w:bCs/>
        </w:rPr>
        <w:t>A Lei n.º 93/2019 procedeu à introdução de um novo artigo que regula a suspensão do período de sobrevigência, o artigo 501.º-A do Código do Trabalho. Nos termos deste artigo, qualquer das partes na negociação coletiva pode requerer ao presidente do Conselho Económico e Social, no período entre 90 e 60 dias antes do decurso do período de sobrevigência referido nos n.ºs 3 ou 5 do artigo 501.º, arbitragem para a suspensão do período de sobrevigência e mediação pelo árbitro presidente, tendo como finalidade a verificação da existência de probabilidade séria de as partes chegarem a acordo para a revisão parcial ou total da convenção coletiva, sendo que, em caso de resposta afirmativa, o tribunal arbitral determina a suspensão do período de sobrevigência por um prazo não superior a quatro meses, e remete a negociação para mediação, podendo fixar o seu objeto, cabendo ao mediador elaborar e remeter às partes a sua proposta de revisão parcial ou total da convenção.</w:t>
      </w:r>
      <w:bookmarkEnd w:id="68"/>
      <w:bookmarkEnd w:id="69"/>
    </w:p>
    <w:p w14:paraId="01E62A58" w14:textId="77777777" w:rsidR="00AC77D7" w:rsidRPr="009A539C" w:rsidRDefault="00AC77D7" w:rsidP="00605D20">
      <w:pPr>
        <w:pStyle w:val="PargrafodaLista"/>
        <w:spacing w:before="120" w:line="360" w:lineRule="auto"/>
        <w:ind w:left="0" w:right="-1" w:firstLine="426"/>
        <w:jc w:val="both"/>
        <w:rPr>
          <w:rFonts w:ascii="Calibri" w:hAnsi="Calibri"/>
          <w:bCs/>
        </w:rPr>
      </w:pPr>
    </w:p>
    <w:p w14:paraId="1D7E23B4" w14:textId="77777777" w:rsidR="00397B0C" w:rsidRPr="009A539C" w:rsidRDefault="00397B0C" w:rsidP="00605D20">
      <w:pPr>
        <w:pStyle w:val="PargrafodaLista"/>
        <w:spacing w:before="120" w:line="360" w:lineRule="auto"/>
        <w:ind w:left="0" w:right="-1" w:firstLine="426"/>
        <w:jc w:val="both"/>
        <w:rPr>
          <w:rFonts w:ascii="Calibri" w:hAnsi="Calibri"/>
          <w:bCs/>
        </w:rPr>
      </w:pPr>
      <w:r w:rsidRPr="009A539C">
        <w:rPr>
          <w:rFonts w:ascii="Calibri" w:hAnsi="Calibri"/>
          <w:bCs/>
        </w:rPr>
        <w:tab/>
      </w:r>
      <w:bookmarkStart w:id="70" w:name="_Toc42511553"/>
      <w:bookmarkStart w:id="71" w:name="_Toc42514317"/>
      <w:r w:rsidRPr="009A539C">
        <w:rPr>
          <w:rFonts w:ascii="Calibri" w:hAnsi="Calibri"/>
          <w:bCs/>
        </w:rPr>
        <w:t>O impacto da Lei n.º 93/2019 sobre o âmbito temporal das convenções coletivas atingiu igualmente a pós-eficácia subsequente à caducidade da convenção. Embora não tenham surgido alterações ao regime a que a pós-eficácia se encontra sujeita, verificamos o alargamento das matérias cujos efeitos permanecem em regime de eficácia após a caducidade da convenção (no pressuposto de falta de acordo pelas partes e até à entrada em vigor de outra convenção ou decisão arbitral). Em especial, com a redação conferida pela Lei n.º 93/2019 ao n.º 8 do artigo 501.º do Código do Trabalho, a pós-eficácia passou agora a abranger os regimes de parentalidade e de segurança e saúde no trabalho.</w:t>
      </w:r>
      <w:bookmarkEnd w:id="70"/>
      <w:bookmarkEnd w:id="71"/>
      <w:r w:rsidRPr="009A539C">
        <w:rPr>
          <w:rFonts w:ascii="Calibri" w:hAnsi="Calibri"/>
          <w:bCs/>
        </w:rPr>
        <w:t xml:space="preserve"> </w:t>
      </w:r>
    </w:p>
    <w:p w14:paraId="75F3309B" w14:textId="77777777" w:rsidR="00AC77D7" w:rsidRPr="009A539C" w:rsidRDefault="00AC77D7" w:rsidP="00605D20">
      <w:pPr>
        <w:pStyle w:val="PargrafodaLista"/>
        <w:spacing w:before="120" w:line="360" w:lineRule="auto"/>
        <w:ind w:left="0" w:right="-1" w:firstLine="426"/>
        <w:jc w:val="both"/>
        <w:rPr>
          <w:rFonts w:ascii="Calibri" w:hAnsi="Calibri"/>
          <w:bCs/>
        </w:rPr>
      </w:pPr>
    </w:p>
    <w:p w14:paraId="0B2C6A8A" w14:textId="77777777" w:rsidR="00397B0C" w:rsidRPr="009A539C" w:rsidRDefault="00397B0C" w:rsidP="00605D20">
      <w:pPr>
        <w:pStyle w:val="PargrafodaLista"/>
        <w:spacing w:before="120" w:line="360" w:lineRule="auto"/>
        <w:ind w:left="0" w:right="-1" w:firstLine="426"/>
        <w:jc w:val="both"/>
        <w:rPr>
          <w:rFonts w:ascii="Calibri" w:hAnsi="Calibri"/>
          <w:bCs/>
        </w:rPr>
      </w:pPr>
      <w:r w:rsidRPr="009A539C">
        <w:rPr>
          <w:rFonts w:ascii="Calibri" w:hAnsi="Calibri"/>
          <w:bCs/>
        </w:rPr>
        <w:tab/>
      </w:r>
      <w:bookmarkStart w:id="72" w:name="_Toc42511554"/>
      <w:bookmarkStart w:id="73" w:name="_Toc42514318"/>
      <w:r w:rsidRPr="009A539C">
        <w:rPr>
          <w:rFonts w:ascii="Calibri" w:hAnsi="Calibri"/>
          <w:bCs/>
        </w:rPr>
        <w:t>No que respeita às formas de cessação da convenção coletiva, o Código do Trabalho prevê agora como causa de caducidade a decorrente de extinção de associação sindical ou associação de empregadores outorgantes, esclarecendo que, na eventualidade de se verificar extinção ou perda da qualidade de associação sindical ou de associação de empregadores outorgantes, a convenção continuará alguns dos seus efeitos, em especial os relativos à pós-eficácia [novo ponto (ii) da alínea b) do n.º 1 do artigo 502.º], por remissão do n.º 6 do artigo 502.º para o n.º 8 do artigo 501.º, ambos do Código do Trabalho.</w:t>
      </w:r>
      <w:bookmarkEnd w:id="72"/>
      <w:bookmarkEnd w:id="73"/>
      <w:r w:rsidRPr="009A539C">
        <w:rPr>
          <w:rFonts w:ascii="Calibri" w:hAnsi="Calibri"/>
          <w:bCs/>
        </w:rPr>
        <w:t xml:space="preserve"> </w:t>
      </w:r>
    </w:p>
    <w:p w14:paraId="0D9CA4D2" w14:textId="77777777" w:rsidR="00AC77D7" w:rsidRPr="009A539C" w:rsidRDefault="00AC77D7" w:rsidP="00605D20">
      <w:pPr>
        <w:pStyle w:val="PargrafodaLista"/>
        <w:spacing w:before="120" w:line="360" w:lineRule="auto"/>
        <w:ind w:left="0" w:right="-1" w:firstLine="426"/>
        <w:jc w:val="both"/>
        <w:rPr>
          <w:rFonts w:ascii="Calibri" w:hAnsi="Calibri"/>
          <w:bCs/>
        </w:rPr>
      </w:pPr>
    </w:p>
    <w:p w14:paraId="41FFE1CF" w14:textId="77777777" w:rsidR="00397B0C" w:rsidRPr="009A539C" w:rsidRDefault="00397B0C" w:rsidP="00605D20">
      <w:pPr>
        <w:pStyle w:val="PargrafodaLista"/>
        <w:spacing w:before="120" w:line="360" w:lineRule="auto"/>
        <w:ind w:left="0" w:right="-1" w:firstLine="426"/>
        <w:jc w:val="both"/>
        <w:rPr>
          <w:rFonts w:ascii="Calibri" w:hAnsi="Calibri"/>
          <w:bCs/>
        </w:rPr>
      </w:pPr>
      <w:r w:rsidRPr="009A539C">
        <w:rPr>
          <w:rFonts w:ascii="Calibri" w:hAnsi="Calibri"/>
          <w:bCs/>
        </w:rPr>
        <w:t xml:space="preserve">Cumpre mencionar que, em articulação com as alterações introduzidas no artigo 502.º do Código do Trabalho, foi consequentemente modificado outro artigo do Código de Trabalho que se encontra interligado com a extinção de pessoas coletivas laborais. Por efeito da redação da Lei n.º 93/2019, o n.º 3 do artigo 456.º do Código do Trabalho passou a exigir que a comunicação da extinção judicial ou voluntária de associação sindical ou de associação de empregadores ao serviço competente do Ministério responsável pela área laboral deve ser acompanhada da identificação dos filiados na associação de empregadores em causa abrangidos por cada um dos contratos coletivos de que esta seja outorgante. </w:t>
      </w:r>
    </w:p>
    <w:p w14:paraId="1086AC73" w14:textId="77777777" w:rsidR="00397B0C" w:rsidRPr="009A539C" w:rsidRDefault="00397B0C" w:rsidP="00605D20">
      <w:pPr>
        <w:pStyle w:val="PargrafodaLista"/>
        <w:spacing w:before="120" w:line="360" w:lineRule="auto"/>
        <w:ind w:left="0" w:right="-1" w:firstLine="426"/>
        <w:jc w:val="both"/>
        <w:rPr>
          <w:rFonts w:ascii="Calibri" w:hAnsi="Calibri"/>
          <w:bCs/>
        </w:rPr>
      </w:pPr>
      <w:r w:rsidRPr="009A539C">
        <w:rPr>
          <w:rFonts w:ascii="Calibri" w:hAnsi="Calibri"/>
          <w:bCs/>
        </w:rPr>
        <w:tab/>
        <w:t xml:space="preserve">Por fim, importa referir o novo artigo 515.º-A do Código do Trabalho, aditado pela Lei n.º 93/2019, o qual estabelece que, em caso de cessação de vigência de convenção coletiva ou decisão arbitral aplicada por portaria de extensão, é aplicável o disposto no n.º 8 do artigo 501.º do Código do Trabalho, ou seja, o regime da pós-eficácia das convenções coletivas.  </w:t>
      </w:r>
    </w:p>
    <w:p w14:paraId="4D6BD618" w14:textId="77777777" w:rsidR="00AC77D7" w:rsidRPr="009A539C" w:rsidRDefault="00AC77D7" w:rsidP="00605D20">
      <w:pPr>
        <w:pStyle w:val="PargrafodaLista"/>
        <w:spacing w:before="120" w:line="360" w:lineRule="auto"/>
        <w:ind w:left="0" w:right="-1" w:firstLine="426"/>
        <w:jc w:val="both"/>
        <w:rPr>
          <w:rFonts w:ascii="Calibri" w:hAnsi="Calibri"/>
          <w:bCs/>
        </w:rPr>
      </w:pPr>
    </w:p>
    <w:p w14:paraId="199280FC" w14:textId="77777777" w:rsidR="00397B0C" w:rsidRPr="009A539C" w:rsidRDefault="00397B0C" w:rsidP="00605D20">
      <w:pPr>
        <w:pStyle w:val="PargrafodaLista"/>
        <w:spacing w:before="120" w:line="360" w:lineRule="auto"/>
        <w:ind w:left="0" w:right="-1" w:firstLine="426"/>
        <w:jc w:val="both"/>
        <w:rPr>
          <w:rFonts w:ascii="Calibri" w:hAnsi="Calibri"/>
          <w:bCs/>
        </w:rPr>
      </w:pPr>
      <w:r w:rsidRPr="009A539C">
        <w:rPr>
          <w:rFonts w:ascii="Calibri" w:hAnsi="Calibri"/>
          <w:bCs/>
        </w:rPr>
        <w:tab/>
      </w:r>
      <w:r w:rsidRPr="009A539C">
        <w:rPr>
          <w:rFonts w:ascii="Calibri" w:hAnsi="Calibri"/>
          <w:bCs/>
        </w:rPr>
        <w:tab/>
      </w:r>
      <w:bookmarkStart w:id="74" w:name="_Toc42511556"/>
      <w:bookmarkStart w:id="75" w:name="_Toc42514320"/>
      <w:r w:rsidRPr="009A539C">
        <w:rPr>
          <w:rFonts w:ascii="Calibri" w:hAnsi="Calibri"/>
          <w:bCs/>
        </w:rPr>
        <w:t>As alterações legislativas, nomeadamente aquelas que geram menor disponibilidade de conteúdo para as convenções coletivas, têm impacto sobre os instrumentos vigentes, pelo que a Lei n.º 93/2019 no seu art.11.º,n.2, estabeleceu que os outorgantes dispõem de 12 meses para alterar as disposições do instrumento de regulamentação coletiva de trabalho “contrárias a normas imperativas do Código do Trabalho, na primeira revisão que ocorra nos 12 meses posteriores à entrada em vigor da presente lei, sob pena de nulidade.” Deste modo, os instrumentos de regulamentação que disponham, por exemplo, sobre a possibilidade de adesão dos trabalhadores às convenções coletivas nos termos do artigo 497.º, contratação a termo fora dos casos mais restritivamente previstos no artigo 139.º, sobre a duração da formação em termos menos favoráveis ao do artigo 131.º e sobre os procedimentos da denúncia do artigo 500.º, devem adequar as suas disposições, sob pena de nulidade superveniente decorrente da previsão do citado artigo 11.º, n.º 2 da Lei n.º 93/2019.</w:t>
      </w:r>
      <w:bookmarkEnd w:id="74"/>
      <w:bookmarkEnd w:id="75"/>
    </w:p>
    <w:p w14:paraId="3D012D56" w14:textId="77777777" w:rsidR="00AC77D7" w:rsidRPr="009A539C" w:rsidRDefault="00AC77D7" w:rsidP="00605D20">
      <w:pPr>
        <w:pStyle w:val="PargrafodaLista"/>
        <w:spacing w:line="360" w:lineRule="auto"/>
        <w:ind w:left="0" w:firstLine="426"/>
        <w:jc w:val="both"/>
        <w:rPr>
          <w:rFonts w:ascii="Calibri" w:hAnsi="Calibri" w:cs="Calibri"/>
        </w:rPr>
      </w:pPr>
    </w:p>
    <w:p w14:paraId="246B08C8" w14:textId="1A33AF92" w:rsidR="00397B0C" w:rsidRPr="009A539C" w:rsidRDefault="00397B0C" w:rsidP="00605D20">
      <w:pPr>
        <w:pStyle w:val="PargrafodaLista"/>
        <w:spacing w:before="120" w:line="360" w:lineRule="auto"/>
        <w:ind w:left="0" w:right="-1" w:firstLine="426"/>
        <w:jc w:val="both"/>
        <w:rPr>
          <w:rFonts w:ascii="Calibri" w:hAnsi="Calibri"/>
          <w:bCs/>
        </w:rPr>
      </w:pPr>
      <w:r w:rsidRPr="009A539C">
        <w:rPr>
          <w:rFonts w:ascii="Calibri" w:hAnsi="Calibri"/>
          <w:b/>
        </w:rPr>
        <w:t xml:space="preserve">III. </w:t>
      </w:r>
      <w:r w:rsidRPr="009A539C">
        <w:rPr>
          <w:rFonts w:ascii="Calibri" w:hAnsi="Calibri"/>
          <w:bCs/>
        </w:rPr>
        <w:t xml:space="preserve">As alterações introduzidas </w:t>
      </w:r>
      <w:r w:rsidR="00AC77D7" w:rsidRPr="009A539C">
        <w:rPr>
          <w:rFonts w:ascii="Calibri" w:hAnsi="Calibri"/>
          <w:bCs/>
        </w:rPr>
        <w:t xml:space="preserve">pela </w:t>
      </w:r>
      <w:r w:rsidRPr="009A539C">
        <w:rPr>
          <w:rFonts w:ascii="Calibri" w:hAnsi="Calibri"/>
          <w:bCs/>
        </w:rPr>
        <w:t>citada Lei n.º 90/2019, de 4 de setembro,</w:t>
      </w:r>
      <w:r w:rsidRPr="009A539C" w:rsidDel="00E071B2">
        <w:rPr>
          <w:rFonts w:ascii="Calibri" w:hAnsi="Calibri"/>
          <w:bCs/>
        </w:rPr>
        <w:t xml:space="preserve"> </w:t>
      </w:r>
      <w:r w:rsidRPr="009A539C">
        <w:rPr>
          <w:rFonts w:ascii="Calibri" w:hAnsi="Calibri"/>
          <w:bCs/>
        </w:rPr>
        <w:t>concorrem para reforçar a tutela da parentalidade plasmada no Código do Trabalho. Assim, no plano dos princípios, é aditado um novo preceito (art.35ª-A, CT) que proíbe qualquer discriminação pelo exercício de direitos de maternidade e paternidade, incluindo discrimina</w:t>
      </w:r>
      <w:r w:rsidR="00AC77D7" w:rsidRPr="009A539C">
        <w:rPr>
          <w:rFonts w:ascii="Calibri" w:hAnsi="Calibri"/>
          <w:bCs/>
        </w:rPr>
        <w:t>ção de natureza remuneratória.</w:t>
      </w:r>
    </w:p>
    <w:p w14:paraId="4BE33E71" w14:textId="77777777" w:rsidR="00AC77D7" w:rsidRPr="009A539C" w:rsidRDefault="00AC77D7" w:rsidP="00605D20">
      <w:pPr>
        <w:pStyle w:val="PargrafodaLista"/>
        <w:spacing w:before="120" w:line="360" w:lineRule="auto"/>
        <w:ind w:left="0" w:right="-1" w:firstLine="426"/>
        <w:jc w:val="both"/>
        <w:rPr>
          <w:rFonts w:ascii="Calibri" w:hAnsi="Calibri"/>
          <w:bCs/>
        </w:rPr>
      </w:pPr>
    </w:p>
    <w:p w14:paraId="393CB434" w14:textId="77777777" w:rsidR="00397B0C" w:rsidRPr="009A539C" w:rsidRDefault="00397B0C" w:rsidP="00605D20">
      <w:pPr>
        <w:pStyle w:val="PargrafodaLista"/>
        <w:spacing w:before="120" w:line="360" w:lineRule="auto"/>
        <w:ind w:left="0" w:right="-1" w:firstLine="426"/>
        <w:jc w:val="both"/>
        <w:rPr>
          <w:rFonts w:ascii="Calibri" w:hAnsi="Calibri"/>
          <w:bCs/>
        </w:rPr>
      </w:pPr>
      <w:r w:rsidRPr="009A539C">
        <w:rPr>
          <w:rFonts w:ascii="Calibri" w:hAnsi="Calibri"/>
          <w:bCs/>
        </w:rPr>
        <w:t xml:space="preserve">Destacam-se, por outro lado, três alterações ao regime que intensificam, em termos práticos, essa proteção: o alargamento da licença parental inicial, em caso de internamento hospitalar da criança, imediatamente após o parto, durante o período que durar o internamento, até ao limite de 30 dias (art.40.º,n.5 a 15, CT); o alargamento da licença parental obrigatória e exclusiva do pai de 15 para 20 dias (art.43.º, CT); e a previsão de licenças para assistência a filhos com doença oncológica, ampliando o regime já existente para pais com filhos com deficiência e doença crónica (art.53ª,CT). </w:t>
      </w:r>
    </w:p>
    <w:p w14:paraId="2B49467A" w14:textId="77777777" w:rsidR="00AC77D7" w:rsidRPr="009A539C" w:rsidRDefault="00AC77D7" w:rsidP="00605D20">
      <w:pPr>
        <w:pStyle w:val="PargrafodaLista"/>
        <w:spacing w:before="120" w:line="360" w:lineRule="auto"/>
        <w:ind w:left="0" w:right="-1" w:firstLine="426"/>
        <w:jc w:val="both"/>
        <w:rPr>
          <w:rFonts w:ascii="Calibri" w:hAnsi="Calibri"/>
          <w:bCs/>
        </w:rPr>
      </w:pPr>
    </w:p>
    <w:p w14:paraId="68D9F6AB" w14:textId="77777777" w:rsidR="00397B0C" w:rsidRPr="009A539C" w:rsidRDefault="00397B0C" w:rsidP="00605D20">
      <w:pPr>
        <w:pStyle w:val="PargrafodaLista"/>
        <w:spacing w:before="120" w:line="360" w:lineRule="auto"/>
        <w:ind w:left="0" w:right="-1" w:firstLine="426"/>
        <w:jc w:val="both"/>
        <w:rPr>
          <w:rFonts w:ascii="Calibri" w:hAnsi="Calibri"/>
          <w:bCs/>
        </w:rPr>
      </w:pPr>
      <w:r w:rsidRPr="009A539C">
        <w:rPr>
          <w:rFonts w:ascii="Calibri" w:hAnsi="Calibri"/>
          <w:bCs/>
        </w:rPr>
        <w:t>No que toca à produção de efeitos, a Lei 90/2019, de 4 de setembro (art. 9.º) determina a entrada em vigor das alterações enunciadas com o Orçamento do Estado de 2020</w:t>
      </w:r>
      <w:r w:rsidRPr="009A539C">
        <w:rPr>
          <w:rFonts w:ascii="Calibri" w:hAnsi="Calibri"/>
          <w:bCs/>
        </w:rPr>
        <w:footnoteReference w:id="5"/>
      </w:r>
      <w:r w:rsidRPr="009A539C">
        <w:rPr>
          <w:rFonts w:ascii="Calibri" w:hAnsi="Calibri"/>
          <w:bCs/>
        </w:rPr>
        <w:t xml:space="preserve">. Tal significa que o ano de 2019 ainda não está sujeito às alterações mais recentes introduzidas por aquela lei. </w:t>
      </w:r>
    </w:p>
    <w:p w14:paraId="0CD8FEC7" w14:textId="77777777" w:rsidR="00397B0C" w:rsidRPr="009A539C" w:rsidRDefault="00397B0C" w:rsidP="00605D20">
      <w:pPr>
        <w:pStyle w:val="PargrafodaLista"/>
        <w:spacing w:line="360" w:lineRule="auto"/>
        <w:ind w:left="0" w:firstLine="426"/>
        <w:jc w:val="both"/>
        <w:rPr>
          <w:rFonts w:ascii="Calibri" w:hAnsi="Calibri" w:cs="Calibri"/>
        </w:rPr>
      </w:pPr>
    </w:p>
    <w:p w14:paraId="7BB2C70B" w14:textId="5A45A710" w:rsidR="00397B0C" w:rsidRPr="009A539C" w:rsidRDefault="00397B0C" w:rsidP="00605D20">
      <w:pPr>
        <w:pStyle w:val="PargrafodaLista"/>
        <w:spacing w:before="120" w:line="360" w:lineRule="auto"/>
        <w:ind w:left="0" w:right="-1" w:firstLine="426"/>
        <w:jc w:val="both"/>
        <w:rPr>
          <w:rFonts w:ascii="Calibri" w:hAnsi="Calibri"/>
          <w:bCs/>
        </w:rPr>
      </w:pPr>
      <w:bookmarkStart w:id="76" w:name="_Toc42511557"/>
      <w:bookmarkStart w:id="77" w:name="_Toc42514321"/>
      <w:r w:rsidRPr="009A539C">
        <w:rPr>
          <w:rFonts w:ascii="Calibri" w:hAnsi="Calibri"/>
          <w:b/>
        </w:rPr>
        <w:t>IV.</w:t>
      </w:r>
      <w:r w:rsidRPr="009A539C">
        <w:rPr>
          <w:rFonts w:ascii="Calibri" w:hAnsi="Calibri"/>
          <w:b/>
        </w:rPr>
        <w:tab/>
        <w:t xml:space="preserve"> </w:t>
      </w:r>
      <w:r w:rsidRPr="009A539C">
        <w:rPr>
          <w:rFonts w:ascii="Calibri" w:hAnsi="Calibri"/>
          <w:bCs/>
        </w:rPr>
        <w:t xml:space="preserve">No direito europeu, assinala-se a publicação da Diretiva (EU) 2019/1158 do Parlamento Europeu e do Conselho, 20 de junho de 2019, que assume o objetivo de conciliação entre a vida profissional e a vida familiar, de uma forma integrada. Este diploma, para além de regular dimensões da conciliação </w:t>
      </w:r>
      <w:r w:rsidR="003466A0" w:rsidRPr="009A539C">
        <w:rPr>
          <w:rFonts w:ascii="Calibri" w:hAnsi="Calibri"/>
          <w:bCs/>
        </w:rPr>
        <w:t xml:space="preserve">da vida familiar e profissional </w:t>
      </w:r>
      <w:r w:rsidRPr="009A539C">
        <w:rPr>
          <w:rFonts w:ascii="Calibri" w:hAnsi="Calibri"/>
          <w:bCs/>
        </w:rPr>
        <w:t>associados à parentalidade, tutela o trabalhador cuidador de familiares</w:t>
      </w:r>
      <w:r w:rsidRPr="009A539C">
        <w:rPr>
          <w:rFonts w:ascii="Calibri" w:hAnsi="Calibri"/>
          <w:bCs/>
          <w:vertAlign w:val="superscript"/>
        </w:rPr>
        <w:footnoteReference w:id="6"/>
      </w:r>
      <w:r w:rsidRPr="009A539C">
        <w:rPr>
          <w:rFonts w:ascii="Calibri" w:hAnsi="Calibri"/>
          <w:bCs/>
        </w:rPr>
        <w:t>, admitindo que lhe seja concedida a possibilidade de flexibilização do horário de trabalho, assim como a licença do cuidador</w:t>
      </w:r>
      <w:r w:rsidRPr="009A539C">
        <w:rPr>
          <w:rFonts w:ascii="Calibri" w:hAnsi="Calibri"/>
          <w:bCs/>
          <w:vertAlign w:val="superscript"/>
        </w:rPr>
        <w:footnoteReference w:id="7"/>
      </w:r>
      <w:r w:rsidRPr="009A539C">
        <w:rPr>
          <w:rFonts w:ascii="Calibri" w:hAnsi="Calibri"/>
          <w:bCs/>
        </w:rPr>
        <w:t>. Assinala-se, a este propósito, a importância do diálogo social europeu neste processo, cuja origem decorre do acordo quadro sobre licença parental celebrado pelos parceiros sociais europeus e que veio a ser aplicado pela Diretiva 2010/18/EU do conselho, agora revista com a mencionada diretiva (art.19.º)</w:t>
      </w:r>
      <w:r w:rsidRPr="009A539C">
        <w:rPr>
          <w:rFonts w:ascii="Calibri" w:hAnsi="Calibri"/>
          <w:bCs/>
          <w:vertAlign w:val="superscript"/>
        </w:rPr>
        <w:footnoteReference w:id="8"/>
      </w:r>
      <w:r w:rsidRPr="009A539C">
        <w:rPr>
          <w:rFonts w:ascii="Calibri" w:hAnsi="Calibri"/>
          <w:bCs/>
        </w:rPr>
        <w:t>.</w:t>
      </w:r>
    </w:p>
    <w:p w14:paraId="3521933B" w14:textId="77777777" w:rsidR="00AC77D7" w:rsidRPr="009A539C" w:rsidRDefault="00AC77D7" w:rsidP="00605D20">
      <w:pPr>
        <w:pStyle w:val="PargrafodaLista"/>
        <w:spacing w:before="120" w:line="360" w:lineRule="auto"/>
        <w:ind w:left="0" w:right="-1" w:firstLine="426"/>
        <w:jc w:val="both"/>
        <w:rPr>
          <w:rFonts w:ascii="Calibri" w:hAnsi="Calibri"/>
          <w:bCs/>
        </w:rPr>
      </w:pPr>
    </w:p>
    <w:p w14:paraId="148AFE64" w14:textId="6686A13B" w:rsidR="00397B0C" w:rsidRPr="009A539C" w:rsidRDefault="00397B0C" w:rsidP="00605D20">
      <w:pPr>
        <w:pStyle w:val="PargrafodaLista"/>
        <w:spacing w:before="120" w:line="360" w:lineRule="auto"/>
        <w:ind w:left="0" w:right="-1" w:firstLine="426"/>
        <w:jc w:val="both"/>
        <w:rPr>
          <w:rFonts w:ascii="Calibri" w:hAnsi="Calibri"/>
          <w:bCs/>
        </w:rPr>
      </w:pPr>
      <w:r w:rsidRPr="009A539C">
        <w:rPr>
          <w:rFonts w:ascii="Calibri" w:hAnsi="Calibri"/>
          <w:bCs/>
        </w:rPr>
        <w:t>Com relevância para a contratação coletiv</w:t>
      </w:r>
      <w:r w:rsidR="00AC77D7" w:rsidRPr="009A539C">
        <w:rPr>
          <w:rFonts w:ascii="Calibri" w:hAnsi="Calibri"/>
          <w:bCs/>
        </w:rPr>
        <w:t xml:space="preserve">a importa destacar, igualmente </w:t>
      </w:r>
      <w:r w:rsidRPr="009A539C">
        <w:rPr>
          <w:rFonts w:ascii="Calibri" w:hAnsi="Calibri"/>
          <w:bCs/>
        </w:rPr>
        <w:t>ao nível do Direito Europeu do Trabalho, a Diretiva (UE) 2019/1152 do Parlamento Europeu e do Conselho, de 20 de junho de 2019, relativa a condições de trabalho transparentes e previsíveis na União Europeia que, a partir de 1 de agosto de 2022, substituirá a Diretiva 91/533. A nova diretiva tem, contudo, um âmbito mais vasto, pois estabelece novos requisitos mínimos relacionados com as condições de trabalho com vista a combater as formas de emprego mais precárias. Com efeito, a Diretiva 2019/1152 para além de regular os deveres de informação do empregador aos trabalhadores sobre as condições de trabalho inclui disposições sobre o período experimental, pluriemprego (emprego paralelo) previsibilidade de trabalho, trabalho ocasional, transição para outra forma de emprego e formação obrigatória. Neste âmbito o artigo 14.º da referida Diretiva estabelece que as convenções coletivas podem dispor sobre estas matérias “no respeito pelos princípios da proteção geral dos trabalhadores”.</w:t>
      </w:r>
      <w:bookmarkEnd w:id="76"/>
      <w:bookmarkEnd w:id="77"/>
    </w:p>
    <w:p w14:paraId="393E0911" w14:textId="77777777" w:rsidR="0092033D" w:rsidRPr="009A539C" w:rsidRDefault="0092033D" w:rsidP="00605D20">
      <w:pPr>
        <w:pStyle w:val="PargrafodaLista"/>
        <w:spacing w:before="120" w:after="120" w:line="360" w:lineRule="auto"/>
        <w:ind w:left="0" w:right="-1" w:firstLine="426"/>
        <w:jc w:val="both"/>
        <w:rPr>
          <w:rFonts w:ascii="Calibri" w:hAnsi="Calibri" w:cs="Calibri"/>
        </w:rPr>
      </w:pPr>
    </w:p>
    <w:p w14:paraId="334DEC84" w14:textId="55E446A0" w:rsidR="00397B0C" w:rsidRPr="009A539C" w:rsidRDefault="0092033D" w:rsidP="00605D20">
      <w:pPr>
        <w:pStyle w:val="PargrafodaLista"/>
        <w:spacing w:before="120" w:line="360" w:lineRule="auto"/>
        <w:ind w:left="0" w:right="-1" w:firstLine="426"/>
        <w:jc w:val="both"/>
        <w:rPr>
          <w:rFonts w:ascii="Calibri" w:hAnsi="Calibri"/>
          <w:bCs/>
        </w:rPr>
      </w:pPr>
      <w:bookmarkStart w:id="78" w:name="_Toc42511558"/>
      <w:bookmarkStart w:id="79" w:name="_Toc42514322"/>
      <w:r w:rsidRPr="009A539C">
        <w:rPr>
          <w:rFonts w:ascii="Calibri" w:hAnsi="Calibri"/>
          <w:b/>
        </w:rPr>
        <w:t xml:space="preserve">V. </w:t>
      </w:r>
      <w:r w:rsidR="00397B0C" w:rsidRPr="009A539C">
        <w:rPr>
          <w:rFonts w:ascii="Calibri" w:hAnsi="Calibri"/>
          <w:bCs/>
        </w:rPr>
        <w:t>No contexto da execução de vínculos laborais de emprego público cumpre assinalar a entrada em vigor da Lei n.º 49/2019, de 18 de julho, que procede à primeira alteração à Lei n.º 14/2002, de 19 de fevereiro, a qual regula o exercício da liberdade sindical e os direitos de negociação coletiva e de participação do pessoal da Polícia de Segurança Pública com funções policiais.</w:t>
      </w:r>
      <w:bookmarkEnd w:id="78"/>
      <w:bookmarkEnd w:id="79"/>
    </w:p>
    <w:p w14:paraId="31763B12" w14:textId="77777777" w:rsidR="00AC77D7" w:rsidRPr="009A539C" w:rsidRDefault="00AC77D7" w:rsidP="00605D20">
      <w:pPr>
        <w:pStyle w:val="PargrafodaLista"/>
        <w:spacing w:before="120" w:line="360" w:lineRule="auto"/>
        <w:ind w:left="0" w:right="-1" w:firstLine="426"/>
        <w:jc w:val="both"/>
        <w:rPr>
          <w:rFonts w:ascii="Calibri" w:hAnsi="Calibri"/>
          <w:bCs/>
        </w:rPr>
      </w:pPr>
    </w:p>
    <w:p w14:paraId="4F77418B" w14:textId="77777777" w:rsidR="00397B0C" w:rsidRPr="009A539C" w:rsidRDefault="00397B0C" w:rsidP="00605D20">
      <w:pPr>
        <w:pStyle w:val="PargrafodaLista"/>
        <w:spacing w:before="120" w:line="360" w:lineRule="auto"/>
        <w:ind w:left="0" w:right="-1" w:firstLine="426"/>
        <w:jc w:val="both"/>
        <w:rPr>
          <w:rFonts w:ascii="Calibri" w:hAnsi="Calibri"/>
          <w:bCs/>
        </w:rPr>
      </w:pPr>
      <w:r w:rsidRPr="009A539C">
        <w:rPr>
          <w:rFonts w:ascii="Calibri" w:hAnsi="Calibri"/>
          <w:bCs/>
        </w:rPr>
        <w:t xml:space="preserve"> </w:t>
      </w:r>
      <w:bookmarkStart w:id="80" w:name="_Toc42511559"/>
      <w:bookmarkStart w:id="81" w:name="_Toc42514323"/>
      <w:r w:rsidRPr="009A539C">
        <w:rPr>
          <w:rFonts w:ascii="Calibri" w:hAnsi="Calibri"/>
          <w:bCs/>
        </w:rPr>
        <w:t>Referenciamos, ainda, o regime aplicável às faltas dos membros da direção da associação sindical para o exercício das suas funções sindicais, onde, com a nova redação do n.º 1 do artigo 12.º, da Lei n.º 49/2019, se passou a impor o limite de 33 faltas justificadas por ano para o exercício daquelas funções, quando antes não era indicado qualquer limite, sendo esse tempo contado como serviço efetivo, salvo quanto à remuneração.</w:t>
      </w:r>
      <w:bookmarkEnd w:id="80"/>
      <w:bookmarkEnd w:id="81"/>
    </w:p>
    <w:p w14:paraId="1FC4FE4D" w14:textId="77777777" w:rsidR="00AC77D7" w:rsidRPr="009A539C" w:rsidRDefault="00AC77D7" w:rsidP="00605D20">
      <w:pPr>
        <w:pStyle w:val="PargrafodaLista"/>
        <w:spacing w:before="120" w:line="360" w:lineRule="auto"/>
        <w:ind w:left="0" w:right="-1" w:firstLine="426"/>
        <w:jc w:val="both"/>
        <w:rPr>
          <w:rFonts w:ascii="Calibri" w:hAnsi="Calibri"/>
          <w:bCs/>
        </w:rPr>
      </w:pPr>
    </w:p>
    <w:p w14:paraId="2D1A572D" w14:textId="05FB626B" w:rsidR="00397B0C" w:rsidRPr="009A539C" w:rsidRDefault="00397B0C" w:rsidP="00605D20">
      <w:pPr>
        <w:pStyle w:val="PargrafodaLista"/>
        <w:spacing w:before="120" w:line="360" w:lineRule="auto"/>
        <w:ind w:left="0" w:right="-1" w:firstLine="426"/>
        <w:jc w:val="both"/>
        <w:rPr>
          <w:rFonts w:ascii="Calibri" w:hAnsi="Calibri"/>
          <w:bCs/>
        </w:rPr>
      </w:pPr>
      <w:r w:rsidRPr="009A539C">
        <w:rPr>
          <w:rFonts w:ascii="Calibri" w:hAnsi="Calibri"/>
          <w:bCs/>
        </w:rPr>
        <w:tab/>
        <w:t>Por sua vez, quanto ao crédito de horas, previa o n.º 2 do artigo 12.º, na sua versão original, a atribuição de um crédito de quatro dias remunerados por mês para o exercício das suas funções, a Lei n.º 49/2019, mantendo o direito dos membros da direção da respetiva associação sindical àquele crédit</w:t>
      </w:r>
      <w:r w:rsidR="00AC77D7" w:rsidRPr="009A539C">
        <w:rPr>
          <w:rFonts w:ascii="Calibri" w:hAnsi="Calibri"/>
          <w:bCs/>
        </w:rPr>
        <w:t xml:space="preserve">o, </w:t>
      </w:r>
      <w:r w:rsidRPr="009A539C">
        <w:rPr>
          <w:rFonts w:ascii="Calibri" w:hAnsi="Calibri"/>
          <w:bCs/>
        </w:rPr>
        <w:t>veio estabelecer limites ao número de membros da direção que podem dele beneficiar. Assim, este crédito passa a ser atribuído em virtude do número de associados, excluindo desse direito os membros da direção das federações, uniões ou confederações. A mesma relação - entre crédito de horas remuneradas por mês e número de ass</w:t>
      </w:r>
      <w:r w:rsidR="003466A0" w:rsidRPr="009A539C">
        <w:rPr>
          <w:rFonts w:ascii="Calibri" w:hAnsi="Calibri"/>
          <w:bCs/>
        </w:rPr>
        <w:t xml:space="preserve">ociados na associação sindical - se aplica </w:t>
      </w:r>
      <w:r w:rsidRPr="009A539C">
        <w:rPr>
          <w:rFonts w:ascii="Calibri" w:hAnsi="Calibri"/>
          <w:bCs/>
        </w:rPr>
        <w:t>aos delegados sindicais, estabelecendo, por um lado, que os delegados das associações com um número de associados inferior a 10 % do número total de polícias na efetividade de serviço na respetiva unidade orgânica não beneficiam do crédito de horas e, por outro, limitando o número de delegados sindicais que podem dele beneficiar em função do número de polícias ass</w:t>
      </w:r>
      <w:r w:rsidR="003466A0" w:rsidRPr="009A539C">
        <w:rPr>
          <w:rFonts w:ascii="Calibri" w:hAnsi="Calibri"/>
          <w:bCs/>
        </w:rPr>
        <w:t>ociados nas unidades orgânicas,</w:t>
      </w:r>
      <w:r w:rsidRPr="009A539C">
        <w:rPr>
          <w:rFonts w:ascii="Calibri" w:hAnsi="Calibri"/>
          <w:bCs/>
        </w:rPr>
        <w:t xml:space="preserve"> conforme resulta do n.º 2 do artigo 18.º e do n.º 1 do artigo 20.º, com a redação conferida pela Lei n.º 49/2019.</w:t>
      </w:r>
    </w:p>
    <w:p w14:paraId="73D8FB06" w14:textId="77777777" w:rsidR="00AC77D7" w:rsidRPr="009A539C" w:rsidRDefault="00AC77D7" w:rsidP="00605D20">
      <w:pPr>
        <w:pStyle w:val="PargrafodaLista"/>
        <w:spacing w:before="120" w:line="360" w:lineRule="auto"/>
        <w:ind w:left="0" w:right="-1" w:firstLine="426"/>
        <w:jc w:val="both"/>
        <w:rPr>
          <w:rFonts w:ascii="Calibri" w:hAnsi="Calibri"/>
          <w:bCs/>
        </w:rPr>
      </w:pPr>
    </w:p>
    <w:p w14:paraId="668F1F7A" w14:textId="77777777" w:rsidR="00397B0C" w:rsidRPr="009A539C" w:rsidRDefault="00397B0C" w:rsidP="00605D20">
      <w:pPr>
        <w:pStyle w:val="PargrafodaLista"/>
        <w:spacing w:before="120" w:line="360" w:lineRule="auto"/>
        <w:ind w:left="0" w:right="-1" w:firstLine="426"/>
        <w:jc w:val="both"/>
        <w:rPr>
          <w:rFonts w:ascii="Calibri" w:hAnsi="Calibri"/>
          <w:bCs/>
        </w:rPr>
      </w:pPr>
      <w:r w:rsidRPr="009A539C">
        <w:rPr>
          <w:rFonts w:ascii="Calibri" w:hAnsi="Calibri"/>
          <w:bCs/>
        </w:rPr>
        <w:tab/>
      </w:r>
      <w:bookmarkStart w:id="82" w:name="_Toc42511561"/>
      <w:bookmarkStart w:id="83" w:name="_Toc42514325"/>
      <w:r w:rsidRPr="009A539C">
        <w:rPr>
          <w:rFonts w:ascii="Calibri" w:hAnsi="Calibri"/>
          <w:bCs/>
        </w:rPr>
        <w:t>Assinale-se a especialidade do regime da legitimidade para a negociação coletiva por parte de associações sindicais que, conforme os respetivos estatutos, representem interesses dos polícias e se encontrem devidamente registadas. Com efeito, o atual artigo 31.º, com a redação conferida pela Lei n.º 49/2019, estabelece que (apenas) têm legitimidade para a negociação coletiva as associações com um número de associados que corresponda a, pelo menos, 5 % do número total de polícias na efetividade de serviço, as associações que, representando interesses de polícias de uma carreira, tenham um número de associados que corresponda a, pelo menos, 20 % do número total dos polícias da respetiva carreira na efetividade de serviço e as federações cujas associações sindicais respeitem individualmente a representatividade referida pelo menos numa das alíneas anteriores.</w:t>
      </w:r>
      <w:bookmarkEnd w:id="82"/>
      <w:bookmarkEnd w:id="83"/>
    </w:p>
    <w:p w14:paraId="662314A1" w14:textId="77777777" w:rsidR="00AC77D7" w:rsidRPr="009A539C" w:rsidRDefault="00AC77D7" w:rsidP="00605D20">
      <w:pPr>
        <w:pStyle w:val="PargrafodaLista"/>
        <w:spacing w:line="360" w:lineRule="auto"/>
        <w:ind w:left="0" w:firstLine="426"/>
        <w:jc w:val="both"/>
        <w:rPr>
          <w:rFonts w:ascii="Calibri" w:hAnsi="Calibri" w:cs="Calibri"/>
        </w:rPr>
      </w:pPr>
    </w:p>
    <w:p w14:paraId="1BB78C20" w14:textId="58C7798E" w:rsidR="00397B0C" w:rsidRPr="009A539C" w:rsidRDefault="0092033D" w:rsidP="00605D20">
      <w:pPr>
        <w:pStyle w:val="PargrafodaLista"/>
        <w:spacing w:before="120" w:line="360" w:lineRule="auto"/>
        <w:ind w:left="0" w:right="-1" w:firstLine="426"/>
        <w:jc w:val="both"/>
        <w:rPr>
          <w:rFonts w:ascii="Calibri" w:hAnsi="Calibri"/>
          <w:b/>
        </w:rPr>
      </w:pPr>
      <w:bookmarkStart w:id="84" w:name="_Toc42511562"/>
      <w:bookmarkStart w:id="85" w:name="_Toc42514326"/>
      <w:r w:rsidRPr="009A539C">
        <w:rPr>
          <w:rFonts w:ascii="Calibri" w:hAnsi="Calibri"/>
          <w:b/>
        </w:rPr>
        <w:t>VI.</w:t>
      </w:r>
      <w:r w:rsidRPr="009A539C">
        <w:rPr>
          <w:rFonts w:ascii="Calibri" w:hAnsi="Calibri"/>
          <w:bCs/>
        </w:rPr>
        <w:t xml:space="preserve"> </w:t>
      </w:r>
      <w:r w:rsidR="00397B0C" w:rsidRPr="009A539C">
        <w:rPr>
          <w:rFonts w:ascii="Calibri" w:hAnsi="Calibri"/>
          <w:bCs/>
        </w:rPr>
        <w:t>Em sede de jurisprudência produzida no ano de 2019 pelos tribunais superiores, com especial relevância para as matérias atinentes à negociação coletiva, destacam-se alguns arestos:</w:t>
      </w:r>
      <w:bookmarkEnd w:id="84"/>
      <w:bookmarkEnd w:id="85"/>
    </w:p>
    <w:p w14:paraId="6B876451" w14:textId="77777777" w:rsidR="00397B0C" w:rsidRPr="009A539C" w:rsidRDefault="00397B0C" w:rsidP="00605D20">
      <w:pPr>
        <w:pStyle w:val="PargrafodaLista"/>
        <w:spacing w:line="360" w:lineRule="auto"/>
        <w:ind w:left="0" w:right="-1" w:firstLine="426"/>
        <w:jc w:val="both"/>
        <w:rPr>
          <w:rFonts w:ascii="Calibri" w:hAnsi="Calibri" w:cs="Calibri"/>
        </w:rPr>
      </w:pPr>
      <w:bookmarkStart w:id="86" w:name="_Toc42511563"/>
      <w:bookmarkStart w:id="87" w:name="_Toc42514327"/>
      <w:r w:rsidRPr="009A539C">
        <w:rPr>
          <w:rFonts w:ascii="Calibri" w:hAnsi="Calibri" w:cs="Calibri"/>
        </w:rPr>
        <w:t>- Acórdão do Supremo Tribunal de Justiça, processo n.º 404/17.0T8STB.E1.S1 (Júlio Gomes), de 11 de dezembro de 2019, no qual se considerou que, não obstante a caducidade de instrumento de regulamentação coletiva de trabalho não depender da publicação do aviso previsto no artigo 502.º, nº 6, do Código do Trabalho (atual artigo 502.º, nº 8), "</w:t>
      </w:r>
      <w:r w:rsidRPr="009A539C">
        <w:rPr>
          <w:rFonts w:ascii="Calibri" w:hAnsi="Calibri" w:cs="Calibri"/>
          <w:i/>
        </w:rPr>
        <w:t>quando o aviso não tiver sido publicado, a referida caducidade só será oponível aos trabalhadores quando o empregador os informar por escrito, nos termos estabelecidos no art.º 109º, nº 1, do mesmo diploma</w:t>
      </w:r>
      <w:r w:rsidRPr="009A539C">
        <w:rPr>
          <w:rFonts w:ascii="Calibri" w:hAnsi="Calibri" w:cs="Calibri"/>
        </w:rPr>
        <w:t>". No mesmo sentido, o Acórdão do Supremo Tribunal de Justiça, processo n.º 14752/16.2T8PRT.P1.S1 (Ribeiro Cardoso) igualmente de 11 de Dezembro de 2019.</w:t>
      </w:r>
      <w:bookmarkEnd w:id="86"/>
      <w:bookmarkEnd w:id="87"/>
    </w:p>
    <w:p w14:paraId="44205636" w14:textId="77777777" w:rsidR="00397B0C" w:rsidRPr="009A539C" w:rsidRDefault="00397B0C" w:rsidP="00605D20">
      <w:pPr>
        <w:pStyle w:val="PargrafodaLista"/>
        <w:spacing w:line="360" w:lineRule="auto"/>
        <w:ind w:left="0" w:right="-1" w:firstLine="426"/>
        <w:jc w:val="both"/>
        <w:rPr>
          <w:rFonts w:ascii="Calibri" w:hAnsi="Calibri" w:cs="Calibri"/>
        </w:rPr>
      </w:pPr>
      <w:bookmarkStart w:id="88" w:name="_Toc42511564"/>
      <w:bookmarkStart w:id="89" w:name="_Toc42514328"/>
      <w:r w:rsidRPr="009A539C">
        <w:rPr>
          <w:rFonts w:ascii="Calibri" w:hAnsi="Calibri" w:cs="Calibri"/>
        </w:rPr>
        <w:t>- Acórdão do Tribunal da Relação do Porto, processo n.º 1176/18.6T8OAZ.P1 (Rui Ataíde de Araújo), de 7 de janeiro de 2019, no qual, sobre o discutido alcance do n.º 3 do artigo 503.º do Código do Trabalho, que apenas permite, em casos de sucessão de convenções, que sejam reduzidos direitos decorrentes da convenção se do texto da nova convenção constar, em termos expressos, o seu caráter globalmente mais favorável, reforçou o entendimento de que "</w:t>
      </w:r>
      <w:r w:rsidRPr="009A539C">
        <w:rPr>
          <w:rFonts w:ascii="Calibri" w:hAnsi="Calibri" w:cs="Calibri"/>
          <w:i/>
        </w:rPr>
        <w:t>incumbe às partes outorgantes da nova convenção coletiva – e não a um empregador ou trabalhador em concreto, nem ao julgador – aferir do seu carácter globalmente mais favorável</w:t>
      </w:r>
      <w:r w:rsidRPr="009A539C">
        <w:rPr>
          <w:rFonts w:ascii="Calibri" w:hAnsi="Calibri" w:cs="Calibri"/>
        </w:rPr>
        <w:t>". Na presença expressa de tal afirmação na nova convenção coletiva, apenas serão subtraídos à possibilidade de redução por nova convenção os direitos que se possam considerar "</w:t>
      </w:r>
      <w:r w:rsidRPr="009A539C">
        <w:rPr>
          <w:rFonts w:ascii="Calibri" w:hAnsi="Calibri" w:cs="Calibri"/>
          <w:i/>
        </w:rPr>
        <w:t>direitos adquiridos, isto é, consolidados já na sua esfera jurídica, independentemente da aplicação ou não da convenção anterior</w:t>
      </w:r>
      <w:r w:rsidRPr="009A539C">
        <w:rPr>
          <w:rFonts w:ascii="Calibri" w:hAnsi="Calibri" w:cs="Calibri"/>
        </w:rPr>
        <w:t>", sendo que "</w:t>
      </w:r>
      <w:r w:rsidRPr="009A539C">
        <w:rPr>
          <w:rFonts w:ascii="Calibri" w:hAnsi="Calibri" w:cs="Calibri"/>
          <w:i/>
        </w:rPr>
        <w:t>não constituem direitos adquiridos os emergentes apenas da convenção coletiva anterior, posto que a sua receção nas relações individuais de trabalho não se deu de forma autónoma, individualizada, plena ou permanente, antes ficando dependente das alterações e período de vigência da dita convenção</w:t>
      </w:r>
      <w:r w:rsidRPr="009A539C">
        <w:rPr>
          <w:rFonts w:ascii="Calibri" w:hAnsi="Calibri" w:cs="Calibri"/>
        </w:rPr>
        <w:t>".</w:t>
      </w:r>
      <w:bookmarkEnd w:id="88"/>
      <w:bookmarkEnd w:id="89"/>
      <w:r w:rsidRPr="009A539C">
        <w:rPr>
          <w:rFonts w:ascii="Calibri" w:hAnsi="Calibri" w:cs="Calibri"/>
        </w:rPr>
        <w:t xml:space="preserve"> </w:t>
      </w:r>
    </w:p>
    <w:p w14:paraId="279826EB" w14:textId="77777777" w:rsidR="00397B0C" w:rsidRPr="009A539C" w:rsidRDefault="00397B0C" w:rsidP="00605D20">
      <w:pPr>
        <w:pStyle w:val="PargrafodaLista"/>
        <w:spacing w:line="360" w:lineRule="auto"/>
        <w:ind w:left="0" w:right="-1" w:firstLine="426"/>
        <w:jc w:val="both"/>
        <w:rPr>
          <w:rFonts w:ascii="Calibri" w:hAnsi="Calibri" w:cs="Calibri"/>
        </w:rPr>
      </w:pPr>
      <w:bookmarkStart w:id="90" w:name="_Toc42511565"/>
      <w:bookmarkStart w:id="91" w:name="_Toc42514329"/>
      <w:r w:rsidRPr="009A539C">
        <w:rPr>
          <w:rFonts w:ascii="Calibri" w:hAnsi="Calibri" w:cs="Calibri"/>
        </w:rPr>
        <w:t>- Acórdão do Tribunal da Relação do Porto, processo n.º 6799/18.0T8PRT.P1 (Jerónimo Freitas), de 18 de fevereiro de 2019, tomando posição quanto à querela doutrinária ainda existente quanto a regras de interpretação das convenções coletivas, nomeadamente no que respeita ao recurso às disposições que regulam a interpretação de normas legais ou às disposições que se referem à interpretação do negócio jurídico, considerou o aresto em apreço que "</w:t>
      </w:r>
      <w:r w:rsidRPr="009A539C">
        <w:rPr>
          <w:rFonts w:ascii="Calibri" w:hAnsi="Calibri" w:cs="Calibri"/>
          <w:i/>
        </w:rPr>
        <w:t>na interpretação das cláusulas das convenções coletivas de trabalho regem as normas atinentes à interpretação da lei, nos termos preceituados no art.º 9º do Código Civil</w:t>
      </w:r>
      <w:r w:rsidRPr="009A539C">
        <w:rPr>
          <w:rFonts w:ascii="Calibri" w:hAnsi="Calibri" w:cs="Calibri"/>
        </w:rPr>
        <w:t>".</w:t>
      </w:r>
      <w:bookmarkEnd w:id="90"/>
      <w:bookmarkEnd w:id="91"/>
    </w:p>
    <w:p w14:paraId="1319BBEC" w14:textId="77777777" w:rsidR="00397B0C" w:rsidRPr="009A539C" w:rsidRDefault="00397B0C" w:rsidP="00605D20">
      <w:pPr>
        <w:pStyle w:val="PargrafodaLista"/>
        <w:spacing w:line="360" w:lineRule="auto"/>
        <w:ind w:left="0" w:right="-1" w:firstLine="426"/>
        <w:jc w:val="both"/>
        <w:rPr>
          <w:rFonts w:ascii="Calibri" w:hAnsi="Calibri" w:cs="Calibri"/>
        </w:rPr>
      </w:pPr>
      <w:bookmarkStart w:id="92" w:name="_Toc42511566"/>
      <w:bookmarkStart w:id="93" w:name="_Toc42514330"/>
      <w:r w:rsidRPr="009A539C">
        <w:rPr>
          <w:rFonts w:ascii="Calibri" w:hAnsi="Calibri" w:cs="Calibri"/>
        </w:rPr>
        <w:t>- Acórdão do Tribunal da Relação de Lisboa, processo n.º 27582/18.8T8LSB.L1-4 (Celina Nóbrega), de 11 de julho de 2019, quanto ao artigo 4.º do Código de Processo do Trabalho, que se debruça sobre a legitimidade das associações sindicais nas ações respeitantes à anulação e interpretação de cláusulas daquelas convenções, considerou que, muito embora a intenção do legislador fosse "</w:t>
      </w:r>
      <w:r w:rsidRPr="009A539C">
        <w:rPr>
          <w:rFonts w:ascii="Calibri" w:hAnsi="Calibri" w:cs="Calibri"/>
          <w:i/>
        </w:rPr>
        <w:t>limitar o direito de submeter a tribunal os pedidos de interpretação e de anulação de cláusulas de uma convenção coletiva de trabalho apenas àquelas que a outorgaram</w:t>
      </w:r>
      <w:r w:rsidRPr="009A539C">
        <w:rPr>
          <w:rFonts w:ascii="Calibri" w:hAnsi="Calibri" w:cs="Calibri"/>
        </w:rPr>
        <w:t>", visto que "</w:t>
      </w:r>
      <w:r w:rsidRPr="009A539C">
        <w:rPr>
          <w:rFonts w:ascii="Calibri" w:hAnsi="Calibri" w:cs="Calibri"/>
          <w:i/>
        </w:rPr>
        <w:t>se a associação sindical não a outorgou e, consequentemente, dela não lhe podem resultar quaisquer obrigações, então, também nunca se poderia vislumbrar qualquer interesse direto decorrente de uma relação com o objeto do processo que inexistiria de todo</w:t>
      </w:r>
      <w:r w:rsidRPr="009A539C">
        <w:rPr>
          <w:rFonts w:ascii="Calibri" w:hAnsi="Calibri" w:cs="Calibri"/>
        </w:rPr>
        <w:t>", tal não impede as associações sindicais de "</w:t>
      </w:r>
      <w:r w:rsidRPr="009A539C">
        <w:rPr>
          <w:rFonts w:ascii="Calibri" w:hAnsi="Calibri" w:cs="Calibri"/>
          <w:i/>
        </w:rPr>
        <w:t>serem partes legítimas nas ações respeitantes à anulação de cláusulas de convenções coletivas que se limitaram a rever, sem a intervenção daquelas, cláusulas de convenções coletivas de trabalho que anteriormente outorgaram</w:t>
      </w:r>
      <w:r w:rsidRPr="009A539C">
        <w:rPr>
          <w:rFonts w:ascii="Calibri" w:hAnsi="Calibri" w:cs="Calibri"/>
        </w:rPr>
        <w:t>".</w:t>
      </w:r>
      <w:bookmarkEnd w:id="92"/>
      <w:bookmarkEnd w:id="93"/>
      <w:r w:rsidRPr="009A539C">
        <w:rPr>
          <w:rFonts w:ascii="Calibri" w:hAnsi="Calibri" w:cs="Calibri"/>
        </w:rPr>
        <w:t xml:space="preserve"> </w:t>
      </w:r>
    </w:p>
    <w:p w14:paraId="5D4B0933" w14:textId="701EBEA0" w:rsidR="00397B0C" w:rsidRPr="009A539C" w:rsidRDefault="00397B0C" w:rsidP="00605D20">
      <w:pPr>
        <w:pStyle w:val="PargrafodaLista"/>
        <w:spacing w:line="360" w:lineRule="auto"/>
        <w:ind w:left="0" w:right="-1" w:firstLine="426"/>
        <w:jc w:val="both"/>
        <w:rPr>
          <w:rFonts w:ascii="Calibri" w:hAnsi="Calibri" w:cs="Calibri"/>
        </w:rPr>
      </w:pPr>
      <w:bookmarkStart w:id="94" w:name="_Toc42511567"/>
      <w:bookmarkStart w:id="95" w:name="_Toc42514331"/>
      <w:r w:rsidRPr="009A539C">
        <w:rPr>
          <w:rFonts w:ascii="Calibri" w:hAnsi="Calibri" w:cs="Calibri"/>
        </w:rPr>
        <w:t>- Acórdão do Tribunal da Relação de Lisboa, processo n.º 14532/17.8T8SNT.L1-4 (José Eduardo Sapateiro), de 13 de fevereiro de 2019, sobre a diferença entres cláusulas de remissão para o regime de convenções coletivas e o mecanismo da adesão à convenção coletiva, previsto no artigo 497.º do Código do Trabalho, estabelece que a cláusula que determina que "</w:t>
      </w:r>
      <w:r w:rsidRPr="009A539C">
        <w:rPr>
          <w:rFonts w:ascii="Calibri" w:hAnsi="Calibri" w:cs="Calibri"/>
          <w:i/>
        </w:rPr>
        <w:t>em tudo o que não for expressamente estipulado no presente contrato, aplicar-se-á o estabelecido no Código do Trabalho em conformidade com o previsto no Contrato Coletivo de Trabalho publicado (..</w:t>
      </w:r>
      <w:r w:rsidR="003466A0" w:rsidRPr="009A539C">
        <w:rPr>
          <w:rFonts w:ascii="Calibri" w:hAnsi="Calibri" w:cs="Calibri"/>
          <w:i/>
        </w:rPr>
        <w:t xml:space="preserve">.) </w:t>
      </w:r>
      <w:r w:rsidRPr="009A539C">
        <w:rPr>
          <w:rFonts w:ascii="Calibri" w:hAnsi="Calibri" w:cs="Calibri"/>
        </w:rPr>
        <w:t>" deve ser considerada como uma cláusula de receção da regulamentação coletiva aí identificada e "</w:t>
      </w:r>
      <w:r w:rsidRPr="009A539C">
        <w:rPr>
          <w:rFonts w:ascii="Calibri" w:hAnsi="Calibri" w:cs="Calibri"/>
          <w:i/>
        </w:rPr>
        <w:t>possui uma natureza relativa ou semi-dinâmica, dado a forma como a mesma individualiza o CCT em causa, ao não somente identificar o instrumento concreto que está, naquele momento, em vigor, mas também ao afirmar a aplicação do seu clausulado, independentemente das suas subsequentes alterações, sem qualquer propósito de delimitação espacial ou temporal, que não seja a da vigência da dita Convenção</w:t>
      </w:r>
      <w:r w:rsidRPr="009A539C">
        <w:rPr>
          <w:rFonts w:ascii="Calibri" w:hAnsi="Calibri" w:cs="Calibri"/>
        </w:rPr>
        <w:t>".</w:t>
      </w:r>
      <w:bookmarkEnd w:id="94"/>
      <w:bookmarkEnd w:id="95"/>
    </w:p>
    <w:p w14:paraId="22ACD9C6" w14:textId="2AC02A26" w:rsidR="00397B0C" w:rsidRPr="009A539C" w:rsidRDefault="00397B0C" w:rsidP="00605D20">
      <w:pPr>
        <w:pStyle w:val="PargrafodaLista"/>
        <w:spacing w:line="360" w:lineRule="auto"/>
        <w:ind w:left="0" w:right="-1" w:firstLine="426"/>
        <w:jc w:val="both"/>
        <w:rPr>
          <w:rFonts w:ascii="Calibri" w:hAnsi="Calibri" w:cs="Calibri"/>
          <w:bCs/>
        </w:rPr>
      </w:pPr>
      <w:bookmarkStart w:id="96" w:name="_Toc42511568"/>
      <w:bookmarkStart w:id="97" w:name="_Toc42514332"/>
      <w:r w:rsidRPr="009A539C">
        <w:rPr>
          <w:rFonts w:ascii="Calibri" w:hAnsi="Calibri" w:cs="Calibri"/>
        </w:rPr>
        <w:t>- Acórdão do Tribunal da Relação de Évora, processo n.º 1841/18.8T8EVR.E1 (Mário Branco Coelho), de 10 de outubro de 2019, analisa a questão da (</w:t>
      </w:r>
      <w:r w:rsidR="003466A0" w:rsidRPr="009A539C">
        <w:rPr>
          <w:rFonts w:ascii="Calibri" w:hAnsi="Calibri" w:cs="Calibri"/>
        </w:rPr>
        <w:t>in) validade</w:t>
      </w:r>
      <w:r w:rsidRPr="009A539C">
        <w:rPr>
          <w:rFonts w:ascii="Calibri" w:hAnsi="Calibri" w:cs="Calibri"/>
        </w:rPr>
        <w:t xml:space="preserve"> de disposições convencionais que remetam para a vontade das partes matérias cuja regulação se encontra exclusivamente atribuída a instrumento de regulamentação coletiva, não sendo admitida a intervenção por contrato individual de trabalho por força do artigo 3.º, n.º 5 do Código do Trabalho. Este acórdão versa, em especial, sobre a possibilidade de uma convenção coletiva vedar a diminuição da retribuição, salvo se com o consentimento do trabalhador. Em resposta, concluiu-se que "</w:t>
      </w:r>
      <w:r w:rsidRPr="009A539C">
        <w:rPr>
          <w:rFonts w:ascii="Calibri" w:hAnsi="Calibri" w:cs="Calibri"/>
          <w:i/>
        </w:rPr>
        <w:t>admitindo a lei que a retribuição possa sofrer uma diminuição por instrumento de regulamentação coletiva, não pode este devolver ao trabalhador o peso pela diminuição da retribuição, colocando-o na posição desvantajosa que o legislador expressamente não admitiu</w:t>
      </w:r>
      <w:r w:rsidRPr="009A539C">
        <w:rPr>
          <w:rFonts w:ascii="Calibri" w:hAnsi="Calibri" w:cs="Calibri"/>
        </w:rPr>
        <w:t>".</w:t>
      </w:r>
      <w:bookmarkEnd w:id="96"/>
      <w:bookmarkEnd w:id="97"/>
    </w:p>
    <w:p w14:paraId="6ACC7D68" w14:textId="77777777" w:rsidR="00E234B3" w:rsidRPr="009A539C" w:rsidRDefault="00E234B3" w:rsidP="00605D20">
      <w:pPr>
        <w:pStyle w:val="PargrafodaLista"/>
        <w:spacing w:line="360" w:lineRule="auto"/>
        <w:ind w:left="851" w:right="-1" w:firstLine="426"/>
        <w:outlineLvl w:val="1"/>
        <w:rPr>
          <w:rFonts w:ascii="Calibri" w:hAnsi="Calibri" w:cs="Calibri"/>
          <w:b/>
          <w:sz w:val="24"/>
          <w:szCs w:val="24"/>
        </w:rPr>
      </w:pPr>
    </w:p>
    <w:p w14:paraId="7782D147" w14:textId="77777777" w:rsidR="0087143A" w:rsidRPr="009A539C" w:rsidRDefault="0087143A">
      <w:pPr>
        <w:rPr>
          <w:rFonts w:ascii="Calibri" w:hAnsi="Calibri" w:cs="Calibri"/>
          <w:b/>
          <w:sz w:val="28"/>
          <w:szCs w:val="28"/>
        </w:rPr>
      </w:pPr>
      <w:r w:rsidRPr="009A539C">
        <w:rPr>
          <w:rFonts w:ascii="Calibri" w:hAnsi="Calibri" w:cs="Calibri"/>
          <w:b/>
          <w:sz w:val="28"/>
          <w:szCs w:val="28"/>
        </w:rPr>
        <w:br w:type="page"/>
      </w:r>
    </w:p>
    <w:p w14:paraId="2DE69E33" w14:textId="27E0D61D" w:rsidR="00352391" w:rsidRPr="009A539C" w:rsidRDefault="005E7447" w:rsidP="00B90788">
      <w:pPr>
        <w:pStyle w:val="PargrafodaLista"/>
        <w:numPr>
          <w:ilvl w:val="0"/>
          <w:numId w:val="1"/>
        </w:numPr>
        <w:spacing w:line="360" w:lineRule="auto"/>
        <w:ind w:left="709" w:right="-1"/>
        <w:outlineLvl w:val="0"/>
        <w:rPr>
          <w:rFonts w:ascii="Calibri" w:hAnsi="Calibri" w:cs="Calibri"/>
          <w:b/>
          <w:sz w:val="28"/>
          <w:szCs w:val="28"/>
        </w:rPr>
      </w:pPr>
      <w:bookmarkStart w:id="98" w:name="_Toc45535682"/>
      <w:r w:rsidRPr="009A539C">
        <w:rPr>
          <w:rFonts w:ascii="Calibri" w:hAnsi="Calibri" w:cs="Calibri"/>
          <w:b/>
          <w:sz w:val="28"/>
          <w:szCs w:val="28"/>
        </w:rPr>
        <w:t>Dados gerais sobre a negociação coletiva no ano de 2019 e sua evoluç</w:t>
      </w:r>
      <w:r w:rsidR="001E5AF9" w:rsidRPr="009A539C">
        <w:rPr>
          <w:rFonts w:ascii="Calibri" w:hAnsi="Calibri" w:cs="Calibri"/>
          <w:b/>
          <w:sz w:val="28"/>
          <w:szCs w:val="28"/>
        </w:rPr>
        <w:t>ão nos catorze anos anteriores</w:t>
      </w:r>
      <w:bookmarkEnd w:id="98"/>
    </w:p>
    <w:p w14:paraId="2ADBFD1D" w14:textId="77777777" w:rsidR="00253CEF" w:rsidRPr="009A539C" w:rsidRDefault="00253CEF" w:rsidP="00B90788">
      <w:pPr>
        <w:tabs>
          <w:tab w:val="left" w:pos="851"/>
        </w:tabs>
        <w:spacing w:before="120" w:after="0" w:line="360" w:lineRule="auto"/>
        <w:ind w:right="-1" w:firstLine="425"/>
        <w:jc w:val="both"/>
        <w:rPr>
          <w:rFonts w:ascii="Calibri" w:eastAsia="Calibri" w:hAnsi="Calibri" w:cs="Times New Roman"/>
        </w:rPr>
      </w:pPr>
      <w:r w:rsidRPr="009A539C">
        <w:rPr>
          <w:rFonts w:ascii="Calibri" w:eastAsia="Calibri" w:hAnsi="Calibri" w:cs="Times New Roman"/>
        </w:rPr>
        <w:t>Na abordagem da evolução da negociação coletiva em 2019, a partir dos parâmetros de análise adotados nos Relatórios anteriores, pretende-se verificar as mudanças e desenvolvimentos ocorridos neste ano, colocando-os no contexto da evolução registada a partir de 2005.</w:t>
      </w:r>
    </w:p>
    <w:p w14:paraId="548A1DC6" w14:textId="77777777" w:rsidR="00253CEF" w:rsidRPr="009A539C" w:rsidRDefault="00253CEF" w:rsidP="00B90788">
      <w:pPr>
        <w:keepNext/>
        <w:keepLines/>
        <w:spacing w:before="480" w:after="0"/>
        <w:ind w:left="425" w:right="-1" w:hanging="425"/>
        <w:outlineLvl w:val="1"/>
        <w:rPr>
          <w:rFonts w:cs="Courier New"/>
          <w:b/>
          <w:color w:val="00000A"/>
          <w:sz w:val="24"/>
          <w:szCs w:val="24"/>
        </w:rPr>
      </w:pPr>
      <w:bookmarkStart w:id="99" w:name="_Toc508689399"/>
      <w:bookmarkStart w:id="100" w:name="_Toc517331431"/>
      <w:bookmarkStart w:id="101" w:name="_Toc4076999"/>
      <w:bookmarkStart w:id="102" w:name="_Toc4160716"/>
      <w:bookmarkStart w:id="103" w:name="_Toc4167072"/>
      <w:bookmarkStart w:id="104" w:name="_Toc5697096"/>
      <w:bookmarkStart w:id="105" w:name="_Toc5698087"/>
      <w:bookmarkStart w:id="106" w:name="_Toc6499355"/>
      <w:bookmarkStart w:id="107" w:name="_Toc7017668"/>
      <w:bookmarkStart w:id="108" w:name="_Toc11145189"/>
      <w:bookmarkStart w:id="109" w:name="_Toc45535683"/>
      <w:r w:rsidRPr="009A539C">
        <w:rPr>
          <w:rFonts w:cs="Courier New"/>
          <w:b/>
          <w:color w:val="00000A"/>
          <w:sz w:val="24"/>
          <w:szCs w:val="24"/>
        </w:rPr>
        <w:t>3.1</w:t>
      </w:r>
      <w:r w:rsidRPr="009A539C">
        <w:rPr>
          <w:rFonts w:cs="Courier New"/>
          <w:b/>
          <w:color w:val="00000A"/>
          <w:sz w:val="24"/>
          <w:szCs w:val="24"/>
        </w:rPr>
        <w:tab/>
        <w:t>Dados gerais sobre a contratação coletiva em 2019 e a evolução desde 2005</w:t>
      </w:r>
      <w:bookmarkEnd w:id="99"/>
      <w:bookmarkEnd w:id="100"/>
      <w:bookmarkEnd w:id="101"/>
      <w:bookmarkEnd w:id="102"/>
      <w:bookmarkEnd w:id="103"/>
      <w:bookmarkEnd w:id="104"/>
      <w:bookmarkEnd w:id="105"/>
      <w:bookmarkEnd w:id="106"/>
      <w:bookmarkEnd w:id="107"/>
      <w:bookmarkEnd w:id="108"/>
      <w:bookmarkEnd w:id="109"/>
    </w:p>
    <w:p w14:paraId="51A51669" w14:textId="32485327" w:rsidR="00253CEF" w:rsidRPr="009A539C" w:rsidRDefault="00253CEF" w:rsidP="00572059">
      <w:pPr>
        <w:pStyle w:val="PargrafodaLista"/>
        <w:keepNext/>
        <w:keepLines/>
        <w:numPr>
          <w:ilvl w:val="2"/>
          <w:numId w:val="1"/>
        </w:numPr>
        <w:spacing w:before="240" w:after="0"/>
        <w:ind w:left="709" w:right="-1"/>
        <w:jc w:val="both"/>
        <w:outlineLvl w:val="2"/>
        <w:rPr>
          <w:rFonts w:cs="Times New Roman"/>
          <w:b/>
          <w:color w:val="00000A"/>
          <w:sz w:val="23"/>
          <w:szCs w:val="23"/>
        </w:rPr>
      </w:pPr>
      <w:bookmarkStart w:id="110" w:name="_Toc4077000"/>
      <w:bookmarkStart w:id="111" w:name="_Toc4160717"/>
      <w:bookmarkStart w:id="112" w:name="_Toc4167073"/>
      <w:bookmarkStart w:id="113" w:name="_Toc5697097"/>
      <w:bookmarkStart w:id="114" w:name="_Toc5698088"/>
      <w:bookmarkStart w:id="115" w:name="_Toc6499356"/>
      <w:bookmarkStart w:id="116" w:name="_Toc7017669"/>
      <w:bookmarkStart w:id="117" w:name="_Toc11145190"/>
      <w:bookmarkStart w:id="118" w:name="_Toc45535684"/>
      <w:r w:rsidRPr="009A539C">
        <w:rPr>
          <w:rFonts w:cs="Times New Roman"/>
          <w:b/>
          <w:color w:val="00000A"/>
          <w:sz w:val="23"/>
          <w:szCs w:val="23"/>
        </w:rPr>
        <w:t>Evolução da negociação coletiva e da cobertura por IRCT negociais</w:t>
      </w:r>
      <w:bookmarkEnd w:id="110"/>
      <w:bookmarkEnd w:id="111"/>
      <w:bookmarkEnd w:id="112"/>
      <w:bookmarkEnd w:id="113"/>
      <w:bookmarkEnd w:id="114"/>
      <w:bookmarkEnd w:id="115"/>
      <w:bookmarkEnd w:id="116"/>
      <w:bookmarkEnd w:id="117"/>
      <w:bookmarkEnd w:id="118"/>
    </w:p>
    <w:p w14:paraId="1BAABC76" w14:textId="77777777" w:rsidR="00572059" w:rsidRPr="009A539C" w:rsidRDefault="00572059" w:rsidP="00572059">
      <w:pPr>
        <w:pStyle w:val="PargrafodaLista"/>
        <w:keepNext/>
        <w:keepLines/>
        <w:spacing w:before="240" w:after="0"/>
        <w:ind w:left="709" w:right="-1"/>
        <w:jc w:val="both"/>
        <w:outlineLvl w:val="2"/>
        <w:rPr>
          <w:rFonts w:cs="Times New Roman"/>
          <w:b/>
          <w:color w:val="00000A"/>
          <w:sz w:val="23"/>
          <w:szCs w:val="23"/>
        </w:rPr>
      </w:pPr>
    </w:p>
    <w:p w14:paraId="4559A00C" w14:textId="31863B4C" w:rsidR="00253CEF" w:rsidRPr="009A539C" w:rsidRDefault="00253CEF" w:rsidP="00605D20">
      <w:pPr>
        <w:pStyle w:val="PargrafodaLista"/>
        <w:keepNext/>
        <w:keepLines/>
        <w:numPr>
          <w:ilvl w:val="0"/>
          <w:numId w:val="74"/>
        </w:numPr>
        <w:spacing w:before="240" w:after="0" w:line="360" w:lineRule="auto"/>
        <w:ind w:left="0" w:right="-1" w:firstLine="426"/>
        <w:jc w:val="both"/>
        <w:rPr>
          <w:rFonts w:ascii="Calibri" w:eastAsia="Calibri" w:hAnsi="Calibri" w:cs="Calibri"/>
          <w:lang w:eastAsia="pt-PT"/>
        </w:rPr>
      </w:pPr>
      <w:r w:rsidRPr="009A539C">
        <w:rPr>
          <w:rFonts w:ascii="Calibri" w:eastAsia="Calibri" w:hAnsi="Calibri" w:cs="Calibri"/>
          <w:lang w:eastAsia="pt-PT"/>
        </w:rPr>
        <w:t>Nesta análise são considerados os dados relativos aos IRCT publicados e aos IRCT em vigor em cada ano, assim como a respetiva cobertura:</w:t>
      </w:r>
    </w:p>
    <w:p w14:paraId="1A5DC766" w14:textId="77777777" w:rsidR="00253CEF" w:rsidRPr="009A539C" w:rsidRDefault="00253CEF" w:rsidP="00B90788">
      <w:pPr>
        <w:spacing w:after="0" w:line="360" w:lineRule="auto"/>
        <w:ind w:left="709" w:right="-1" w:hanging="284"/>
        <w:jc w:val="both"/>
        <w:rPr>
          <w:rFonts w:ascii="Calibri" w:eastAsia="Calibri" w:hAnsi="Calibri" w:cs="Calibri"/>
          <w:lang w:eastAsia="pt-PT"/>
        </w:rPr>
      </w:pPr>
      <w:r w:rsidRPr="009A539C">
        <w:rPr>
          <w:rFonts w:ascii="Calibri" w:eastAsia="Calibri" w:hAnsi="Calibri" w:cs="Calibri"/>
          <w:lang w:eastAsia="pt-PT"/>
        </w:rPr>
        <w:t xml:space="preserve">– </w:t>
      </w:r>
      <w:r w:rsidRPr="009A539C">
        <w:rPr>
          <w:rFonts w:ascii="Calibri" w:eastAsia="Calibri" w:hAnsi="Calibri" w:cs="Calibri"/>
          <w:lang w:eastAsia="pt-PT"/>
        </w:rPr>
        <w:tab/>
        <w:t xml:space="preserve">os dados relativos aos IRCT </w:t>
      </w:r>
      <w:r w:rsidRPr="009A539C">
        <w:rPr>
          <w:rFonts w:ascii="Calibri" w:eastAsia="Calibri" w:hAnsi="Calibri" w:cs="Calibri"/>
          <w:i/>
          <w:lang w:eastAsia="pt-PT"/>
        </w:rPr>
        <w:t>publicados</w:t>
      </w:r>
      <w:r w:rsidRPr="009A539C">
        <w:rPr>
          <w:rFonts w:ascii="Calibri" w:eastAsia="Calibri" w:hAnsi="Calibri" w:cs="Calibri"/>
          <w:lang w:eastAsia="pt-PT"/>
        </w:rPr>
        <w:t xml:space="preserve"> (representados nos Gráficos 5 a 7) têm como fonte os elementos recolhidos pela DGERT, o número de trabalhadores apoia-se na informação indicada no depósito do IRCT, nas bases de dados da DGERT ou na informação constante dos “Quadros de Pessoal”, registados no GEP</w:t>
      </w:r>
      <w:r w:rsidRPr="009A539C">
        <w:rPr>
          <w:rFonts w:ascii="Calibri" w:eastAsia="Calibri" w:hAnsi="Calibri" w:cs="Calibri"/>
          <w:vertAlign w:val="superscript"/>
          <w:lang w:eastAsia="pt-PT"/>
        </w:rPr>
        <w:footnoteReference w:id="9"/>
      </w:r>
      <w:r w:rsidRPr="009A539C">
        <w:rPr>
          <w:rFonts w:ascii="Calibri" w:eastAsia="Calibri" w:hAnsi="Calibri" w:cs="Calibri"/>
          <w:lang w:eastAsia="pt-PT"/>
        </w:rPr>
        <w:t xml:space="preserve"> </w:t>
      </w:r>
      <w:r w:rsidR="00D706A2" w:rsidRPr="009A539C">
        <w:rPr>
          <w:rFonts w:ascii="Calibri" w:eastAsia="Calibri" w:hAnsi="Calibri" w:cs="Calibri"/>
          <w:lang w:eastAsia="pt-PT"/>
        </w:rPr>
        <w:t xml:space="preserve">e prestada </w:t>
      </w:r>
      <w:r w:rsidRPr="009A539C">
        <w:rPr>
          <w:rFonts w:ascii="Calibri" w:eastAsia="Calibri" w:hAnsi="Calibri" w:cs="Calibri"/>
          <w:lang w:eastAsia="pt-PT"/>
        </w:rPr>
        <w:t xml:space="preserve">pelos próprios outorgantes; </w:t>
      </w:r>
    </w:p>
    <w:p w14:paraId="1AB76222" w14:textId="77777777" w:rsidR="00253CEF" w:rsidRPr="009A539C" w:rsidRDefault="00253CEF" w:rsidP="00B90788">
      <w:pPr>
        <w:spacing w:after="0" w:line="360" w:lineRule="auto"/>
        <w:ind w:left="709" w:right="-1" w:hanging="284"/>
        <w:jc w:val="both"/>
        <w:rPr>
          <w:rFonts w:ascii="Calibri" w:eastAsia="Calibri" w:hAnsi="Calibri" w:cs="Calibri"/>
          <w:lang w:eastAsia="pt-PT"/>
        </w:rPr>
      </w:pPr>
      <w:r w:rsidRPr="009A539C">
        <w:rPr>
          <w:rFonts w:ascii="Calibri" w:eastAsia="Calibri" w:hAnsi="Calibri" w:cs="Calibri"/>
          <w:lang w:eastAsia="pt-PT"/>
        </w:rPr>
        <w:t xml:space="preserve">– </w:t>
      </w:r>
      <w:r w:rsidRPr="009A539C">
        <w:rPr>
          <w:rFonts w:ascii="Calibri" w:eastAsia="Calibri" w:hAnsi="Calibri" w:cs="Calibri"/>
          <w:lang w:eastAsia="pt-PT"/>
        </w:rPr>
        <w:tab/>
        <w:t>os dados sobre os IRCT em vigor (Quadros 6 e 7) provêm do</w:t>
      </w:r>
      <w:r w:rsidRPr="009A539C">
        <w:rPr>
          <w:rFonts w:ascii="Calibri" w:eastAsia="Calibri" w:hAnsi="Calibri" w:cs="Times New Roman"/>
        </w:rPr>
        <w:t xml:space="preserve"> GEP  </w:t>
      </w:r>
      <w:r w:rsidRPr="009A539C">
        <w:rPr>
          <w:rFonts w:ascii="Calibri" w:eastAsia="Calibri" w:hAnsi="Calibri" w:cs="Calibri"/>
          <w:lang w:eastAsia="pt-PT"/>
        </w:rPr>
        <w:t xml:space="preserve"> e assentam nos “Quadros de Pessoal”, não abrangendo o ano de 2019</w:t>
      </w:r>
      <w:r w:rsidRPr="009A539C">
        <w:rPr>
          <w:rFonts w:ascii="Calibri" w:eastAsia="Calibri" w:hAnsi="Calibri" w:cs="Calibri"/>
          <w:vertAlign w:val="superscript"/>
          <w:lang w:eastAsia="pt-PT"/>
        </w:rPr>
        <w:footnoteReference w:id="10"/>
      </w:r>
      <w:r w:rsidRPr="009A539C">
        <w:rPr>
          <w:rFonts w:ascii="Calibri" w:eastAsia="Calibri" w:hAnsi="Calibri" w:cs="Calibri"/>
          <w:lang w:eastAsia="pt-PT"/>
        </w:rPr>
        <w:t>;</w:t>
      </w:r>
    </w:p>
    <w:p w14:paraId="083C702C" w14:textId="77777777" w:rsidR="00253CEF" w:rsidRPr="009A539C" w:rsidRDefault="00253CEF" w:rsidP="00B90788">
      <w:pPr>
        <w:spacing w:after="0" w:line="360" w:lineRule="auto"/>
        <w:ind w:left="709" w:right="-1" w:hanging="284"/>
        <w:jc w:val="both"/>
        <w:rPr>
          <w:rFonts w:ascii="Calibri" w:eastAsia="Calibri" w:hAnsi="Calibri" w:cs="Times New Roman"/>
        </w:rPr>
      </w:pPr>
      <w:r w:rsidRPr="009A539C">
        <w:rPr>
          <w:rFonts w:ascii="Calibri" w:eastAsia="Calibri" w:hAnsi="Calibri" w:cs="Calibri"/>
          <w:lang w:eastAsia="pt-PT"/>
        </w:rPr>
        <w:t xml:space="preserve">– </w:t>
      </w:r>
      <w:r w:rsidRPr="009A539C">
        <w:rPr>
          <w:rFonts w:ascii="Calibri" w:eastAsia="Calibri" w:hAnsi="Calibri" w:cs="Calibri"/>
          <w:lang w:eastAsia="pt-PT"/>
        </w:rPr>
        <w:tab/>
        <w:t xml:space="preserve"> os</w:t>
      </w:r>
      <w:r w:rsidRPr="009A539C">
        <w:rPr>
          <w:rFonts w:ascii="Calibri" w:eastAsia="Calibri" w:hAnsi="Calibri" w:cs="Times New Roman"/>
        </w:rPr>
        <w:t xml:space="preserve"> “Quadros de Pessoal” discriminam os IRCT aplicados pelos empregadores, o que  permite uma aproximação válida ao universo dos IRCT em vigor ou, pelo menos, ao universo dos IRCT que, na prática, estarão a ser aplicados;</w:t>
      </w:r>
    </w:p>
    <w:p w14:paraId="11A7F5D8" w14:textId="77777777" w:rsidR="00253CEF" w:rsidRPr="009A539C" w:rsidRDefault="00253CEF" w:rsidP="00B90788">
      <w:pPr>
        <w:spacing w:after="0" w:line="360" w:lineRule="auto"/>
        <w:ind w:left="709" w:right="-1" w:hanging="284"/>
        <w:jc w:val="both"/>
        <w:rPr>
          <w:rFonts w:ascii="Calibri" w:eastAsia="Calibri" w:hAnsi="Calibri" w:cs="Times New Roman"/>
        </w:rPr>
      </w:pPr>
      <w:r w:rsidRPr="009A539C">
        <w:rPr>
          <w:rFonts w:ascii="Calibri" w:eastAsia="Calibri" w:hAnsi="Calibri" w:cs="Times New Roman"/>
        </w:rPr>
        <w:t xml:space="preserve">– </w:t>
      </w:r>
      <w:r w:rsidRPr="009A539C">
        <w:rPr>
          <w:rFonts w:ascii="Calibri" w:eastAsia="Calibri" w:hAnsi="Calibri" w:cs="Times New Roman"/>
        </w:rPr>
        <w:tab/>
        <w:t>as indicações relativas à cobertura das convenções já contemplam as situações em que a sua aplicação decorre de portarias de extensão, de acordos de adesão, de escolha do trabalhador e de ato de gestão do empregador.</w:t>
      </w:r>
    </w:p>
    <w:p w14:paraId="5177E9D0" w14:textId="7F12D132" w:rsidR="00746C89" w:rsidRPr="009A539C" w:rsidRDefault="00253CEF" w:rsidP="002C5FD2">
      <w:pPr>
        <w:pStyle w:val="PargrafodaLista"/>
        <w:numPr>
          <w:ilvl w:val="0"/>
          <w:numId w:val="74"/>
        </w:numPr>
        <w:spacing w:before="240" w:after="0" w:line="360" w:lineRule="auto"/>
        <w:ind w:left="0" w:right="-1" w:firstLine="284"/>
        <w:jc w:val="both"/>
        <w:rPr>
          <w:rFonts w:ascii="Calibri" w:eastAsia="Calibri" w:hAnsi="Calibri" w:cs="Times New Roman"/>
        </w:rPr>
      </w:pPr>
      <w:r w:rsidRPr="009A539C">
        <w:rPr>
          <w:rFonts w:ascii="Calibri" w:eastAsia="Calibri" w:hAnsi="Calibri" w:cs="Calibri"/>
          <w:lang w:eastAsia="pt-PT"/>
        </w:rPr>
        <w:t>O gráfico seguinte apresenta uma panorâmica geral do conjunto de IRCT (</w:t>
      </w:r>
      <w:r w:rsidRPr="009A539C">
        <w:rPr>
          <w:rFonts w:ascii="Calibri" w:eastAsia="Calibri" w:hAnsi="Calibri" w:cs="Times New Roman"/>
        </w:rPr>
        <w:t>negociais e portarias de extensão</w:t>
      </w:r>
      <w:r w:rsidRPr="009A539C">
        <w:rPr>
          <w:vertAlign w:val="superscript"/>
        </w:rPr>
        <w:footnoteReference w:id="11"/>
      </w:r>
      <w:r w:rsidRPr="009A539C">
        <w:rPr>
          <w:rFonts w:ascii="Calibri" w:eastAsia="Calibri" w:hAnsi="Calibri" w:cs="Times New Roman"/>
        </w:rPr>
        <w:t>)</w:t>
      </w:r>
      <w:r w:rsidRPr="009A539C">
        <w:rPr>
          <w:rFonts w:ascii="Calibri" w:eastAsia="Calibri" w:hAnsi="Calibri" w:cs="Calibri"/>
          <w:lang w:eastAsia="pt-PT"/>
        </w:rPr>
        <w:t xml:space="preserve"> publicados em cada um dos anos do</w:t>
      </w:r>
      <w:r w:rsidRPr="009A539C">
        <w:rPr>
          <w:rFonts w:ascii="Calibri" w:eastAsia="Calibri" w:hAnsi="Calibri" w:cs="Times New Roman"/>
        </w:rPr>
        <w:t xml:space="preserve"> período em análise (2005 a 2019). Aqui continuam a ser evidentes as oscilações ocorridas ao longo da série (no total de convenções, acordos de adesão e portarias de extensão). Em todo o caso, cumpre salientar a subida paulatina do número total dos IRCT, observada a partir de 2013, e com um pico de crescimento em 2017, quer em número de convenções, quer de PE. Na perspetiva de um intervalo mais longo, o ano 2019 ultrapassou os valores de 2010, apesar de ainda distante dos melhores anos da série (2005 a 2009).</w:t>
      </w:r>
    </w:p>
    <w:p w14:paraId="0051A0D1" w14:textId="77777777" w:rsidR="00746C89" w:rsidRPr="009A539C" w:rsidRDefault="00746C89" w:rsidP="00B90788">
      <w:pPr>
        <w:spacing w:line="240" w:lineRule="auto"/>
        <w:ind w:right="-1"/>
        <w:jc w:val="center"/>
        <w:rPr>
          <w:rFonts w:ascii="Calibri" w:eastAsia="Calibri" w:hAnsi="Calibri" w:cs="Times New Roman"/>
          <w:sz w:val="23"/>
          <w:szCs w:val="23"/>
        </w:rPr>
      </w:pPr>
    </w:p>
    <w:p w14:paraId="3DCFD5D9" w14:textId="77777777" w:rsidR="00253CEF" w:rsidRPr="009A539C" w:rsidRDefault="00253CEF" w:rsidP="00B90788">
      <w:pPr>
        <w:spacing w:line="240" w:lineRule="auto"/>
        <w:ind w:right="-1"/>
        <w:jc w:val="center"/>
        <w:rPr>
          <w:rFonts w:cs="Times New Roman"/>
          <w:b/>
          <w:bCs/>
        </w:rPr>
      </w:pPr>
      <w:bookmarkStart w:id="119" w:name="_Toc44665207"/>
      <w:r w:rsidRPr="009A539C">
        <w:rPr>
          <w:rFonts w:cs="Times New Roman"/>
          <w:b/>
          <w:bCs/>
          <w:color w:val="4F81BD" w:themeColor="accent1"/>
        </w:rPr>
        <w:t xml:space="preserve">Gráfico </w:t>
      </w:r>
      <w:r w:rsidR="009972BC" w:rsidRPr="009A539C">
        <w:rPr>
          <w:rFonts w:cs="Times New Roman"/>
          <w:b/>
          <w:bCs/>
          <w:noProof/>
          <w:color w:val="4F81BD" w:themeColor="accent1"/>
        </w:rPr>
        <w:fldChar w:fldCharType="begin"/>
      </w:r>
      <w:r w:rsidRPr="009A539C">
        <w:rPr>
          <w:rFonts w:cs="Times New Roman"/>
          <w:b/>
          <w:bCs/>
          <w:noProof/>
          <w:color w:val="4F81BD" w:themeColor="accent1"/>
        </w:rPr>
        <w:instrText xml:space="preserve"> SEQ Gráfico \* ARABIC </w:instrText>
      </w:r>
      <w:r w:rsidR="009972BC" w:rsidRPr="009A539C">
        <w:rPr>
          <w:rFonts w:cs="Times New Roman"/>
          <w:b/>
          <w:bCs/>
          <w:noProof/>
          <w:color w:val="4F81BD" w:themeColor="accent1"/>
        </w:rPr>
        <w:fldChar w:fldCharType="separate"/>
      </w:r>
      <w:r w:rsidR="00D821DE">
        <w:rPr>
          <w:rFonts w:cs="Times New Roman"/>
          <w:b/>
          <w:bCs/>
          <w:noProof/>
          <w:color w:val="4F81BD" w:themeColor="accent1"/>
        </w:rPr>
        <w:t>5</w:t>
      </w:r>
      <w:r w:rsidR="009972BC" w:rsidRPr="009A539C">
        <w:rPr>
          <w:rFonts w:cs="Times New Roman"/>
          <w:b/>
          <w:bCs/>
          <w:noProof/>
          <w:color w:val="4F81BD" w:themeColor="accent1"/>
        </w:rPr>
        <w:fldChar w:fldCharType="end"/>
      </w:r>
      <w:r w:rsidRPr="009A539C">
        <w:rPr>
          <w:rFonts w:cs="Times New Roman"/>
          <w:b/>
          <w:bCs/>
          <w:color w:val="4F81BD" w:themeColor="accent1"/>
        </w:rPr>
        <w:t xml:space="preserve"> - Evolução do número de IRCT (AE, AC, CC; AA, PE) de 2005 a 2019</w:t>
      </w:r>
      <w:bookmarkEnd w:id="119"/>
    </w:p>
    <w:p w14:paraId="694BBB19" w14:textId="77777777" w:rsidR="00253CEF" w:rsidRPr="009A539C" w:rsidRDefault="00253CEF" w:rsidP="00B90788">
      <w:pPr>
        <w:spacing w:after="0" w:line="240" w:lineRule="auto"/>
        <w:ind w:right="-1"/>
        <w:rPr>
          <w:rFonts w:cs="Times New Roman"/>
          <w:color w:val="00000A"/>
        </w:rPr>
      </w:pPr>
    </w:p>
    <w:p w14:paraId="1955A30C" w14:textId="77777777" w:rsidR="00253CEF" w:rsidRPr="009A539C" w:rsidRDefault="00253CEF" w:rsidP="000C428B">
      <w:pPr>
        <w:spacing w:after="0" w:line="240" w:lineRule="auto"/>
        <w:ind w:right="-1"/>
        <w:jc w:val="center"/>
        <w:rPr>
          <w:rFonts w:cs="Times New Roman"/>
          <w:color w:val="00000A"/>
        </w:rPr>
      </w:pPr>
      <w:r w:rsidRPr="009A539C">
        <w:rPr>
          <w:rFonts w:cs="Times New Roman"/>
          <w:noProof/>
          <w:color w:val="00000A"/>
          <w:lang w:eastAsia="pt-PT"/>
        </w:rPr>
        <w:drawing>
          <wp:inline distT="0" distB="0" distL="0" distR="0" wp14:anchorId="459EFFE5" wp14:editId="7FCBD05A">
            <wp:extent cx="5819775" cy="3881221"/>
            <wp:effectExtent l="0" t="0" r="0" b="508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26947" cy="3886004"/>
                    </a:xfrm>
                    <a:prstGeom prst="rect">
                      <a:avLst/>
                    </a:prstGeom>
                    <a:noFill/>
                  </pic:spPr>
                </pic:pic>
              </a:graphicData>
            </a:graphic>
          </wp:inline>
        </w:drawing>
      </w:r>
    </w:p>
    <w:p w14:paraId="055CCB98" w14:textId="77777777" w:rsidR="00253CEF" w:rsidRPr="009A539C" w:rsidRDefault="00253CEF" w:rsidP="00B90788">
      <w:pPr>
        <w:spacing w:after="0" w:line="240" w:lineRule="auto"/>
        <w:ind w:right="-1"/>
        <w:rPr>
          <w:rFonts w:cs="Times New Roman"/>
          <w:color w:val="00000A"/>
        </w:rPr>
      </w:pPr>
    </w:p>
    <w:p w14:paraId="5C90C634" w14:textId="77777777" w:rsidR="00253CEF" w:rsidRPr="009A539C" w:rsidRDefault="00253CEF" w:rsidP="00B90788">
      <w:pPr>
        <w:spacing w:after="0" w:line="240" w:lineRule="auto"/>
        <w:ind w:right="-1"/>
        <w:rPr>
          <w:rFonts w:cs="Times New Roman"/>
          <w:color w:val="00000A"/>
        </w:rPr>
      </w:pPr>
    </w:p>
    <w:p w14:paraId="3910ADEE" w14:textId="55DAA540" w:rsidR="00253CEF" w:rsidRPr="009A539C" w:rsidRDefault="00253CEF" w:rsidP="002C5FD2">
      <w:pPr>
        <w:pStyle w:val="PargrafodaLista"/>
        <w:numPr>
          <w:ilvl w:val="0"/>
          <w:numId w:val="74"/>
        </w:numPr>
        <w:spacing w:before="120" w:after="0" w:line="360" w:lineRule="auto"/>
        <w:ind w:left="0" w:right="-1" w:firstLine="426"/>
        <w:jc w:val="both"/>
        <w:rPr>
          <w:rFonts w:eastAsia="Calibri" w:cstheme="minorHAnsi"/>
          <w:lang w:eastAsia="pt-PT"/>
        </w:rPr>
      </w:pPr>
      <w:r w:rsidRPr="009A539C">
        <w:rPr>
          <w:rFonts w:ascii="Calibri" w:eastAsia="Calibri" w:hAnsi="Calibri" w:cs="Calibri"/>
          <w:lang w:eastAsia="pt-PT"/>
        </w:rPr>
        <w:t xml:space="preserve">O gráfico 6 apresenta a repartição do número de convenções coletivas anual por tipo de convenção (Contrato coletivo, Acordo coletivo e Acordo de empresa). Também nesta perspetiva a evolução anual não tem sido constante. Com efeito, até 2011 a negociação setorial era preponderante, traduzida numa proporção elevada de contratos coletivos; entre 2012 e 2014 </w:t>
      </w:r>
      <w:r w:rsidR="00BB6B8B" w:rsidRPr="009A539C">
        <w:rPr>
          <w:rFonts w:ascii="Calibri" w:eastAsia="Calibri" w:hAnsi="Calibri" w:cs="Calibri"/>
          <w:lang w:eastAsia="pt-PT"/>
        </w:rPr>
        <w:t>cresceu</w:t>
      </w:r>
      <w:r w:rsidRPr="009A539C">
        <w:rPr>
          <w:rFonts w:ascii="Calibri" w:eastAsia="Calibri" w:hAnsi="Calibri" w:cs="Calibri"/>
          <w:lang w:eastAsia="pt-PT"/>
        </w:rPr>
        <w:t xml:space="preserve"> a negociação ao nível da empresa; já em 2015 e em</w:t>
      </w:r>
      <w:r w:rsidRPr="009A539C">
        <w:rPr>
          <w:rFonts w:ascii="Calibri" w:eastAsia="Calibri" w:hAnsi="Calibri" w:cs="Calibri"/>
          <w:sz w:val="23"/>
          <w:szCs w:val="23"/>
          <w:lang w:eastAsia="pt-PT"/>
        </w:rPr>
        <w:t xml:space="preserve"> 2016 os contratos coletivos </w:t>
      </w:r>
      <w:r w:rsidRPr="009A539C">
        <w:rPr>
          <w:rFonts w:eastAsia="Calibri" w:cstheme="minorHAnsi"/>
          <w:lang w:eastAsia="pt-PT"/>
        </w:rPr>
        <w:t>retomaram a tradicional predominância (embora ainda abaixo da soma dos AE com os AC); os anos seguintes, 2017 a 2019, foram de crescimento do número de CC, AC e AE, em termos absolutos mas, enquanto em 2017 e 2018 há uma ligeira primazia dos AE, em 2019 o número de AE iguala o de CC. Na perspetiva da cobertura, há uma natural superioridade do númer</w:t>
      </w:r>
      <w:r w:rsidR="00401635" w:rsidRPr="009A539C">
        <w:rPr>
          <w:rFonts w:eastAsia="Calibri" w:cstheme="minorHAnsi"/>
          <w:lang w:eastAsia="pt-PT"/>
        </w:rPr>
        <w:t xml:space="preserve">o de trabalhadores </w:t>
      </w:r>
      <w:r w:rsidRPr="009A539C">
        <w:rPr>
          <w:rFonts w:eastAsia="Calibri" w:cstheme="minorHAnsi"/>
          <w:lang w:eastAsia="pt-PT"/>
        </w:rPr>
        <w:t>coberto</w:t>
      </w:r>
      <w:r w:rsidR="00401635" w:rsidRPr="009A539C">
        <w:rPr>
          <w:rFonts w:eastAsia="Calibri" w:cstheme="minorHAnsi"/>
          <w:lang w:eastAsia="pt-PT"/>
        </w:rPr>
        <w:t>s</w:t>
      </w:r>
      <w:r w:rsidRPr="009A539C">
        <w:rPr>
          <w:rFonts w:eastAsia="Calibri" w:cstheme="minorHAnsi"/>
          <w:lang w:eastAsia="pt-PT"/>
        </w:rPr>
        <w:t xml:space="preserve"> pela contratação setorial (cfr. quadro 22 no ponto 4.1.). </w:t>
      </w:r>
    </w:p>
    <w:p w14:paraId="490DA25B" w14:textId="77777777" w:rsidR="00757674" w:rsidRPr="009A539C" w:rsidRDefault="00757674" w:rsidP="002C5FD2">
      <w:pPr>
        <w:tabs>
          <w:tab w:val="left" w:pos="426"/>
        </w:tabs>
        <w:spacing w:before="120" w:after="0" w:line="360" w:lineRule="auto"/>
        <w:ind w:right="-1" w:firstLine="426"/>
        <w:jc w:val="both"/>
        <w:rPr>
          <w:rFonts w:ascii="Calibri" w:eastAsia="Calibri" w:hAnsi="Calibri" w:cs="Calibri"/>
          <w:sz w:val="23"/>
          <w:szCs w:val="23"/>
          <w:lang w:eastAsia="pt-PT"/>
        </w:rPr>
      </w:pPr>
    </w:p>
    <w:p w14:paraId="619EB648" w14:textId="77777777" w:rsidR="00BB6B8B" w:rsidRPr="009A539C" w:rsidRDefault="00BB6B8B" w:rsidP="00B90788">
      <w:pPr>
        <w:tabs>
          <w:tab w:val="left" w:pos="426"/>
        </w:tabs>
        <w:spacing w:before="120" w:after="0" w:line="360" w:lineRule="auto"/>
        <w:ind w:right="-1" w:firstLine="425"/>
        <w:jc w:val="both"/>
        <w:rPr>
          <w:rFonts w:ascii="Calibri" w:eastAsia="Calibri" w:hAnsi="Calibri" w:cs="Calibri"/>
          <w:sz w:val="23"/>
          <w:szCs w:val="23"/>
          <w:lang w:eastAsia="pt-PT"/>
        </w:rPr>
      </w:pPr>
    </w:p>
    <w:p w14:paraId="33A0A5BA" w14:textId="77777777" w:rsidR="00BB6B8B" w:rsidRPr="009A539C" w:rsidRDefault="00BB6B8B" w:rsidP="0087143A">
      <w:pPr>
        <w:tabs>
          <w:tab w:val="left" w:pos="426"/>
        </w:tabs>
        <w:spacing w:before="120" w:after="0" w:line="360" w:lineRule="auto"/>
        <w:ind w:right="-1"/>
        <w:jc w:val="both"/>
        <w:rPr>
          <w:rFonts w:ascii="Calibri" w:eastAsia="Calibri" w:hAnsi="Calibri" w:cs="Calibri"/>
          <w:sz w:val="23"/>
          <w:szCs w:val="23"/>
          <w:lang w:eastAsia="pt-PT"/>
        </w:rPr>
      </w:pPr>
    </w:p>
    <w:p w14:paraId="5E88F702" w14:textId="77777777" w:rsidR="00253CEF" w:rsidRPr="009A539C" w:rsidRDefault="00253CEF" w:rsidP="00B90788">
      <w:pPr>
        <w:spacing w:line="240" w:lineRule="auto"/>
        <w:ind w:right="-1"/>
        <w:jc w:val="center"/>
        <w:rPr>
          <w:rFonts w:cs="Times New Roman"/>
          <w:b/>
          <w:bCs/>
          <w:color w:val="4F81BD" w:themeColor="accent1"/>
        </w:rPr>
      </w:pPr>
      <w:bookmarkStart w:id="120" w:name="_Toc44665208"/>
      <w:r w:rsidRPr="009A539C">
        <w:rPr>
          <w:rFonts w:cs="Times New Roman"/>
          <w:b/>
          <w:bCs/>
          <w:color w:val="4F81BD" w:themeColor="accent1"/>
        </w:rPr>
        <w:t xml:space="preserve">Gráfico </w:t>
      </w:r>
      <w:r w:rsidR="009972BC" w:rsidRPr="009A539C">
        <w:rPr>
          <w:rFonts w:cs="Times New Roman"/>
          <w:b/>
          <w:bCs/>
          <w:noProof/>
          <w:color w:val="4F81BD" w:themeColor="accent1"/>
        </w:rPr>
        <w:fldChar w:fldCharType="begin"/>
      </w:r>
      <w:r w:rsidRPr="009A539C">
        <w:rPr>
          <w:rFonts w:cs="Times New Roman"/>
          <w:b/>
          <w:bCs/>
          <w:noProof/>
          <w:color w:val="4F81BD" w:themeColor="accent1"/>
        </w:rPr>
        <w:instrText xml:space="preserve"> SEQ Gráfico \* ARABIC </w:instrText>
      </w:r>
      <w:r w:rsidR="009972BC" w:rsidRPr="009A539C">
        <w:rPr>
          <w:rFonts w:cs="Times New Roman"/>
          <w:b/>
          <w:bCs/>
          <w:noProof/>
          <w:color w:val="4F81BD" w:themeColor="accent1"/>
        </w:rPr>
        <w:fldChar w:fldCharType="separate"/>
      </w:r>
      <w:r w:rsidR="00D821DE">
        <w:rPr>
          <w:rFonts w:cs="Times New Roman"/>
          <w:b/>
          <w:bCs/>
          <w:noProof/>
          <w:color w:val="4F81BD" w:themeColor="accent1"/>
        </w:rPr>
        <w:t>6</w:t>
      </w:r>
      <w:r w:rsidR="009972BC" w:rsidRPr="009A539C">
        <w:rPr>
          <w:rFonts w:cs="Times New Roman"/>
          <w:b/>
          <w:bCs/>
          <w:noProof/>
          <w:color w:val="4F81BD" w:themeColor="accent1"/>
        </w:rPr>
        <w:fldChar w:fldCharType="end"/>
      </w:r>
      <w:r w:rsidRPr="009A539C">
        <w:rPr>
          <w:rFonts w:cs="Times New Roman"/>
          <w:b/>
          <w:bCs/>
          <w:color w:val="4F81BD" w:themeColor="accent1"/>
        </w:rPr>
        <w:t xml:space="preserve"> - Evolução do nº de convenções publicadas entre 2005 e 2019 (por tipo)</w:t>
      </w:r>
      <w:bookmarkEnd w:id="120"/>
    </w:p>
    <w:p w14:paraId="4778EADB" w14:textId="77777777" w:rsidR="00253CEF" w:rsidRPr="009A539C" w:rsidRDefault="00253CEF" w:rsidP="000C428B">
      <w:pPr>
        <w:spacing w:after="0" w:line="240" w:lineRule="auto"/>
        <w:ind w:right="-1"/>
        <w:jc w:val="center"/>
        <w:rPr>
          <w:rFonts w:cs="Times New Roman"/>
          <w:color w:val="00000A"/>
        </w:rPr>
      </w:pPr>
      <w:r w:rsidRPr="009A539C">
        <w:rPr>
          <w:rFonts w:cs="Times New Roman"/>
          <w:noProof/>
          <w:color w:val="00000A"/>
          <w:lang w:eastAsia="pt-PT"/>
        </w:rPr>
        <w:drawing>
          <wp:inline distT="0" distB="0" distL="0" distR="0" wp14:anchorId="4904F692" wp14:editId="51D53102">
            <wp:extent cx="4838968" cy="2242868"/>
            <wp:effectExtent l="0" t="0" r="0" b="508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55852" cy="2250694"/>
                    </a:xfrm>
                    <a:prstGeom prst="rect">
                      <a:avLst/>
                    </a:prstGeom>
                    <a:noFill/>
                  </pic:spPr>
                </pic:pic>
              </a:graphicData>
            </a:graphic>
          </wp:inline>
        </w:drawing>
      </w:r>
    </w:p>
    <w:p w14:paraId="04D6B951" w14:textId="77777777" w:rsidR="00253CEF" w:rsidRPr="009A539C" w:rsidRDefault="00253CEF" w:rsidP="00B90788">
      <w:pPr>
        <w:spacing w:after="0" w:line="240" w:lineRule="auto"/>
        <w:ind w:right="-1"/>
        <w:rPr>
          <w:rFonts w:cs="Times New Roman"/>
          <w:color w:val="00000A"/>
        </w:rPr>
      </w:pPr>
    </w:p>
    <w:p w14:paraId="3C8FFF2A" w14:textId="7F54D1BD" w:rsidR="00253CEF" w:rsidRPr="009A539C" w:rsidRDefault="00253CEF" w:rsidP="002C5FD2">
      <w:pPr>
        <w:pStyle w:val="PargrafodaLista"/>
        <w:numPr>
          <w:ilvl w:val="0"/>
          <w:numId w:val="74"/>
        </w:numPr>
        <w:spacing w:before="120" w:after="0" w:line="360" w:lineRule="auto"/>
        <w:ind w:left="0" w:right="-1" w:firstLine="426"/>
        <w:jc w:val="both"/>
        <w:rPr>
          <w:rFonts w:ascii="Calibri" w:eastAsia="Calibri" w:hAnsi="Calibri" w:cs="Calibri"/>
          <w:lang w:eastAsia="pt-PT"/>
        </w:rPr>
      </w:pPr>
      <w:r w:rsidRPr="009A539C">
        <w:rPr>
          <w:rFonts w:ascii="Calibri" w:eastAsia="Calibri" w:hAnsi="Calibri" w:cs="Calibri"/>
          <w:lang w:eastAsia="pt-PT"/>
        </w:rPr>
        <w:t>Relativamente ao número de trabalhadores (potencialmente) abrangidos pelas convenções coletivas, observa-se uma evolução positiva, particularmente a partir de 2015, muito embora continue abaixo dos valores registados em 2008 (e, mais genericamente, de todo o período 2005-2011). Este crescimento do número de trabalhadores abrangidos (entre 2015 e 2018, e ligeira diminuição em 2019) parece estar associado ao já assinalado aumento do número de convenções coletivas, mas com o renovado aumento dos acordos de empresa existe uma desaceleração do ritmo de crescimento do número de trabalhadores</w:t>
      </w:r>
      <w:r w:rsidRPr="009A539C">
        <w:rPr>
          <w:rFonts w:cs="Times New Roman"/>
          <w:vertAlign w:val="superscript"/>
          <w:lang w:eastAsia="pt-PT"/>
        </w:rPr>
        <w:footnoteReference w:id="12"/>
      </w:r>
      <w:r w:rsidRPr="009A539C">
        <w:rPr>
          <w:rFonts w:ascii="Calibri" w:eastAsia="Calibri" w:hAnsi="Calibri" w:cs="Calibri"/>
          <w:lang w:eastAsia="pt-PT"/>
        </w:rPr>
        <w:t>. A especialização da contratação coletiva</w:t>
      </w:r>
      <w:r w:rsidRPr="009A539C">
        <w:rPr>
          <w:rFonts w:ascii="Calibri" w:eastAsia="Calibri" w:hAnsi="Calibri" w:cs="Calibri"/>
          <w:sz w:val="23"/>
          <w:szCs w:val="23"/>
          <w:lang w:eastAsia="pt-PT"/>
        </w:rPr>
        <w:t xml:space="preserve"> </w:t>
      </w:r>
      <w:r w:rsidRPr="009A539C">
        <w:rPr>
          <w:rFonts w:ascii="Calibri" w:eastAsia="Calibri" w:hAnsi="Calibri" w:cs="Calibri"/>
          <w:lang w:eastAsia="pt-PT"/>
        </w:rPr>
        <w:t>refletida no aumento do número de acordos de empresa não se traduz num aumento dos trabalhadores abrangidos.</w:t>
      </w:r>
    </w:p>
    <w:p w14:paraId="549E22D9" w14:textId="1CC5A1B4" w:rsidR="000C428B" w:rsidRPr="009A539C" w:rsidRDefault="000C428B" w:rsidP="002C5FD2">
      <w:pPr>
        <w:tabs>
          <w:tab w:val="left" w:pos="4601"/>
        </w:tabs>
        <w:spacing w:before="240" w:after="0" w:line="360" w:lineRule="auto"/>
        <w:ind w:right="-1" w:firstLine="426"/>
        <w:jc w:val="both"/>
        <w:rPr>
          <w:rFonts w:ascii="Calibri" w:eastAsia="Calibri" w:hAnsi="Calibri" w:cs="Calibri"/>
          <w:sz w:val="23"/>
          <w:szCs w:val="23"/>
          <w:lang w:eastAsia="pt-PT"/>
        </w:rPr>
      </w:pPr>
      <w:r w:rsidRPr="009A539C">
        <w:rPr>
          <w:rFonts w:ascii="Calibri" w:eastAsia="Calibri" w:hAnsi="Calibri" w:cs="Calibri"/>
          <w:sz w:val="23"/>
          <w:szCs w:val="23"/>
          <w:lang w:eastAsia="pt-PT"/>
        </w:rPr>
        <w:tab/>
      </w:r>
    </w:p>
    <w:p w14:paraId="654E1ED5" w14:textId="77777777" w:rsidR="00253CEF" w:rsidRPr="009A539C" w:rsidRDefault="00253CEF" w:rsidP="000C428B">
      <w:pPr>
        <w:spacing w:line="240" w:lineRule="auto"/>
        <w:ind w:right="-1"/>
        <w:jc w:val="center"/>
        <w:rPr>
          <w:rFonts w:cs="Times New Roman"/>
          <w:b/>
          <w:bCs/>
          <w:color w:val="4F81BD" w:themeColor="accent1"/>
        </w:rPr>
      </w:pPr>
      <w:bookmarkStart w:id="121" w:name="_Toc44665209"/>
      <w:r w:rsidRPr="009A539C">
        <w:rPr>
          <w:rFonts w:cs="Times New Roman"/>
          <w:b/>
          <w:bCs/>
          <w:color w:val="4F81BD" w:themeColor="accent1"/>
        </w:rPr>
        <w:t xml:space="preserve">Gráfico </w:t>
      </w:r>
      <w:r w:rsidR="009972BC" w:rsidRPr="009A539C">
        <w:rPr>
          <w:rFonts w:cs="Times New Roman"/>
          <w:b/>
          <w:bCs/>
          <w:noProof/>
          <w:color w:val="4F81BD" w:themeColor="accent1"/>
        </w:rPr>
        <w:fldChar w:fldCharType="begin"/>
      </w:r>
      <w:r w:rsidRPr="009A539C">
        <w:rPr>
          <w:rFonts w:cs="Times New Roman"/>
          <w:b/>
          <w:bCs/>
          <w:noProof/>
          <w:color w:val="4F81BD" w:themeColor="accent1"/>
        </w:rPr>
        <w:instrText xml:space="preserve"> SEQ Gráfico \* ARABIC </w:instrText>
      </w:r>
      <w:r w:rsidR="009972BC" w:rsidRPr="009A539C">
        <w:rPr>
          <w:rFonts w:cs="Times New Roman"/>
          <w:b/>
          <w:bCs/>
          <w:noProof/>
          <w:color w:val="4F81BD" w:themeColor="accent1"/>
        </w:rPr>
        <w:fldChar w:fldCharType="separate"/>
      </w:r>
      <w:r w:rsidR="00D821DE">
        <w:rPr>
          <w:rFonts w:cs="Times New Roman"/>
          <w:b/>
          <w:bCs/>
          <w:noProof/>
          <w:color w:val="4F81BD" w:themeColor="accent1"/>
        </w:rPr>
        <w:t>7</w:t>
      </w:r>
      <w:r w:rsidR="009972BC" w:rsidRPr="009A539C">
        <w:rPr>
          <w:rFonts w:cs="Times New Roman"/>
          <w:b/>
          <w:bCs/>
          <w:noProof/>
          <w:color w:val="4F81BD" w:themeColor="accent1"/>
        </w:rPr>
        <w:fldChar w:fldCharType="end"/>
      </w:r>
      <w:r w:rsidRPr="009A539C">
        <w:rPr>
          <w:rFonts w:cs="Times New Roman"/>
          <w:b/>
          <w:bCs/>
          <w:color w:val="4F81BD" w:themeColor="accent1"/>
        </w:rPr>
        <w:t xml:space="preserve"> - Evolução do n.º de convenções publicadas e de trabalhadores potencialmente abrangidos, 2005 a 2019</w:t>
      </w:r>
      <w:bookmarkEnd w:id="121"/>
    </w:p>
    <w:p w14:paraId="0101ACB8" w14:textId="77777777" w:rsidR="00253CEF" w:rsidRPr="009A539C" w:rsidRDefault="00253CEF" w:rsidP="000C428B">
      <w:pPr>
        <w:spacing w:after="0" w:line="240" w:lineRule="auto"/>
        <w:ind w:right="-1"/>
        <w:jc w:val="center"/>
        <w:rPr>
          <w:rFonts w:cs="Times New Roman"/>
          <w:color w:val="00000A"/>
        </w:rPr>
      </w:pPr>
      <w:r w:rsidRPr="009A539C">
        <w:rPr>
          <w:rFonts w:cs="Times New Roman"/>
          <w:noProof/>
          <w:color w:val="00000A"/>
          <w:lang w:eastAsia="pt-PT"/>
        </w:rPr>
        <w:drawing>
          <wp:inline distT="0" distB="0" distL="0" distR="0" wp14:anchorId="24F717EA" wp14:editId="4F811A03">
            <wp:extent cx="3859468" cy="2415396"/>
            <wp:effectExtent l="0" t="0" r="8255" b="444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58825" cy="2414994"/>
                    </a:xfrm>
                    <a:prstGeom prst="rect">
                      <a:avLst/>
                    </a:prstGeom>
                    <a:noFill/>
                  </pic:spPr>
                </pic:pic>
              </a:graphicData>
            </a:graphic>
          </wp:inline>
        </w:drawing>
      </w:r>
    </w:p>
    <w:p w14:paraId="384BD26E" w14:textId="77777777" w:rsidR="00253CEF" w:rsidRPr="009A539C" w:rsidRDefault="00253CEF" w:rsidP="00B90788">
      <w:pPr>
        <w:tabs>
          <w:tab w:val="left" w:pos="851"/>
        </w:tabs>
        <w:spacing w:after="0" w:line="360" w:lineRule="auto"/>
        <w:ind w:right="-1"/>
        <w:jc w:val="both"/>
        <w:rPr>
          <w:rFonts w:ascii="Calibri" w:eastAsia="Calibri" w:hAnsi="Calibri" w:cs="Calibri"/>
          <w:b/>
          <w:color w:val="0070C0"/>
          <w:sz w:val="23"/>
          <w:szCs w:val="23"/>
          <w:lang w:eastAsia="pt-PT"/>
        </w:rPr>
      </w:pPr>
    </w:p>
    <w:p w14:paraId="4FD499A8" w14:textId="77777777" w:rsidR="00253CEF" w:rsidRPr="009A539C" w:rsidRDefault="00253CEF" w:rsidP="002C5FD2">
      <w:pPr>
        <w:numPr>
          <w:ilvl w:val="0"/>
          <w:numId w:val="74"/>
        </w:numPr>
        <w:spacing w:before="120" w:after="0" w:line="360" w:lineRule="auto"/>
        <w:ind w:left="0" w:right="-1" w:firstLine="426"/>
        <w:jc w:val="both"/>
        <w:rPr>
          <w:rFonts w:ascii="Calibri" w:eastAsia="Calibri" w:hAnsi="Calibri" w:cs="Calibri"/>
          <w:lang w:eastAsia="pt-PT"/>
        </w:rPr>
      </w:pPr>
      <w:r w:rsidRPr="009A539C">
        <w:rPr>
          <w:rFonts w:ascii="Calibri" w:eastAsia="Calibri" w:hAnsi="Calibri" w:cs="Calibri"/>
          <w:lang w:eastAsia="pt-PT"/>
        </w:rPr>
        <w:t>Dá-se nota, no gráfico seguinte (gráfico 8), da evolução da taxa de cobertura, anual, das convenções em vigor e das convenções publicadas</w:t>
      </w:r>
      <w:r w:rsidRPr="009A539C">
        <w:rPr>
          <w:rFonts w:ascii="Calibri" w:eastAsia="Calibri" w:hAnsi="Calibri" w:cs="Calibri"/>
          <w:vertAlign w:val="superscript"/>
          <w:lang w:eastAsia="pt-PT"/>
        </w:rPr>
        <w:footnoteReference w:id="13"/>
      </w:r>
      <w:r w:rsidRPr="009A539C">
        <w:rPr>
          <w:rFonts w:ascii="Calibri" w:eastAsia="Calibri" w:hAnsi="Calibri" w:cs="Calibri"/>
          <w:vertAlign w:val="superscript"/>
          <w:lang w:eastAsia="pt-PT"/>
        </w:rPr>
        <w:t>,</w:t>
      </w:r>
      <w:r w:rsidRPr="009A539C">
        <w:rPr>
          <w:rFonts w:ascii="Calibri" w:eastAsia="Calibri" w:hAnsi="Calibri" w:cs="Calibri"/>
          <w:lang w:eastAsia="pt-PT"/>
        </w:rPr>
        <w:t xml:space="preserve"> no período de 2005 a 2018. Como tem sido assinalado, em relatórios anteriores, as oscilações da taxa de cobertura dos instrumentos em vigor e dos instrumentos publicados, em cada ano, tem registado uma evolução distinta. Quanto à cobertura das convenções em vigor - que vinha a decrescer gradualmente desde 2011 – observa-se, em 2018, um ligeiro crescimento face ao ano anterior (0,6 pontos percentuais), atingindo os 78,9%. Em termos absolutos, tal corresponde a um aumento efetivo do número de trabalhadores cobertos por contratação coletiva, observada a partir de 2014 (cfr. quadro 6). Assim, o número de TCO abrangidos por convenções em vigor passa de 1.979.197 em 2014, para</w:t>
      </w:r>
      <w:r w:rsidRPr="009A539C">
        <w:rPr>
          <w:rFonts w:ascii="Calibri" w:eastAsia="Calibri" w:hAnsi="Calibri" w:cs="Calibri"/>
          <w:sz w:val="24"/>
          <w:lang w:eastAsia="pt-PT"/>
        </w:rPr>
        <w:t xml:space="preserve"> </w:t>
      </w:r>
      <w:r w:rsidRPr="009A539C">
        <w:rPr>
          <w:rFonts w:ascii="Calibri" w:eastAsia="Calibri" w:hAnsi="Calibri" w:cs="Calibri"/>
          <w:lang w:eastAsia="pt-PT"/>
        </w:rPr>
        <w:t xml:space="preserve">2.269.555 em 2018, o que corresponde a mais 290 358 trabalhadores em 2018 (e um crescimento de 15%).   </w:t>
      </w:r>
    </w:p>
    <w:p w14:paraId="2A17A337" w14:textId="6432F05E" w:rsidR="00D97C39" w:rsidRPr="009A539C" w:rsidRDefault="00253CEF" w:rsidP="002C5FD2">
      <w:pPr>
        <w:tabs>
          <w:tab w:val="left" w:pos="851"/>
        </w:tabs>
        <w:spacing w:before="240" w:after="0" w:line="360" w:lineRule="auto"/>
        <w:ind w:right="-1" w:firstLine="426"/>
        <w:jc w:val="both"/>
        <w:rPr>
          <w:rFonts w:eastAsia="Calibri" w:cstheme="minorHAnsi"/>
          <w:lang w:eastAsia="pt-PT"/>
        </w:rPr>
      </w:pPr>
      <w:r w:rsidRPr="009A539C">
        <w:rPr>
          <w:rFonts w:eastAsia="Calibri" w:cstheme="minorHAnsi"/>
          <w:lang w:eastAsia="pt-PT"/>
        </w:rPr>
        <w:t>Por sua vez, a taxa de cobertura relativamente às convenções publicadas anualmente sofreu oscilações substanciais entre 2005 e 2011, uma queda abrupta em 2012, prolongada nos dois anos seguintes, e uma subida desde 2015, chegando a 3</w:t>
      </w:r>
      <w:r w:rsidR="004E57A0" w:rsidRPr="009A539C">
        <w:rPr>
          <w:rFonts w:eastAsia="Calibri" w:cstheme="minorHAnsi"/>
          <w:lang w:eastAsia="pt-PT"/>
        </w:rPr>
        <w:t>1</w:t>
      </w:r>
      <w:r w:rsidRPr="009A539C">
        <w:rPr>
          <w:rFonts w:eastAsia="Calibri" w:cstheme="minorHAnsi"/>
          <w:lang w:eastAsia="pt-PT"/>
        </w:rPr>
        <w:t>,</w:t>
      </w:r>
      <w:r w:rsidR="004E57A0" w:rsidRPr="009A539C">
        <w:rPr>
          <w:rFonts w:eastAsia="Calibri" w:cstheme="minorHAnsi"/>
          <w:lang w:eastAsia="pt-PT"/>
        </w:rPr>
        <w:t>3</w:t>
      </w:r>
      <w:r w:rsidRPr="009A539C">
        <w:rPr>
          <w:rFonts w:eastAsia="Calibri" w:cstheme="minorHAnsi"/>
          <w:lang w:eastAsia="pt-PT"/>
        </w:rPr>
        <w:t xml:space="preserve">% em 2018. </w:t>
      </w:r>
    </w:p>
    <w:p w14:paraId="2DC71B40" w14:textId="78924FA3" w:rsidR="00253CEF" w:rsidRPr="009A539C" w:rsidRDefault="00253CEF" w:rsidP="002C5FD2">
      <w:pPr>
        <w:tabs>
          <w:tab w:val="left" w:pos="851"/>
        </w:tabs>
        <w:spacing w:before="240" w:after="0" w:line="360" w:lineRule="auto"/>
        <w:ind w:right="-1" w:firstLine="426"/>
        <w:jc w:val="both"/>
        <w:rPr>
          <w:rFonts w:eastAsia="Calibri" w:cstheme="minorHAnsi"/>
          <w:lang w:eastAsia="pt-PT"/>
        </w:rPr>
      </w:pPr>
      <w:r w:rsidRPr="009A539C">
        <w:rPr>
          <w:rFonts w:eastAsia="Calibri" w:cstheme="minorHAnsi"/>
          <w:lang w:eastAsia="pt-PT"/>
        </w:rPr>
        <w:t xml:space="preserve">Em síntese, poderá considerar-se o ano de 2018 um marco de viragem na contratação coletiva, onde se observa o crescimento do número de trabalhadores cobertos por contratação coletiva, segundo os dois prismas representados </w:t>
      </w:r>
      <w:r w:rsidR="003466A0" w:rsidRPr="009A539C">
        <w:rPr>
          <w:rFonts w:eastAsia="Calibri" w:cstheme="minorHAnsi"/>
          <w:lang w:eastAsia="pt-PT"/>
        </w:rPr>
        <w:t>no gráfico 8.</w:t>
      </w:r>
    </w:p>
    <w:p w14:paraId="01B886B4" w14:textId="77777777" w:rsidR="003466A0" w:rsidRPr="009A539C" w:rsidRDefault="003466A0" w:rsidP="00B90788">
      <w:pPr>
        <w:tabs>
          <w:tab w:val="left" w:pos="851"/>
        </w:tabs>
        <w:spacing w:before="240" w:after="0" w:line="360" w:lineRule="auto"/>
        <w:ind w:right="-1"/>
        <w:jc w:val="both"/>
        <w:rPr>
          <w:rFonts w:eastAsia="Calibri" w:cstheme="minorHAnsi"/>
          <w:lang w:eastAsia="pt-PT"/>
        </w:rPr>
      </w:pPr>
    </w:p>
    <w:p w14:paraId="4A6D32D4" w14:textId="77777777" w:rsidR="00253CEF" w:rsidRPr="009A539C" w:rsidRDefault="00253CEF" w:rsidP="00B90788">
      <w:pPr>
        <w:spacing w:line="240" w:lineRule="auto"/>
        <w:ind w:right="-1"/>
        <w:jc w:val="center"/>
        <w:rPr>
          <w:rFonts w:cs="Times New Roman"/>
          <w:b/>
          <w:bCs/>
          <w:color w:val="4F81BD" w:themeColor="accent1"/>
        </w:rPr>
      </w:pPr>
      <w:bookmarkStart w:id="122" w:name="_Toc44665210"/>
      <w:r w:rsidRPr="009A539C">
        <w:rPr>
          <w:rFonts w:cs="Times New Roman"/>
          <w:b/>
          <w:bCs/>
          <w:color w:val="4F81BD" w:themeColor="accent1"/>
        </w:rPr>
        <w:t xml:space="preserve">Gráfico </w:t>
      </w:r>
      <w:r w:rsidR="009972BC" w:rsidRPr="009A539C">
        <w:rPr>
          <w:rFonts w:cs="Times New Roman"/>
          <w:b/>
          <w:bCs/>
          <w:noProof/>
          <w:color w:val="4F81BD" w:themeColor="accent1"/>
        </w:rPr>
        <w:fldChar w:fldCharType="begin"/>
      </w:r>
      <w:r w:rsidRPr="009A539C">
        <w:rPr>
          <w:rFonts w:cs="Times New Roman"/>
          <w:b/>
          <w:bCs/>
          <w:noProof/>
          <w:color w:val="4F81BD" w:themeColor="accent1"/>
        </w:rPr>
        <w:instrText xml:space="preserve"> SEQ Gráfico \* ARABIC </w:instrText>
      </w:r>
      <w:r w:rsidR="009972BC" w:rsidRPr="009A539C">
        <w:rPr>
          <w:rFonts w:cs="Times New Roman"/>
          <w:b/>
          <w:bCs/>
          <w:noProof/>
          <w:color w:val="4F81BD" w:themeColor="accent1"/>
        </w:rPr>
        <w:fldChar w:fldCharType="separate"/>
      </w:r>
      <w:r w:rsidR="00D821DE">
        <w:rPr>
          <w:rFonts w:cs="Times New Roman"/>
          <w:b/>
          <w:bCs/>
          <w:noProof/>
          <w:color w:val="4F81BD" w:themeColor="accent1"/>
        </w:rPr>
        <w:t>8</w:t>
      </w:r>
      <w:r w:rsidR="009972BC" w:rsidRPr="009A539C">
        <w:rPr>
          <w:rFonts w:cs="Times New Roman"/>
          <w:b/>
          <w:bCs/>
          <w:noProof/>
          <w:color w:val="4F81BD" w:themeColor="accent1"/>
        </w:rPr>
        <w:fldChar w:fldCharType="end"/>
      </w:r>
      <w:r w:rsidRPr="009A539C">
        <w:rPr>
          <w:rFonts w:cs="Times New Roman"/>
          <w:b/>
          <w:bCs/>
          <w:color w:val="4F81BD" w:themeColor="accent1"/>
        </w:rPr>
        <w:t xml:space="preserve"> - Taxa de cobertura das convenções coletivas em vigor e publicadas (2005-2018)</w:t>
      </w:r>
      <w:bookmarkEnd w:id="122"/>
    </w:p>
    <w:p w14:paraId="2C339E39" w14:textId="1B85C2D5" w:rsidR="004E57A0" w:rsidRPr="009A539C" w:rsidRDefault="004E57A0" w:rsidP="00B90788">
      <w:pPr>
        <w:spacing w:line="240" w:lineRule="auto"/>
        <w:ind w:right="-1"/>
        <w:jc w:val="center"/>
        <w:rPr>
          <w:rFonts w:cs="Times New Roman"/>
          <w:b/>
          <w:bCs/>
          <w:color w:val="4F81BD" w:themeColor="accent1"/>
          <w:sz w:val="18"/>
          <w:szCs w:val="18"/>
        </w:rPr>
      </w:pPr>
      <w:r w:rsidRPr="009A539C">
        <w:rPr>
          <w:noProof/>
          <w:lang w:eastAsia="pt-PT"/>
        </w:rPr>
        <w:drawing>
          <wp:inline distT="0" distB="0" distL="0" distR="0" wp14:anchorId="169C7BF0" wp14:editId="366D235E">
            <wp:extent cx="5705475" cy="2374708"/>
            <wp:effectExtent l="0" t="0" r="0" b="6985"/>
            <wp:docPr id="1212" name="Imagem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3543" cy="2378066"/>
                    </a:xfrm>
                    <a:prstGeom prst="rect">
                      <a:avLst/>
                    </a:prstGeom>
                    <a:noFill/>
                    <a:ln>
                      <a:noFill/>
                    </a:ln>
                  </pic:spPr>
                </pic:pic>
              </a:graphicData>
            </a:graphic>
          </wp:inline>
        </w:drawing>
      </w:r>
    </w:p>
    <w:p w14:paraId="7979FA3C" w14:textId="77777777" w:rsidR="00253CEF" w:rsidRPr="009A539C" w:rsidRDefault="00253CEF" w:rsidP="00B90788">
      <w:pPr>
        <w:tabs>
          <w:tab w:val="left" w:pos="851"/>
        </w:tabs>
        <w:spacing w:after="0" w:line="360" w:lineRule="auto"/>
        <w:ind w:right="-1" w:firstLine="425"/>
        <w:jc w:val="both"/>
        <w:rPr>
          <w:rFonts w:eastAsia="Calibri" w:cstheme="minorHAnsi"/>
          <w:lang w:eastAsia="pt-PT"/>
        </w:rPr>
      </w:pPr>
      <w:r w:rsidRPr="009A539C">
        <w:rPr>
          <w:rFonts w:eastAsia="Calibri" w:cstheme="minorHAnsi"/>
          <w:lang w:eastAsia="pt-PT"/>
        </w:rPr>
        <w:t xml:space="preserve">No Quadro 6 verifica-se que o número de trabalhadores ao serviço de estabelecimentos abrangidos por IRCT se aproxima em 2018 do registado em 2009. Revela também um crescimento consistente a partir de 2014, embora abaixo do que se verificou entre 2005 e 2009.  </w:t>
      </w:r>
    </w:p>
    <w:p w14:paraId="5781CBBA" w14:textId="77777777" w:rsidR="006C495A" w:rsidRPr="009A539C" w:rsidRDefault="006C495A" w:rsidP="00B90788">
      <w:pPr>
        <w:spacing w:after="0" w:line="240" w:lineRule="auto"/>
        <w:ind w:right="-1"/>
        <w:rPr>
          <w:rFonts w:cs="Times New Roman"/>
          <w:color w:val="00000A"/>
        </w:rPr>
      </w:pPr>
    </w:p>
    <w:p w14:paraId="332A3365" w14:textId="77777777" w:rsidR="00253CEF" w:rsidRPr="00E742C1" w:rsidRDefault="00253CEF" w:rsidP="00B90788">
      <w:pPr>
        <w:spacing w:after="0" w:line="240" w:lineRule="auto"/>
        <w:ind w:right="-1"/>
        <w:jc w:val="center"/>
        <w:rPr>
          <w:rFonts w:cs="Times New Roman"/>
          <w:bCs/>
          <w:color w:val="4F81BD" w:themeColor="accent1"/>
        </w:rPr>
      </w:pPr>
      <w:bookmarkStart w:id="123" w:name="_Toc45716627"/>
      <w:r w:rsidRPr="00E742C1">
        <w:rPr>
          <w:rFonts w:cs="Times New Roman"/>
          <w:bCs/>
          <w:color w:val="4F81BD" w:themeColor="accent1"/>
        </w:rPr>
        <w:t xml:space="preserve">Quadro </w:t>
      </w:r>
      <w:r w:rsidR="009972BC" w:rsidRPr="00E742C1">
        <w:rPr>
          <w:rFonts w:cs="Times New Roman"/>
          <w:bCs/>
          <w:noProof/>
          <w:color w:val="4F81BD" w:themeColor="accent1"/>
        </w:rPr>
        <w:fldChar w:fldCharType="begin"/>
      </w:r>
      <w:r w:rsidRPr="00E742C1">
        <w:rPr>
          <w:rFonts w:cs="Times New Roman"/>
          <w:bCs/>
          <w:noProof/>
          <w:color w:val="4F81BD" w:themeColor="accent1"/>
        </w:rPr>
        <w:instrText xml:space="preserve"> SEQ Quadro \* ARABIC </w:instrText>
      </w:r>
      <w:r w:rsidR="009972BC" w:rsidRPr="00E742C1">
        <w:rPr>
          <w:rFonts w:cs="Times New Roman"/>
          <w:bCs/>
          <w:noProof/>
          <w:color w:val="4F81BD" w:themeColor="accent1"/>
        </w:rPr>
        <w:fldChar w:fldCharType="separate"/>
      </w:r>
      <w:r w:rsidR="00D821DE" w:rsidRPr="00E742C1">
        <w:rPr>
          <w:rFonts w:cs="Times New Roman"/>
          <w:bCs/>
          <w:noProof/>
          <w:color w:val="4F81BD" w:themeColor="accent1"/>
        </w:rPr>
        <w:t>6</w:t>
      </w:r>
      <w:r w:rsidR="009972BC" w:rsidRPr="00E742C1">
        <w:rPr>
          <w:rFonts w:cs="Times New Roman"/>
          <w:bCs/>
          <w:noProof/>
          <w:color w:val="4F81BD" w:themeColor="accent1"/>
        </w:rPr>
        <w:fldChar w:fldCharType="end"/>
      </w:r>
      <w:r w:rsidRPr="00E742C1">
        <w:rPr>
          <w:rFonts w:cs="Times New Roman"/>
          <w:bCs/>
          <w:color w:val="4F81BD" w:themeColor="accent1"/>
        </w:rPr>
        <w:t xml:space="preserve"> - Trabalhadores por conta de outrem ao serviço nos estabelecimentos abrangidos por IRCT (*), por tipo e ano (2005 a 2018)</w:t>
      </w:r>
      <w:bookmarkEnd w:id="123"/>
    </w:p>
    <w:p w14:paraId="750279A3" w14:textId="77777777" w:rsidR="00253CEF" w:rsidRPr="009A539C" w:rsidRDefault="00253CEF" w:rsidP="00B90788">
      <w:pPr>
        <w:spacing w:after="0" w:line="240" w:lineRule="auto"/>
        <w:ind w:right="-1"/>
        <w:rPr>
          <w:rFonts w:cs="Times New Roman"/>
          <w:color w:val="00000A"/>
        </w:rPr>
      </w:pPr>
      <w:r w:rsidRPr="009A539C">
        <w:rPr>
          <w:rFonts w:cs="Times New Roman"/>
          <w:noProof/>
          <w:color w:val="00000A"/>
          <w:lang w:eastAsia="pt-PT"/>
        </w:rPr>
        <w:drawing>
          <wp:inline distT="0" distB="0" distL="0" distR="0" wp14:anchorId="6588BF95" wp14:editId="4A2AAB58">
            <wp:extent cx="6629400" cy="2276475"/>
            <wp:effectExtent l="0" t="0" r="0"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40149" cy="2280166"/>
                    </a:xfrm>
                    <a:prstGeom prst="rect">
                      <a:avLst/>
                    </a:prstGeom>
                    <a:noFill/>
                    <a:ln>
                      <a:noFill/>
                    </a:ln>
                  </pic:spPr>
                </pic:pic>
              </a:graphicData>
            </a:graphic>
          </wp:inline>
        </w:drawing>
      </w:r>
    </w:p>
    <w:p w14:paraId="7B0166A6" w14:textId="77777777" w:rsidR="00253CEF" w:rsidRPr="009A539C" w:rsidRDefault="00253CEF" w:rsidP="00B90788">
      <w:pPr>
        <w:spacing w:after="0" w:line="240" w:lineRule="auto"/>
        <w:ind w:right="-1"/>
        <w:rPr>
          <w:rFonts w:cs="Times New Roman"/>
          <w:color w:val="00000A"/>
        </w:rPr>
      </w:pPr>
    </w:p>
    <w:p w14:paraId="7FCBDD45" w14:textId="77777777" w:rsidR="00253CEF" w:rsidRPr="009A539C" w:rsidRDefault="00253CEF" w:rsidP="00B90788">
      <w:pPr>
        <w:spacing w:after="0" w:line="240" w:lineRule="auto"/>
        <w:ind w:right="-1"/>
        <w:rPr>
          <w:rFonts w:cs="Times New Roman"/>
          <w:color w:val="00000A"/>
        </w:rPr>
      </w:pPr>
    </w:p>
    <w:p w14:paraId="4AF4A0B8" w14:textId="77777777" w:rsidR="00253CEF" w:rsidRPr="009A539C" w:rsidRDefault="00253CEF" w:rsidP="00B90788">
      <w:pPr>
        <w:tabs>
          <w:tab w:val="left" w:pos="851"/>
        </w:tabs>
        <w:spacing w:after="0" w:line="360" w:lineRule="auto"/>
        <w:ind w:right="-1" w:firstLine="425"/>
        <w:jc w:val="both"/>
        <w:rPr>
          <w:rFonts w:ascii="Calibri" w:eastAsia="Calibri" w:hAnsi="Calibri" w:cs="Times New Roman"/>
          <w:sz w:val="23"/>
          <w:szCs w:val="23"/>
        </w:rPr>
      </w:pPr>
      <w:r w:rsidRPr="009A539C">
        <w:rPr>
          <w:rFonts w:eastAsia="Calibri" w:cstheme="minorHAnsi"/>
          <w:lang w:eastAsia="pt-PT"/>
        </w:rPr>
        <w:t>Para uma visão de conjunto, é também relevante mostrar</w:t>
      </w:r>
      <w:r w:rsidRPr="009A539C">
        <w:rPr>
          <w:rFonts w:eastAsia="Calibri" w:cstheme="minorHAnsi"/>
        </w:rPr>
        <w:t xml:space="preserve"> (Quadro 7) a evolução do total de IRCT referenciados no Relatório Único, onde se verifica uma ligeira subida em 2018, face a 2017</w:t>
      </w:r>
      <w:r w:rsidRPr="009A539C">
        <w:rPr>
          <w:rFonts w:ascii="Calibri" w:eastAsia="Calibri" w:hAnsi="Calibri" w:cs="Times New Roman"/>
          <w:sz w:val="23"/>
          <w:szCs w:val="23"/>
        </w:rPr>
        <w:t xml:space="preserve">. </w:t>
      </w:r>
    </w:p>
    <w:p w14:paraId="4694DA40" w14:textId="77777777" w:rsidR="00572059" w:rsidRPr="009A539C" w:rsidRDefault="00572059" w:rsidP="00B90788">
      <w:pPr>
        <w:spacing w:after="0" w:line="240" w:lineRule="auto"/>
        <w:ind w:right="-1"/>
        <w:jc w:val="center"/>
        <w:rPr>
          <w:rFonts w:cs="Times New Roman"/>
          <w:b/>
          <w:bCs/>
          <w:color w:val="4F81BD" w:themeColor="accent1"/>
          <w:sz w:val="18"/>
          <w:szCs w:val="18"/>
        </w:rPr>
      </w:pPr>
      <w:bookmarkStart w:id="124" w:name="_Toc487122736"/>
      <w:bookmarkStart w:id="125" w:name="_Toc517332042"/>
    </w:p>
    <w:p w14:paraId="57859454" w14:textId="77777777" w:rsidR="00572059" w:rsidRPr="009A539C" w:rsidRDefault="00572059" w:rsidP="00B90788">
      <w:pPr>
        <w:spacing w:after="0" w:line="240" w:lineRule="auto"/>
        <w:ind w:right="-1"/>
        <w:jc w:val="center"/>
        <w:rPr>
          <w:rFonts w:cs="Times New Roman"/>
          <w:b/>
          <w:bCs/>
          <w:color w:val="4F81BD" w:themeColor="accent1"/>
          <w:sz w:val="18"/>
          <w:szCs w:val="18"/>
        </w:rPr>
      </w:pPr>
    </w:p>
    <w:p w14:paraId="4119900E" w14:textId="62613756" w:rsidR="00253CEF" w:rsidRPr="00E742C1" w:rsidRDefault="00253CEF" w:rsidP="00B90788">
      <w:pPr>
        <w:spacing w:after="0" w:line="240" w:lineRule="auto"/>
        <w:ind w:right="-1"/>
        <w:jc w:val="center"/>
        <w:rPr>
          <w:rFonts w:cs="Times New Roman"/>
          <w:bCs/>
          <w:color w:val="4F81BD" w:themeColor="accent1"/>
        </w:rPr>
      </w:pPr>
      <w:bookmarkStart w:id="126" w:name="_Toc45716628"/>
      <w:r w:rsidRPr="00E742C1">
        <w:rPr>
          <w:rFonts w:cs="Times New Roman"/>
          <w:bCs/>
          <w:color w:val="4F81BD" w:themeColor="accent1"/>
        </w:rPr>
        <w:t xml:space="preserve">Quadro </w:t>
      </w:r>
      <w:r w:rsidR="009972BC" w:rsidRPr="00E742C1">
        <w:rPr>
          <w:rFonts w:cs="Times New Roman"/>
          <w:bCs/>
          <w:color w:val="4F81BD" w:themeColor="accent1"/>
        </w:rPr>
        <w:fldChar w:fldCharType="begin"/>
      </w:r>
      <w:r w:rsidRPr="00E742C1">
        <w:rPr>
          <w:rFonts w:cs="Times New Roman"/>
          <w:bCs/>
          <w:color w:val="4F81BD" w:themeColor="accent1"/>
        </w:rPr>
        <w:instrText xml:space="preserve"> SEQ Quadro \* ARABIC </w:instrText>
      </w:r>
      <w:r w:rsidR="009972BC" w:rsidRPr="00E742C1">
        <w:rPr>
          <w:rFonts w:cs="Times New Roman"/>
          <w:bCs/>
          <w:color w:val="4F81BD" w:themeColor="accent1"/>
        </w:rPr>
        <w:fldChar w:fldCharType="separate"/>
      </w:r>
      <w:r w:rsidR="00D821DE" w:rsidRPr="00E742C1">
        <w:rPr>
          <w:rFonts w:cs="Times New Roman"/>
          <w:bCs/>
          <w:noProof/>
          <w:color w:val="4F81BD" w:themeColor="accent1"/>
        </w:rPr>
        <w:t>7</w:t>
      </w:r>
      <w:r w:rsidR="009972BC" w:rsidRPr="00E742C1">
        <w:rPr>
          <w:rFonts w:cs="Times New Roman"/>
          <w:bCs/>
          <w:color w:val="4F81BD" w:themeColor="accent1"/>
        </w:rPr>
        <w:fldChar w:fldCharType="end"/>
      </w:r>
      <w:r w:rsidRPr="00E742C1">
        <w:rPr>
          <w:rFonts w:cs="Times New Roman"/>
          <w:bCs/>
          <w:color w:val="4F81BD" w:themeColor="accent1"/>
        </w:rPr>
        <w:t xml:space="preserve"> - Total de IRCT re</w:t>
      </w:r>
      <w:r w:rsidR="00612C75" w:rsidRPr="00E742C1">
        <w:rPr>
          <w:rFonts w:cs="Times New Roman"/>
          <w:bCs/>
          <w:color w:val="4F81BD" w:themeColor="accent1"/>
        </w:rPr>
        <w:t>ferenciados no Relatório Único (</w:t>
      </w:r>
      <w:r w:rsidRPr="00E742C1">
        <w:rPr>
          <w:rFonts w:cs="Times New Roman"/>
          <w:bCs/>
          <w:color w:val="4F81BD" w:themeColor="accent1"/>
        </w:rPr>
        <w:t>por ano</w:t>
      </w:r>
      <w:r w:rsidR="00612C75" w:rsidRPr="00E742C1">
        <w:rPr>
          <w:rFonts w:cs="Times New Roman"/>
          <w:bCs/>
          <w:color w:val="4F81BD" w:themeColor="accent1"/>
        </w:rPr>
        <w:t>)</w:t>
      </w:r>
      <w:r w:rsidRPr="00E742C1">
        <w:rPr>
          <w:rFonts w:cs="Times New Roman"/>
          <w:bCs/>
          <w:color w:val="4F81BD" w:themeColor="accent1"/>
        </w:rPr>
        <w:t xml:space="preserve"> (2005 a 2018)</w:t>
      </w:r>
      <w:bookmarkEnd w:id="126"/>
    </w:p>
    <w:p w14:paraId="69260074" w14:textId="07BEFAD4" w:rsidR="006D55A6" w:rsidRPr="009A539C" w:rsidRDefault="00253CEF" w:rsidP="006D55A6">
      <w:pPr>
        <w:spacing w:after="0" w:line="240" w:lineRule="auto"/>
        <w:ind w:right="-1"/>
        <w:rPr>
          <w:rFonts w:cs="Times New Roman"/>
          <w:color w:val="00000A"/>
        </w:rPr>
      </w:pPr>
      <w:r w:rsidRPr="009A539C">
        <w:rPr>
          <w:rFonts w:cs="Times New Roman"/>
          <w:noProof/>
          <w:color w:val="00000A"/>
          <w:lang w:eastAsia="pt-PT"/>
        </w:rPr>
        <w:drawing>
          <wp:inline distT="0" distB="0" distL="0" distR="0" wp14:anchorId="61FC1E3E" wp14:editId="2021111C">
            <wp:extent cx="6553200" cy="2653176"/>
            <wp:effectExtent l="0" t="0" r="0" b="0"/>
            <wp:docPr id="1120" name="Imagem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78516" cy="2663426"/>
                    </a:xfrm>
                    <a:prstGeom prst="rect">
                      <a:avLst/>
                    </a:prstGeom>
                    <a:noFill/>
                    <a:ln>
                      <a:noFill/>
                    </a:ln>
                  </pic:spPr>
                </pic:pic>
              </a:graphicData>
            </a:graphic>
          </wp:inline>
        </w:drawing>
      </w:r>
      <w:bookmarkEnd w:id="124"/>
      <w:bookmarkEnd w:id="125"/>
    </w:p>
    <w:p w14:paraId="44A95608" w14:textId="77777777" w:rsidR="006D55A6" w:rsidRPr="009A539C" w:rsidRDefault="006D55A6" w:rsidP="006D55A6">
      <w:pPr>
        <w:spacing w:after="0" w:line="240" w:lineRule="auto"/>
        <w:ind w:right="-1"/>
        <w:rPr>
          <w:rFonts w:cs="Times New Roman"/>
          <w:color w:val="00000A"/>
        </w:rPr>
      </w:pPr>
    </w:p>
    <w:p w14:paraId="2AAA82D2" w14:textId="77777777" w:rsidR="00253CEF" w:rsidRPr="009A539C" w:rsidRDefault="00253CEF" w:rsidP="00B90788">
      <w:pPr>
        <w:spacing w:after="0" w:line="360" w:lineRule="auto"/>
        <w:ind w:right="-1" w:firstLine="284"/>
        <w:jc w:val="both"/>
        <w:rPr>
          <w:rFonts w:ascii="Calibri" w:eastAsia="Calibri" w:hAnsi="Calibri" w:cs="Times New Roman"/>
          <w:sz w:val="23"/>
          <w:szCs w:val="23"/>
        </w:rPr>
      </w:pPr>
      <w:r w:rsidRPr="009A539C">
        <w:rPr>
          <w:rFonts w:eastAsia="Calibri" w:cstheme="minorHAnsi"/>
        </w:rPr>
        <w:t>O aumento do número de IRCT a partir de 2012 deve-se a uma quebra de série</w:t>
      </w:r>
      <w:r w:rsidRPr="009A539C">
        <w:rPr>
          <w:rFonts w:ascii="Calibri" w:eastAsia="Calibri" w:hAnsi="Calibri" w:cs="Times New Roman"/>
          <w:sz w:val="23"/>
          <w:szCs w:val="23"/>
          <w:vertAlign w:val="superscript"/>
        </w:rPr>
        <w:footnoteReference w:id="14"/>
      </w:r>
      <w:r w:rsidRPr="009A539C">
        <w:rPr>
          <w:rFonts w:ascii="Calibri" w:eastAsia="Calibri" w:hAnsi="Calibri" w:cs="Times New Roman"/>
          <w:sz w:val="23"/>
          <w:szCs w:val="23"/>
        </w:rPr>
        <w:t>.</w:t>
      </w:r>
    </w:p>
    <w:p w14:paraId="6957D787" w14:textId="77777777" w:rsidR="00295F4E" w:rsidRPr="009A539C" w:rsidRDefault="00295F4E" w:rsidP="0087143A">
      <w:pPr>
        <w:rPr>
          <w:rFonts w:cs="Times New Roman"/>
          <w:b/>
          <w:color w:val="00000A"/>
          <w:sz w:val="24"/>
        </w:rPr>
      </w:pPr>
      <w:bookmarkStart w:id="127" w:name="_Toc487449237"/>
      <w:bookmarkStart w:id="128" w:name="_Toc508689401"/>
      <w:bookmarkStart w:id="129" w:name="_Toc517331433"/>
      <w:bookmarkStart w:id="130" w:name="_Toc4077001"/>
      <w:bookmarkStart w:id="131" w:name="_Toc4160718"/>
      <w:bookmarkStart w:id="132" w:name="_Toc4167074"/>
      <w:bookmarkStart w:id="133" w:name="_Toc5697098"/>
      <w:bookmarkStart w:id="134" w:name="_Toc5698089"/>
      <w:bookmarkStart w:id="135" w:name="_Toc6499357"/>
      <w:bookmarkStart w:id="136" w:name="_Toc7017670"/>
      <w:bookmarkStart w:id="137" w:name="_Toc11145191"/>
    </w:p>
    <w:p w14:paraId="69F43F04" w14:textId="77777777" w:rsidR="00253CEF" w:rsidRPr="009A539C" w:rsidRDefault="00253CEF" w:rsidP="00B90788">
      <w:pPr>
        <w:keepNext/>
        <w:keepLines/>
        <w:spacing w:before="240" w:after="0"/>
        <w:ind w:left="992" w:right="-1" w:hanging="567"/>
        <w:jc w:val="both"/>
        <w:outlineLvl w:val="2"/>
        <w:rPr>
          <w:rFonts w:cs="Times New Roman"/>
          <w:b/>
          <w:i/>
          <w:color w:val="365F91" w:themeColor="accent1" w:themeShade="BF"/>
          <w:sz w:val="24"/>
        </w:rPr>
      </w:pPr>
      <w:bookmarkStart w:id="138" w:name="_Toc45535685"/>
      <w:r w:rsidRPr="009A539C">
        <w:rPr>
          <w:rFonts w:cs="Times New Roman"/>
          <w:b/>
          <w:color w:val="00000A"/>
          <w:sz w:val="24"/>
        </w:rPr>
        <w:t>3.1.2</w:t>
      </w:r>
      <w:r w:rsidRPr="009A539C">
        <w:rPr>
          <w:rFonts w:cs="Times New Roman"/>
          <w:b/>
          <w:color w:val="00000A"/>
          <w:sz w:val="24"/>
        </w:rPr>
        <w:tab/>
        <w:t>Remunerações</w:t>
      </w:r>
      <w:bookmarkEnd w:id="127"/>
      <w:bookmarkEnd w:id="128"/>
      <w:bookmarkEnd w:id="129"/>
      <w:bookmarkEnd w:id="130"/>
      <w:bookmarkEnd w:id="131"/>
      <w:bookmarkEnd w:id="132"/>
      <w:bookmarkEnd w:id="133"/>
      <w:bookmarkEnd w:id="134"/>
      <w:bookmarkEnd w:id="135"/>
      <w:bookmarkEnd w:id="136"/>
      <w:bookmarkEnd w:id="137"/>
      <w:bookmarkEnd w:id="138"/>
      <w:r w:rsidRPr="009A539C">
        <w:rPr>
          <w:rFonts w:cs="Times New Roman"/>
          <w:b/>
          <w:color w:val="00000A"/>
          <w:sz w:val="24"/>
        </w:rPr>
        <w:t xml:space="preserve"> </w:t>
      </w:r>
    </w:p>
    <w:p w14:paraId="5A2268A6" w14:textId="77777777" w:rsidR="00253CEF" w:rsidRPr="009A539C" w:rsidRDefault="00253CEF" w:rsidP="00B90788">
      <w:pPr>
        <w:tabs>
          <w:tab w:val="left" w:pos="851"/>
        </w:tabs>
        <w:spacing w:before="240" w:after="0" w:line="360" w:lineRule="auto"/>
        <w:ind w:right="-1" w:firstLine="425"/>
        <w:jc w:val="both"/>
        <w:rPr>
          <w:rFonts w:eastAsia="Calibri" w:cstheme="minorHAnsi"/>
          <w:lang w:eastAsia="pt-PT"/>
        </w:rPr>
      </w:pPr>
      <w:r w:rsidRPr="009A539C">
        <w:rPr>
          <w:rFonts w:ascii="Calibri" w:eastAsia="Calibri" w:hAnsi="Calibri" w:cs="Times New Roman"/>
          <w:b/>
          <w:sz w:val="23"/>
          <w:szCs w:val="23"/>
          <w:lang w:eastAsia="pt-PT"/>
        </w:rPr>
        <w:t>I.</w:t>
      </w:r>
      <w:r w:rsidRPr="009A539C">
        <w:rPr>
          <w:rFonts w:ascii="Calibri" w:eastAsia="Calibri" w:hAnsi="Calibri" w:cs="Times New Roman"/>
          <w:b/>
          <w:sz w:val="23"/>
          <w:szCs w:val="23"/>
          <w:lang w:eastAsia="pt-PT"/>
        </w:rPr>
        <w:tab/>
      </w:r>
      <w:r w:rsidRPr="009A539C">
        <w:rPr>
          <w:rFonts w:eastAsia="Calibri" w:cstheme="minorHAnsi"/>
          <w:lang w:eastAsia="pt-PT"/>
        </w:rPr>
        <w:t>A matéria retributiva convencional</w:t>
      </w:r>
      <w:r w:rsidR="008B79B0" w:rsidRPr="009A539C">
        <w:rPr>
          <w:rFonts w:eastAsia="Calibri" w:cstheme="minorHAnsi"/>
          <w:lang w:eastAsia="pt-PT"/>
        </w:rPr>
        <w:t xml:space="preserve"> está</w:t>
      </w:r>
      <w:r w:rsidR="004A088D" w:rsidRPr="009A539C">
        <w:rPr>
          <w:rFonts w:eastAsia="Calibri" w:cstheme="minorHAnsi"/>
          <w:lang w:eastAsia="pt-PT"/>
        </w:rPr>
        <w:t xml:space="preserve"> presente na</w:t>
      </w:r>
      <w:r w:rsidR="008B79B0" w:rsidRPr="009A539C">
        <w:rPr>
          <w:rFonts w:eastAsia="Calibri" w:cstheme="minorHAnsi"/>
          <w:lang w:eastAsia="pt-PT"/>
        </w:rPr>
        <w:t xml:space="preserve"> larga maioria das </w:t>
      </w:r>
      <w:r w:rsidR="00D456D5" w:rsidRPr="009A539C">
        <w:rPr>
          <w:rFonts w:eastAsia="Calibri" w:cstheme="minorHAnsi"/>
          <w:lang w:eastAsia="pt-PT"/>
        </w:rPr>
        <w:t>convenções coletivas, incluindo</w:t>
      </w:r>
      <w:r w:rsidRPr="009A539C">
        <w:rPr>
          <w:rFonts w:eastAsia="Calibri" w:cstheme="minorHAnsi"/>
          <w:lang w:eastAsia="pt-PT"/>
        </w:rPr>
        <w:t xml:space="preserve"> revisões parciais</w:t>
      </w:r>
      <w:r w:rsidR="008B79B0" w:rsidRPr="009A539C">
        <w:rPr>
          <w:rFonts w:eastAsia="Calibri" w:cstheme="minorHAnsi"/>
          <w:lang w:eastAsia="pt-PT"/>
        </w:rPr>
        <w:t>.</w:t>
      </w:r>
    </w:p>
    <w:p w14:paraId="75158D3B" w14:textId="77777777" w:rsidR="00253CEF" w:rsidRPr="009A539C" w:rsidRDefault="00253CEF" w:rsidP="00B90788">
      <w:pPr>
        <w:tabs>
          <w:tab w:val="left" w:pos="851"/>
        </w:tabs>
        <w:spacing w:before="240" w:after="0" w:line="360" w:lineRule="auto"/>
        <w:ind w:right="-1" w:firstLine="425"/>
        <w:jc w:val="both"/>
        <w:rPr>
          <w:rFonts w:eastAsia="Calibri" w:cstheme="minorHAnsi"/>
          <w:lang w:eastAsia="pt-PT"/>
        </w:rPr>
      </w:pPr>
      <w:r w:rsidRPr="009A539C">
        <w:rPr>
          <w:rFonts w:eastAsia="Calibri" w:cstheme="minorHAnsi"/>
          <w:lang w:eastAsia="pt-PT"/>
        </w:rPr>
        <w:t xml:space="preserve"> O acompanhamento </w:t>
      </w:r>
      <w:r w:rsidR="004A088D" w:rsidRPr="009A539C">
        <w:rPr>
          <w:rFonts w:eastAsia="Calibri" w:cstheme="minorHAnsi"/>
          <w:lang w:eastAsia="pt-PT"/>
        </w:rPr>
        <w:t>sobre a evolução da tabela salarial dos IRCT</w:t>
      </w:r>
      <w:r w:rsidR="004A088D" w:rsidRPr="009A539C">
        <w:rPr>
          <w:rFonts w:eastAsia="Calibri" w:cstheme="minorHAnsi"/>
          <w:vertAlign w:val="superscript"/>
          <w:lang w:eastAsia="pt-PT"/>
        </w:rPr>
        <w:footnoteReference w:id="15"/>
      </w:r>
      <w:r w:rsidR="004A088D" w:rsidRPr="009A539C">
        <w:rPr>
          <w:rFonts w:eastAsia="Calibri" w:cstheme="minorHAnsi"/>
          <w:lang w:eastAsia="pt-PT"/>
        </w:rPr>
        <w:t xml:space="preserve"> </w:t>
      </w:r>
      <w:r w:rsidRPr="009A539C">
        <w:rPr>
          <w:rFonts w:eastAsia="Calibri" w:cstheme="minorHAnsi"/>
          <w:lang w:eastAsia="pt-PT"/>
        </w:rPr>
        <w:t>é feito através dos relatórios da DGERT</w:t>
      </w:r>
      <w:r w:rsidRPr="009A539C">
        <w:rPr>
          <w:rFonts w:eastAsia="Calibri" w:cstheme="minorHAnsi"/>
          <w:vertAlign w:val="superscript"/>
          <w:lang w:eastAsia="pt-PT"/>
        </w:rPr>
        <w:footnoteReference w:id="16"/>
      </w:r>
      <w:r w:rsidR="004A088D" w:rsidRPr="009A539C">
        <w:rPr>
          <w:rFonts w:eastAsia="Calibri" w:cstheme="minorHAnsi"/>
          <w:lang w:eastAsia="pt-PT"/>
        </w:rPr>
        <w:t>.</w:t>
      </w:r>
      <w:r w:rsidR="009F3640" w:rsidRPr="009A539C">
        <w:rPr>
          <w:rFonts w:eastAsia="Calibri" w:cstheme="minorHAnsi"/>
          <w:lang w:eastAsia="pt-PT"/>
        </w:rPr>
        <w:t xml:space="preserve"> </w:t>
      </w:r>
      <w:r w:rsidR="004A088D" w:rsidRPr="009A539C">
        <w:rPr>
          <w:rFonts w:eastAsia="Calibri" w:cstheme="minorHAnsi"/>
          <w:lang w:eastAsia="pt-PT"/>
        </w:rPr>
        <w:t xml:space="preserve">Assim, os </w:t>
      </w:r>
      <w:r w:rsidR="009F3640" w:rsidRPr="009A539C">
        <w:rPr>
          <w:rFonts w:eastAsia="Calibri" w:cstheme="minorHAnsi"/>
          <w:lang w:eastAsia="pt-PT"/>
        </w:rPr>
        <w:t>apuramentos</w:t>
      </w:r>
      <w:r w:rsidR="004A088D" w:rsidRPr="009A539C">
        <w:rPr>
          <w:rFonts w:eastAsia="Calibri" w:cstheme="minorHAnsi"/>
          <w:lang w:eastAsia="pt-PT"/>
        </w:rPr>
        <w:t xml:space="preserve"> </w:t>
      </w:r>
      <w:r w:rsidR="0033560E" w:rsidRPr="009A539C">
        <w:rPr>
          <w:rFonts w:eastAsia="Calibri" w:cstheme="minorHAnsi"/>
          <w:lang w:eastAsia="pt-PT"/>
        </w:rPr>
        <w:t>seguintes correspondem aos</w:t>
      </w:r>
      <w:r w:rsidR="004A088D" w:rsidRPr="009A539C">
        <w:rPr>
          <w:rFonts w:eastAsia="Calibri" w:cstheme="minorHAnsi"/>
          <w:lang w:eastAsia="pt-PT"/>
        </w:rPr>
        <w:t xml:space="preserve"> </w:t>
      </w:r>
      <w:r w:rsidR="0033560E" w:rsidRPr="009A539C">
        <w:rPr>
          <w:rFonts w:eastAsia="Calibri" w:cstheme="minorHAnsi"/>
          <w:lang w:eastAsia="pt-PT"/>
        </w:rPr>
        <w:t xml:space="preserve"> </w:t>
      </w:r>
      <w:r w:rsidRPr="009A539C">
        <w:rPr>
          <w:rFonts w:eastAsia="Calibri" w:cstheme="minorHAnsi"/>
          <w:lang w:eastAsia="pt-PT"/>
        </w:rPr>
        <w:t xml:space="preserve">dados coligidos a partir </w:t>
      </w:r>
      <w:r w:rsidR="004A088D" w:rsidRPr="009A539C">
        <w:rPr>
          <w:rFonts w:eastAsia="Calibri" w:cstheme="minorHAnsi"/>
          <w:lang w:eastAsia="pt-PT"/>
        </w:rPr>
        <w:t xml:space="preserve">daqueles </w:t>
      </w:r>
      <w:r w:rsidRPr="009A539C">
        <w:rPr>
          <w:rFonts w:eastAsia="Calibri" w:cstheme="minorHAnsi"/>
          <w:lang w:eastAsia="pt-PT"/>
        </w:rPr>
        <w:t xml:space="preserve"> relatórios . </w:t>
      </w:r>
    </w:p>
    <w:p w14:paraId="56D803F9" w14:textId="77777777" w:rsidR="00253CEF" w:rsidRPr="009A539C" w:rsidRDefault="00253CEF" w:rsidP="00B90788">
      <w:pPr>
        <w:spacing w:after="0" w:line="360" w:lineRule="auto"/>
        <w:ind w:right="-1" w:firstLine="425"/>
        <w:jc w:val="both"/>
        <w:textAlignment w:val="baseline"/>
        <w:rPr>
          <w:rFonts w:eastAsia="Calibri" w:cstheme="minorHAnsi"/>
        </w:rPr>
      </w:pPr>
      <w:r w:rsidRPr="009A539C">
        <w:rPr>
          <w:rFonts w:eastAsia="Times New Roman" w:cstheme="minorHAnsi"/>
          <w:lang w:eastAsia="pt-PT"/>
        </w:rPr>
        <w:t xml:space="preserve">No que concerne ao </w:t>
      </w:r>
      <w:r w:rsidRPr="009A539C">
        <w:rPr>
          <w:rFonts w:eastAsia="Calibri" w:cstheme="minorHAnsi"/>
          <w:bCs/>
          <w:iCs/>
        </w:rPr>
        <w:t xml:space="preserve">período médio de eficácia </w:t>
      </w:r>
      <w:r w:rsidRPr="009A539C">
        <w:rPr>
          <w:rFonts w:eastAsia="Calibri" w:cstheme="minorHAnsi"/>
        </w:rPr>
        <w:t>das tabelas salariais anteriores, 2019 apresenta um período médio de 16,3 meses.</w:t>
      </w:r>
      <w:r w:rsidRPr="009A539C">
        <w:rPr>
          <w:rFonts w:eastAsia="Times New Roman" w:cstheme="minorHAnsi"/>
          <w:lang w:eastAsia="pt-PT"/>
        </w:rPr>
        <w:t xml:space="preserve"> </w:t>
      </w:r>
      <w:r w:rsidRPr="009A539C">
        <w:rPr>
          <w:rFonts w:eastAsia="Calibri" w:cstheme="minorHAnsi"/>
        </w:rPr>
        <w:t>Este valor é bastante inferior ao do ano anterior, surgindo como o quarto ano consecutivo em que o período médio de eficácia intertabelas tem vindo a descer (22,5 meses em 2018; 29,4 em 2017; 38,1 em 2016; 43,6 em 2015</w:t>
      </w:r>
      <w:r w:rsidRPr="009A539C">
        <w:rPr>
          <w:rFonts w:eastAsia="Times New Roman" w:cstheme="minorHAnsi"/>
          <w:vertAlign w:val="superscript"/>
          <w:lang w:eastAsia="pt-PT"/>
        </w:rPr>
        <w:footnoteReference w:id="17"/>
      </w:r>
      <w:r w:rsidRPr="009A539C">
        <w:rPr>
          <w:rFonts w:eastAsia="Calibri" w:cstheme="minorHAnsi"/>
        </w:rPr>
        <w:t xml:space="preserve">). </w:t>
      </w:r>
    </w:p>
    <w:p w14:paraId="55E8CC13" w14:textId="25BA7224" w:rsidR="00253CEF" w:rsidRPr="009A539C" w:rsidRDefault="00253CEF" w:rsidP="00F0336B">
      <w:pPr>
        <w:spacing w:after="0" w:line="360" w:lineRule="auto"/>
        <w:ind w:right="-1" w:firstLine="425"/>
        <w:jc w:val="both"/>
        <w:textAlignment w:val="baseline"/>
        <w:rPr>
          <w:rFonts w:ascii="Calibri" w:eastAsia="Times New Roman" w:hAnsi="Calibri" w:cs="Arial"/>
          <w:sz w:val="23"/>
          <w:szCs w:val="23"/>
          <w:lang w:eastAsia="pt-PT"/>
        </w:rPr>
      </w:pPr>
      <w:r w:rsidRPr="009A539C">
        <w:rPr>
          <w:rFonts w:eastAsia="Times New Roman" w:cstheme="minorHAnsi"/>
          <w:lang w:eastAsia="pt-PT"/>
        </w:rPr>
        <w:t>O gráfico 9 representa (em colunas) a evolução do número de trabalhadores por conta de outrem potencialmente abrangidos por alterações salariais em convenções coletivas publicadas anualmente, desde 2005. Apenas se incluem as convenções que regulam a matéria remuneratória</w:t>
      </w:r>
      <w:r w:rsidRPr="009A539C">
        <w:rPr>
          <w:rFonts w:eastAsia="Times New Roman" w:cstheme="minorHAnsi"/>
          <w:vertAlign w:val="superscript"/>
          <w:lang w:eastAsia="pt-PT"/>
        </w:rPr>
        <w:footnoteReference w:id="18"/>
      </w:r>
      <w:r w:rsidRPr="009A539C">
        <w:rPr>
          <w:rFonts w:eastAsia="Times New Roman" w:cstheme="minorHAnsi"/>
          <w:lang w:eastAsia="pt-PT"/>
        </w:rPr>
        <w:t>, não sendo consideradas as primeiras convenções, por nestes casos não existirem tabelas anteriores que permitam calcular variações salariais. As linhas indicam a percentagem intertabelas de variação salarial nominal e deflacionada</w:t>
      </w:r>
      <w:r w:rsidRPr="009A539C">
        <w:rPr>
          <w:rFonts w:eastAsia="Times New Roman" w:cstheme="minorHAnsi"/>
          <w:vertAlign w:val="superscript"/>
          <w:lang w:eastAsia="pt-PT"/>
        </w:rPr>
        <w:footnoteReference w:id="19"/>
      </w:r>
      <w:r w:rsidRPr="009A539C">
        <w:rPr>
          <w:rFonts w:eastAsia="Times New Roman" w:cstheme="minorHAnsi"/>
          <w:lang w:eastAsia="pt-PT"/>
        </w:rPr>
        <w:t>. Neste apuramento é calculada a variação média ponderada intertabelas anualizada, aplicando-se a taxa de inflação passada, durante o período de eficácia das convenções, para deflacionar o valor nominal e obter o valor real, o que permite aferir em que medida as tabelas consagram melhorias das remunerações</w:t>
      </w:r>
      <w:r w:rsidRPr="009A539C">
        <w:rPr>
          <w:rFonts w:ascii="Calibri" w:eastAsia="Times New Roman" w:hAnsi="Calibri" w:cs="Arial"/>
          <w:vertAlign w:val="superscript"/>
          <w:lang w:eastAsia="pt-PT"/>
        </w:rPr>
        <w:footnoteReference w:id="20"/>
      </w:r>
      <w:bookmarkStart w:id="139" w:name="_Toc515620912"/>
      <w:r w:rsidRPr="009A539C">
        <w:rPr>
          <w:rFonts w:ascii="Calibri" w:eastAsia="Times New Roman" w:hAnsi="Calibri" w:cs="Arial"/>
          <w:sz w:val="23"/>
          <w:szCs w:val="23"/>
          <w:lang w:eastAsia="pt-PT"/>
        </w:rPr>
        <w:t>.</w:t>
      </w:r>
    </w:p>
    <w:p w14:paraId="5EE9C84C" w14:textId="77777777" w:rsidR="00253CEF" w:rsidRPr="009A539C" w:rsidRDefault="00253CEF" w:rsidP="00B90788">
      <w:pPr>
        <w:keepNext/>
        <w:tabs>
          <w:tab w:val="center" w:pos="4252"/>
          <w:tab w:val="right" w:pos="8504"/>
        </w:tabs>
        <w:spacing w:before="240" w:line="360" w:lineRule="auto"/>
        <w:ind w:right="-1"/>
        <w:jc w:val="center"/>
        <w:rPr>
          <w:rFonts w:ascii="Calibri" w:eastAsia="Calibri" w:hAnsi="Calibri" w:cs="Times New Roman"/>
          <w:b/>
          <w:bCs/>
          <w:color w:val="5B9BD5"/>
          <w:sz w:val="18"/>
          <w:szCs w:val="18"/>
        </w:rPr>
      </w:pPr>
    </w:p>
    <w:p w14:paraId="49B5EBD1" w14:textId="77777777" w:rsidR="00253CEF" w:rsidRPr="009A539C" w:rsidRDefault="00253CEF" w:rsidP="00B90788">
      <w:pPr>
        <w:spacing w:line="240" w:lineRule="auto"/>
        <w:ind w:right="-1"/>
        <w:jc w:val="center"/>
        <w:rPr>
          <w:rFonts w:cs="Times New Roman"/>
          <w:b/>
          <w:bCs/>
          <w:color w:val="4F81BD" w:themeColor="accent1"/>
        </w:rPr>
      </w:pPr>
      <w:bookmarkStart w:id="140" w:name="_Toc44665211"/>
      <w:r w:rsidRPr="009A539C">
        <w:rPr>
          <w:rFonts w:cs="Times New Roman"/>
          <w:b/>
          <w:bCs/>
          <w:color w:val="4F81BD" w:themeColor="accent1"/>
        </w:rPr>
        <w:t xml:space="preserve">Gráfico </w:t>
      </w:r>
      <w:r w:rsidR="009972BC" w:rsidRPr="009A539C">
        <w:rPr>
          <w:rFonts w:cs="Times New Roman"/>
          <w:b/>
          <w:bCs/>
          <w:noProof/>
          <w:color w:val="4F81BD" w:themeColor="accent1"/>
        </w:rPr>
        <w:fldChar w:fldCharType="begin"/>
      </w:r>
      <w:r w:rsidRPr="009A539C">
        <w:rPr>
          <w:rFonts w:cs="Times New Roman"/>
          <w:b/>
          <w:bCs/>
          <w:noProof/>
          <w:color w:val="4F81BD" w:themeColor="accent1"/>
        </w:rPr>
        <w:instrText xml:space="preserve"> SEQ Gráfico \* ARABIC </w:instrText>
      </w:r>
      <w:r w:rsidR="009972BC" w:rsidRPr="009A539C">
        <w:rPr>
          <w:rFonts w:cs="Times New Roman"/>
          <w:b/>
          <w:bCs/>
          <w:noProof/>
          <w:color w:val="4F81BD" w:themeColor="accent1"/>
        </w:rPr>
        <w:fldChar w:fldCharType="separate"/>
      </w:r>
      <w:r w:rsidR="00D821DE">
        <w:rPr>
          <w:rFonts w:cs="Times New Roman"/>
          <w:b/>
          <w:bCs/>
          <w:noProof/>
          <w:color w:val="4F81BD" w:themeColor="accent1"/>
        </w:rPr>
        <w:t>9</w:t>
      </w:r>
      <w:r w:rsidR="009972BC" w:rsidRPr="009A539C">
        <w:rPr>
          <w:rFonts w:cs="Times New Roman"/>
          <w:b/>
          <w:bCs/>
          <w:noProof/>
          <w:color w:val="4F81BD" w:themeColor="accent1"/>
        </w:rPr>
        <w:fldChar w:fldCharType="end"/>
      </w:r>
      <w:r w:rsidRPr="009A539C">
        <w:rPr>
          <w:rFonts w:cs="Times New Roman"/>
          <w:b/>
          <w:bCs/>
          <w:color w:val="4F81BD" w:themeColor="accent1"/>
        </w:rPr>
        <w:t xml:space="preserve"> - Trabalhadores por conta de outrem potencialmente abrangidos por alterações salariais e (%) variação salarial nominal e real (2005 a 2019)</w:t>
      </w:r>
      <w:bookmarkEnd w:id="140"/>
      <w:r w:rsidRPr="009A539C">
        <w:rPr>
          <w:rFonts w:cs="Times New Roman"/>
          <w:b/>
          <w:bCs/>
          <w:color w:val="4F81BD" w:themeColor="accent1"/>
        </w:rPr>
        <w:t xml:space="preserve"> </w:t>
      </w:r>
    </w:p>
    <w:p w14:paraId="63249374" w14:textId="77777777" w:rsidR="00253CEF" w:rsidRPr="009A539C" w:rsidRDefault="00253CEF" w:rsidP="00B90788">
      <w:pPr>
        <w:spacing w:after="0" w:line="240" w:lineRule="auto"/>
        <w:ind w:right="-1"/>
        <w:jc w:val="center"/>
        <w:rPr>
          <w:rFonts w:cs="Times New Roman"/>
          <w:color w:val="00000A"/>
        </w:rPr>
      </w:pPr>
      <w:r w:rsidRPr="009A539C">
        <w:rPr>
          <w:rFonts w:cs="Times New Roman"/>
          <w:noProof/>
          <w:color w:val="00000A"/>
          <w:lang w:eastAsia="pt-PT"/>
        </w:rPr>
        <w:drawing>
          <wp:inline distT="0" distB="0" distL="0" distR="0" wp14:anchorId="2F9A17D2" wp14:editId="4590930E">
            <wp:extent cx="5676595" cy="4179821"/>
            <wp:effectExtent l="0" t="0" r="635" b="0"/>
            <wp:docPr id="1121" name="Imagem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81412" cy="4183368"/>
                    </a:xfrm>
                    <a:prstGeom prst="rect">
                      <a:avLst/>
                    </a:prstGeom>
                    <a:noFill/>
                  </pic:spPr>
                </pic:pic>
              </a:graphicData>
            </a:graphic>
          </wp:inline>
        </w:drawing>
      </w:r>
    </w:p>
    <w:p w14:paraId="0D39C3E0" w14:textId="77777777" w:rsidR="00253CEF" w:rsidRPr="009A539C" w:rsidRDefault="00253CEF" w:rsidP="00B90788">
      <w:pPr>
        <w:spacing w:after="0" w:line="240" w:lineRule="auto"/>
        <w:ind w:right="-1"/>
        <w:rPr>
          <w:rFonts w:cs="Times New Roman"/>
          <w:color w:val="00000A"/>
        </w:rPr>
      </w:pPr>
    </w:p>
    <w:bookmarkEnd w:id="139"/>
    <w:p w14:paraId="7C1C3014" w14:textId="77777777" w:rsidR="00253CEF" w:rsidRPr="009A539C" w:rsidRDefault="00253CEF" w:rsidP="00B90788">
      <w:pPr>
        <w:tabs>
          <w:tab w:val="left" w:pos="851"/>
        </w:tabs>
        <w:spacing w:before="240" w:after="0" w:line="360" w:lineRule="auto"/>
        <w:ind w:right="-1" w:firstLine="425"/>
        <w:jc w:val="both"/>
        <w:rPr>
          <w:rFonts w:eastAsia="Calibri" w:cstheme="minorHAnsi"/>
          <w:lang w:eastAsia="pt-PT"/>
        </w:rPr>
      </w:pPr>
      <w:r w:rsidRPr="009A539C">
        <w:rPr>
          <w:rFonts w:eastAsia="Calibri" w:cstheme="minorHAnsi"/>
          <w:lang w:eastAsia="pt-PT"/>
        </w:rPr>
        <w:t>A variação salarial nominal, face ao ano anterior, prossegue a subida iniciada em 2016, verificando-se também que a variação salarial real foi positiva pelo quarto ano consecutivo. No ano de 2019, a variação salarial nominal média intertabelas anualizada para o total das convenções foi de 4,4%.</w:t>
      </w:r>
    </w:p>
    <w:p w14:paraId="606D68F3" w14:textId="77777777" w:rsidR="00253CEF" w:rsidRPr="009A539C" w:rsidRDefault="00253CEF" w:rsidP="00B90788">
      <w:pPr>
        <w:spacing w:after="0" w:line="360" w:lineRule="auto"/>
        <w:ind w:right="-1"/>
        <w:rPr>
          <w:rFonts w:eastAsia="Calibri" w:cstheme="minorHAnsi"/>
          <w:color w:val="00000A"/>
        </w:rPr>
      </w:pPr>
    </w:p>
    <w:p w14:paraId="60600B84" w14:textId="77777777" w:rsidR="00253CEF" w:rsidRPr="009A539C" w:rsidRDefault="00253CEF" w:rsidP="00B90788">
      <w:pPr>
        <w:tabs>
          <w:tab w:val="left" w:pos="851"/>
        </w:tabs>
        <w:spacing w:before="240" w:after="0" w:line="360" w:lineRule="auto"/>
        <w:ind w:right="-1" w:firstLine="425"/>
        <w:jc w:val="both"/>
        <w:rPr>
          <w:rFonts w:eastAsia="Calibri" w:cstheme="minorHAnsi"/>
          <w:lang w:eastAsia="pt-PT"/>
        </w:rPr>
      </w:pPr>
      <w:r w:rsidRPr="009A539C">
        <w:rPr>
          <w:rFonts w:eastAsia="Calibri" w:cstheme="minorHAnsi"/>
          <w:b/>
          <w:lang w:eastAsia="pt-PT"/>
        </w:rPr>
        <w:t>II.</w:t>
      </w:r>
      <w:r w:rsidRPr="009A539C">
        <w:rPr>
          <w:rFonts w:eastAsia="Calibri" w:cstheme="minorHAnsi"/>
          <w:lang w:eastAsia="pt-PT"/>
        </w:rPr>
        <w:tab/>
        <w:t>O quadro 8, mantendo a linha de análise dos Relatórios anteriores, reporta-se exclusivamente ao universo das convenções publicadas que introduziram alterações salariais. Dá conta da repartição setorial desse valor, assim como a variação média intertabelas deflacionada com base nos acréscimos médios do IPC. Estes acréscimos são medidos entre as datas de produção de efeitos das tabelas salariais de 2019 e das tabelas anteriores. No conjunto dos setores de atividade, essa variação real continuou positiva (3,4%) e bastante acima da registada no ano anterior (2,0%).</w:t>
      </w:r>
      <w:bookmarkStart w:id="141" w:name="_Toc487122737"/>
      <w:bookmarkStart w:id="142" w:name="_Toc517332043"/>
    </w:p>
    <w:p w14:paraId="1B1CC2F8" w14:textId="77777777" w:rsidR="006D55A6" w:rsidRPr="009A539C" w:rsidRDefault="006D55A6" w:rsidP="00B90788">
      <w:pPr>
        <w:spacing w:line="240" w:lineRule="auto"/>
        <w:ind w:right="-1"/>
        <w:jc w:val="center"/>
        <w:rPr>
          <w:rFonts w:cs="Times New Roman"/>
          <w:b/>
          <w:bCs/>
          <w:color w:val="4F81BD" w:themeColor="accent1"/>
          <w:sz w:val="18"/>
          <w:szCs w:val="18"/>
        </w:rPr>
      </w:pPr>
    </w:p>
    <w:p w14:paraId="39705F4A" w14:textId="77777777" w:rsidR="006D55A6" w:rsidRPr="009A539C" w:rsidRDefault="006D55A6" w:rsidP="00B90788">
      <w:pPr>
        <w:spacing w:line="240" w:lineRule="auto"/>
        <w:ind w:right="-1"/>
        <w:jc w:val="center"/>
        <w:rPr>
          <w:rFonts w:cs="Times New Roman"/>
          <w:b/>
          <w:bCs/>
          <w:color w:val="4F81BD" w:themeColor="accent1"/>
          <w:sz w:val="18"/>
          <w:szCs w:val="18"/>
        </w:rPr>
      </w:pPr>
    </w:p>
    <w:p w14:paraId="27046064" w14:textId="77777777" w:rsidR="006D55A6" w:rsidRPr="009A539C" w:rsidRDefault="006D55A6" w:rsidP="00B90788">
      <w:pPr>
        <w:spacing w:line="240" w:lineRule="auto"/>
        <w:ind w:right="-1"/>
        <w:jc w:val="center"/>
        <w:rPr>
          <w:rFonts w:cs="Times New Roman"/>
          <w:b/>
          <w:bCs/>
          <w:color w:val="4F81BD" w:themeColor="accent1"/>
          <w:sz w:val="18"/>
          <w:szCs w:val="18"/>
        </w:rPr>
      </w:pPr>
    </w:p>
    <w:p w14:paraId="0BDC6691" w14:textId="4672915D" w:rsidR="00253CEF" w:rsidRPr="00E742C1" w:rsidRDefault="00253CEF" w:rsidP="00B90788">
      <w:pPr>
        <w:spacing w:line="240" w:lineRule="auto"/>
        <w:ind w:right="-1"/>
        <w:jc w:val="center"/>
        <w:rPr>
          <w:rFonts w:cs="Times New Roman"/>
          <w:bCs/>
        </w:rPr>
      </w:pPr>
      <w:bookmarkStart w:id="143" w:name="_Toc45716629"/>
      <w:r w:rsidRPr="00E742C1">
        <w:rPr>
          <w:rFonts w:cs="Times New Roman"/>
          <w:bCs/>
          <w:color w:val="4F81BD" w:themeColor="accent1"/>
        </w:rPr>
        <w:t xml:space="preserve">Quadro </w:t>
      </w:r>
      <w:r w:rsidR="009972BC" w:rsidRPr="00E742C1">
        <w:rPr>
          <w:rFonts w:cs="Times New Roman"/>
          <w:bCs/>
          <w:noProof/>
          <w:color w:val="4F81BD" w:themeColor="accent1"/>
        </w:rPr>
        <w:fldChar w:fldCharType="begin"/>
      </w:r>
      <w:r w:rsidRPr="00E742C1">
        <w:rPr>
          <w:rFonts w:cs="Times New Roman"/>
          <w:bCs/>
          <w:noProof/>
          <w:color w:val="4F81BD" w:themeColor="accent1"/>
        </w:rPr>
        <w:instrText xml:space="preserve"> SEQ Quadro \* ARABIC </w:instrText>
      </w:r>
      <w:r w:rsidR="009972BC" w:rsidRPr="00E742C1">
        <w:rPr>
          <w:rFonts w:cs="Times New Roman"/>
          <w:bCs/>
          <w:noProof/>
          <w:color w:val="4F81BD" w:themeColor="accent1"/>
        </w:rPr>
        <w:fldChar w:fldCharType="separate"/>
      </w:r>
      <w:r w:rsidR="00D821DE" w:rsidRPr="00E742C1">
        <w:rPr>
          <w:rFonts w:cs="Times New Roman"/>
          <w:bCs/>
          <w:noProof/>
          <w:color w:val="4F81BD" w:themeColor="accent1"/>
        </w:rPr>
        <w:t>8</w:t>
      </w:r>
      <w:r w:rsidR="009972BC" w:rsidRPr="00E742C1">
        <w:rPr>
          <w:rFonts w:cs="Times New Roman"/>
          <w:bCs/>
          <w:noProof/>
          <w:color w:val="4F81BD" w:themeColor="accent1"/>
        </w:rPr>
        <w:fldChar w:fldCharType="end"/>
      </w:r>
      <w:r w:rsidRPr="00E742C1">
        <w:rPr>
          <w:rFonts w:cs="Times New Roman"/>
          <w:bCs/>
          <w:noProof/>
          <w:color w:val="4F81BD" w:themeColor="accent1"/>
        </w:rPr>
        <w:t xml:space="preserve"> </w:t>
      </w:r>
      <w:r w:rsidRPr="00E742C1">
        <w:rPr>
          <w:rFonts w:cs="Times New Roman"/>
          <w:bCs/>
          <w:color w:val="4F81BD" w:themeColor="accent1"/>
        </w:rPr>
        <w:t>- Variação salarial nominal</w:t>
      </w:r>
      <w:r w:rsidR="00612C75" w:rsidRPr="00E742C1">
        <w:rPr>
          <w:rFonts w:cs="Times New Roman"/>
          <w:bCs/>
          <w:color w:val="4F81BD" w:themeColor="accent1"/>
        </w:rPr>
        <w:t xml:space="preserve"> anualizada</w:t>
      </w:r>
      <w:r w:rsidRPr="00E742C1">
        <w:rPr>
          <w:rFonts w:cs="Times New Roman"/>
          <w:bCs/>
          <w:color w:val="4F81BD" w:themeColor="accent1"/>
        </w:rPr>
        <w:t xml:space="preserve"> e real</w:t>
      </w:r>
      <w:r w:rsidR="00EE0D62" w:rsidRPr="00E742C1">
        <w:rPr>
          <w:rFonts w:cs="Times New Roman"/>
          <w:bCs/>
          <w:color w:val="4F81BD" w:themeColor="accent1"/>
        </w:rPr>
        <w:t xml:space="preserve"> (</w:t>
      </w:r>
      <w:r w:rsidRPr="00E742C1">
        <w:rPr>
          <w:rFonts w:cs="Times New Roman"/>
          <w:bCs/>
          <w:color w:val="4F81BD" w:themeColor="accent1"/>
        </w:rPr>
        <w:t>2019</w:t>
      </w:r>
      <w:r w:rsidR="00EE0D62" w:rsidRPr="00E742C1">
        <w:rPr>
          <w:rFonts w:cs="Times New Roman"/>
          <w:bCs/>
          <w:color w:val="4F81BD" w:themeColor="accent1"/>
        </w:rPr>
        <w:t>)</w:t>
      </w:r>
      <w:bookmarkEnd w:id="143"/>
      <w:r w:rsidRPr="00E742C1">
        <w:rPr>
          <w:rFonts w:cs="Times New Roman"/>
          <w:bCs/>
          <w:color w:val="4F81BD" w:themeColor="accent1"/>
        </w:rPr>
        <w:t xml:space="preserve"> </w:t>
      </w:r>
    </w:p>
    <w:p w14:paraId="21578A3E" w14:textId="77777777" w:rsidR="00253CEF" w:rsidRPr="009A539C" w:rsidRDefault="00253CEF" w:rsidP="00B90788">
      <w:pPr>
        <w:spacing w:after="0" w:line="240" w:lineRule="auto"/>
        <w:ind w:right="-1"/>
        <w:jc w:val="center"/>
        <w:rPr>
          <w:rFonts w:cs="Times New Roman"/>
          <w:color w:val="00000A"/>
        </w:rPr>
      </w:pPr>
      <w:r w:rsidRPr="009A539C">
        <w:rPr>
          <w:rFonts w:cs="Times New Roman"/>
          <w:noProof/>
          <w:color w:val="00000A"/>
          <w:lang w:eastAsia="pt-PT"/>
        </w:rPr>
        <w:drawing>
          <wp:inline distT="0" distB="0" distL="0" distR="0" wp14:anchorId="566649AA" wp14:editId="2D24E6D6">
            <wp:extent cx="6038850" cy="3924606"/>
            <wp:effectExtent l="0" t="0" r="0" b="0"/>
            <wp:docPr id="1135" name="Imagem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42910" cy="3927244"/>
                    </a:xfrm>
                    <a:prstGeom prst="rect">
                      <a:avLst/>
                    </a:prstGeom>
                    <a:noFill/>
                    <a:ln>
                      <a:noFill/>
                    </a:ln>
                  </pic:spPr>
                </pic:pic>
              </a:graphicData>
            </a:graphic>
          </wp:inline>
        </w:drawing>
      </w:r>
    </w:p>
    <w:p w14:paraId="365F1D87" w14:textId="77777777" w:rsidR="00253CEF" w:rsidRPr="009A539C" w:rsidRDefault="00253CEF" w:rsidP="00B90788">
      <w:pPr>
        <w:spacing w:after="0" w:line="240" w:lineRule="auto"/>
        <w:ind w:right="-1"/>
        <w:rPr>
          <w:rFonts w:cs="Times New Roman"/>
          <w:color w:val="00000A"/>
        </w:rPr>
      </w:pPr>
    </w:p>
    <w:bookmarkEnd w:id="141"/>
    <w:bookmarkEnd w:id="142"/>
    <w:p w14:paraId="2A3284E9" w14:textId="77777777" w:rsidR="00253CEF" w:rsidRPr="009A539C" w:rsidRDefault="00253CEF" w:rsidP="00B90788">
      <w:pPr>
        <w:tabs>
          <w:tab w:val="left" w:pos="851"/>
        </w:tabs>
        <w:spacing w:before="120" w:after="0" w:line="360" w:lineRule="auto"/>
        <w:ind w:right="-1" w:firstLine="426"/>
        <w:jc w:val="both"/>
        <w:rPr>
          <w:rFonts w:ascii="Calibri" w:eastAsia="Calibri" w:hAnsi="Calibri" w:cs="Times New Roman"/>
          <w:sz w:val="23"/>
          <w:szCs w:val="23"/>
          <w:lang w:eastAsia="pt-PT"/>
        </w:rPr>
      </w:pPr>
      <w:r w:rsidRPr="009A539C">
        <w:rPr>
          <w:rFonts w:eastAsia="Calibri" w:cstheme="minorHAnsi"/>
          <w:lang w:eastAsia="pt-PT"/>
        </w:rPr>
        <w:t>O Quadro 9 apresenta a remuneração média convencional</w:t>
      </w:r>
      <w:r w:rsidRPr="009A539C">
        <w:rPr>
          <w:rFonts w:eastAsia="Calibri" w:cstheme="minorHAnsi"/>
          <w:vertAlign w:val="superscript"/>
          <w:lang w:eastAsia="pt-PT"/>
        </w:rPr>
        <w:footnoteReference w:id="21"/>
      </w:r>
      <w:r w:rsidRPr="009A539C">
        <w:rPr>
          <w:rFonts w:eastAsia="Calibri" w:cstheme="minorHAnsi"/>
          <w:lang w:eastAsia="pt-PT"/>
        </w:rPr>
        <w:t xml:space="preserve"> e as amplitudes remuneratórias verificadas por setor de atividade, obtidas através das remunerações máximas e mínimas constantes das tabelas salariais negociadas. A coluna relativa ao número de trabalhadores integra o total de trabalhadores</w:t>
      </w:r>
      <w:r w:rsidRPr="009A539C">
        <w:rPr>
          <w:rFonts w:eastAsia="Calibri" w:cstheme="minorHAnsi"/>
        </w:rPr>
        <w:t xml:space="preserve"> </w:t>
      </w:r>
      <w:r w:rsidRPr="009A539C">
        <w:rPr>
          <w:rFonts w:eastAsia="Calibri" w:cstheme="minorHAnsi"/>
          <w:lang w:eastAsia="pt-PT"/>
        </w:rPr>
        <w:t>potencialmente abrangidos por convenções coletivas</w:t>
      </w:r>
      <w:r w:rsidRPr="009A539C">
        <w:rPr>
          <w:rFonts w:ascii="Calibri" w:eastAsia="Calibri" w:hAnsi="Calibri" w:cs="Arial"/>
          <w:sz w:val="23"/>
          <w:szCs w:val="23"/>
          <w:vertAlign w:val="superscript"/>
        </w:rPr>
        <w:footnoteReference w:id="22"/>
      </w:r>
      <w:r w:rsidRPr="009A539C">
        <w:rPr>
          <w:rFonts w:ascii="Calibri" w:eastAsia="Calibri" w:hAnsi="Calibri" w:cs="Times New Roman"/>
          <w:sz w:val="23"/>
          <w:szCs w:val="23"/>
          <w:lang w:eastAsia="pt-PT"/>
        </w:rPr>
        <w:t xml:space="preserve">. </w:t>
      </w:r>
    </w:p>
    <w:p w14:paraId="79BDF517" w14:textId="4A120D62" w:rsidR="00253CEF" w:rsidRPr="009A539C" w:rsidRDefault="00253CEF" w:rsidP="00F0336B">
      <w:pPr>
        <w:spacing w:after="0"/>
        <w:ind w:right="-1"/>
        <w:rPr>
          <w:rFonts w:ascii="Calibri" w:eastAsia="Calibri" w:hAnsi="Calibri" w:cs="Times New Roman"/>
          <w:sz w:val="23"/>
          <w:szCs w:val="23"/>
          <w:lang w:eastAsia="pt-PT"/>
        </w:rPr>
      </w:pPr>
      <w:r w:rsidRPr="009A539C">
        <w:rPr>
          <w:rFonts w:ascii="Calibri" w:eastAsia="Calibri" w:hAnsi="Calibri" w:cs="Times New Roman"/>
          <w:sz w:val="23"/>
          <w:szCs w:val="23"/>
          <w:lang w:eastAsia="pt-PT"/>
        </w:rPr>
        <w:br w:type="page"/>
      </w:r>
      <w:bookmarkStart w:id="144" w:name="_Toc487122738"/>
      <w:bookmarkStart w:id="145" w:name="_Toc517332044"/>
    </w:p>
    <w:p w14:paraId="0770633A" w14:textId="77777777" w:rsidR="00253CEF" w:rsidRPr="00E742C1" w:rsidRDefault="00253CEF" w:rsidP="00B90788">
      <w:pPr>
        <w:spacing w:line="240" w:lineRule="auto"/>
        <w:ind w:right="-1"/>
        <w:jc w:val="center"/>
        <w:rPr>
          <w:rFonts w:cs="Times New Roman"/>
          <w:bCs/>
          <w:color w:val="4F81BD" w:themeColor="accent1"/>
        </w:rPr>
      </w:pPr>
      <w:bookmarkStart w:id="146" w:name="_Toc45716630"/>
      <w:r w:rsidRPr="00E742C1">
        <w:rPr>
          <w:rFonts w:cs="Times New Roman"/>
          <w:bCs/>
          <w:color w:val="4F81BD" w:themeColor="accent1"/>
        </w:rPr>
        <w:t xml:space="preserve">Quadro </w:t>
      </w:r>
      <w:r w:rsidR="009972BC" w:rsidRPr="00E742C1">
        <w:rPr>
          <w:rFonts w:cs="Times New Roman"/>
          <w:bCs/>
          <w:noProof/>
          <w:color w:val="4F81BD" w:themeColor="accent1"/>
        </w:rPr>
        <w:fldChar w:fldCharType="begin"/>
      </w:r>
      <w:r w:rsidRPr="00E742C1">
        <w:rPr>
          <w:rFonts w:cs="Times New Roman"/>
          <w:bCs/>
          <w:noProof/>
          <w:color w:val="4F81BD" w:themeColor="accent1"/>
        </w:rPr>
        <w:instrText xml:space="preserve"> SEQ Quadro \* ARABIC </w:instrText>
      </w:r>
      <w:r w:rsidR="009972BC" w:rsidRPr="00E742C1">
        <w:rPr>
          <w:rFonts w:cs="Times New Roman"/>
          <w:bCs/>
          <w:noProof/>
          <w:color w:val="4F81BD" w:themeColor="accent1"/>
        </w:rPr>
        <w:fldChar w:fldCharType="separate"/>
      </w:r>
      <w:r w:rsidR="00D821DE" w:rsidRPr="00E742C1">
        <w:rPr>
          <w:rFonts w:cs="Times New Roman"/>
          <w:bCs/>
          <w:noProof/>
          <w:color w:val="4F81BD" w:themeColor="accent1"/>
        </w:rPr>
        <w:t>9</w:t>
      </w:r>
      <w:r w:rsidR="009972BC" w:rsidRPr="00E742C1">
        <w:rPr>
          <w:rFonts w:cs="Times New Roman"/>
          <w:bCs/>
          <w:noProof/>
          <w:color w:val="4F81BD" w:themeColor="accent1"/>
        </w:rPr>
        <w:fldChar w:fldCharType="end"/>
      </w:r>
      <w:r w:rsidRPr="00E742C1">
        <w:rPr>
          <w:rFonts w:cs="Times New Roman"/>
          <w:bCs/>
          <w:color w:val="4F81BD" w:themeColor="accent1"/>
        </w:rPr>
        <w:t xml:space="preserve"> - Remuneração convencional média, mais e m</w:t>
      </w:r>
      <w:r w:rsidR="00612C75" w:rsidRPr="00E742C1">
        <w:rPr>
          <w:rFonts w:cs="Times New Roman"/>
          <w:bCs/>
          <w:color w:val="4F81BD" w:themeColor="accent1"/>
        </w:rPr>
        <w:t>enos elevada por IRCT publicado</w:t>
      </w:r>
      <w:r w:rsidRPr="00E742C1">
        <w:rPr>
          <w:rFonts w:cs="Times New Roman"/>
          <w:bCs/>
          <w:color w:val="4F81BD" w:themeColor="accent1"/>
        </w:rPr>
        <w:t xml:space="preserve"> em 2019</w:t>
      </w:r>
      <w:r w:rsidR="00612C75" w:rsidRPr="00E742C1">
        <w:rPr>
          <w:rFonts w:cs="Times New Roman"/>
          <w:bCs/>
          <w:color w:val="4F81BD" w:themeColor="accent1"/>
        </w:rPr>
        <w:t xml:space="preserve"> e</w:t>
      </w:r>
      <w:r w:rsidRPr="00E742C1">
        <w:rPr>
          <w:rFonts w:cs="Times New Roman"/>
          <w:bCs/>
          <w:color w:val="4F81BD" w:themeColor="accent1"/>
        </w:rPr>
        <w:t xml:space="preserve"> por setor de atividade económica</w:t>
      </w:r>
      <w:bookmarkEnd w:id="146"/>
    </w:p>
    <w:p w14:paraId="7D9B62E3" w14:textId="77777777" w:rsidR="00253CEF" w:rsidRPr="009A539C" w:rsidRDefault="00253CEF" w:rsidP="00B90788">
      <w:pPr>
        <w:spacing w:after="0" w:line="240" w:lineRule="auto"/>
        <w:ind w:right="-1"/>
        <w:jc w:val="center"/>
        <w:rPr>
          <w:rFonts w:cs="Times New Roman"/>
          <w:color w:val="00000A"/>
        </w:rPr>
      </w:pPr>
      <w:r w:rsidRPr="009A539C">
        <w:rPr>
          <w:rFonts w:cs="Times New Roman"/>
          <w:noProof/>
          <w:color w:val="00000A"/>
          <w:lang w:eastAsia="pt-PT"/>
        </w:rPr>
        <w:drawing>
          <wp:inline distT="0" distB="0" distL="0" distR="0" wp14:anchorId="7BB85EAE" wp14:editId="6B15293A">
            <wp:extent cx="5981700" cy="3824990"/>
            <wp:effectExtent l="0" t="0" r="0" b="0"/>
            <wp:docPr id="1136" name="Imagem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81700" cy="3824990"/>
                    </a:xfrm>
                    <a:prstGeom prst="rect">
                      <a:avLst/>
                    </a:prstGeom>
                    <a:noFill/>
                    <a:ln>
                      <a:noFill/>
                    </a:ln>
                  </pic:spPr>
                </pic:pic>
              </a:graphicData>
            </a:graphic>
          </wp:inline>
        </w:drawing>
      </w:r>
    </w:p>
    <w:p w14:paraId="4D2D8EDB" w14:textId="77777777" w:rsidR="00253CEF" w:rsidRPr="009A539C" w:rsidRDefault="00253CEF" w:rsidP="00B90788">
      <w:pPr>
        <w:spacing w:after="0" w:line="240" w:lineRule="auto"/>
        <w:ind w:right="-1"/>
        <w:rPr>
          <w:rFonts w:cs="Times New Roman"/>
          <w:color w:val="00000A"/>
        </w:rPr>
      </w:pPr>
    </w:p>
    <w:bookmarkEnd w:id="144"/>
    <w:bookmarkEnd w:id="145"/>
    <w:p w14:paraId="67CE5314" w14:textId="77777777" w:rsidR="00253CEF" w:rsidRPr="009A539C" w:rsidRDefault="00253CEF" w:rsidP="00B90788">
      <w:pPr>
        <w:spacing w:after="0" w:line="240" w:lineRule="auto"/>
        <w:ind w:right="-1"/>
        <w:rPr>
          <w:rFonts w:ascii="Calibri" w:eastAsia="Calibri" w:hAnsi="Calibri" w:cs="Times New Roman"/>
          <w:color w:val="00000A"/>
        </w:rPr>
      </w:pPr>
    </w:p>
    <w:p w14:paraId="71561934" w14:textId="77777777" w:rsidR="00253CEF" w:rsidRPr="009A539C" w:rsidRDefault="00253CEF" w:rsidP="00B90788">
      <w:pPr>
        <w:tabs>
          <w:tab w:val="left" w:pos="851"/>
        </w:tabs>
        <w:spacing w:before="120" w:after="0" w:line="360" w:lineRule="auto"/>
        <w:ind w:right="-1" w:firstLine="426"/>
        <w:jc w:val="both"/>
        <w:rPr>
          <w:rFonts w:ascii="Calibri" w:eastAsia="Calibri" w:hAnsi="Calibri" w:cs="Times New Roman"/>
          <w:sz w:val="23"/>
          <w:szCs w:val="23"/>
          <w:lang w:eastAsia="pt-PT"/>
        </w:rPr>
      </w:pPr>
      <w:r w:rsidRPr="009A539C">
        <w:rPr>
          <w:rFonts w:eastAsia="Calibri" w:cstheme="minorHAnsi"/>
          <w:lang w:eastAsia="pt-PT"/>
        </w:rPr>
        <w:t xml:space="preserve">Quanto à remuneração convencional mínima, </w:t>
      </w:r>
      <w:r w:rsidR="00DB2691" w:rsidRPr="009A539C">
        <w:rPr>
          <w:rFonts w:eastAsia="Calibri" w:cstheme="minorHAnsi"/>
          <w:lang w:eastAsia="pt-PT"/>
        </w:rPr>
        <w:t>na esmagadora maioria dos setores</w:t>
      </w:r>
      <w:r w:rsidR="005C3FA9" w:rsidRPr="009A539C">
        <w:rPr>
          <w:rFonts w:eastAsia="Calibri" w:cstheme="minorHAnsi"/>
          <w:lang w:eastAsia="pt-PT"/>
        </w:rPr>
        <w:t>,</w:t>
      </w:r>
      <w:r w:rsidR="00DB2691" w:rsidRPr="009A539C">
        <w:rPr>
          <w:rFonts w:eastAsia="Calibri" w:cstheme="minorHAnsi"/>
          <w:lang w:eastAsia="pt-PT"/>
        </w:rPr>
        <w:t xml:space="preserve"> </w:t>
      </w:r>
      <w:r w:rsidR="00835F06" w:rsidRPr="009A539C">
        <w:rPr>
          <w:rFonts w:eastAsia="Calibri" w:cstheme="minorHAnsi"/>
          <w:lang w:eastAsia="pt-PT"/>
        </w:rPr>
        <w:t xml:space="preserve">é </w:t>
      </w:r>
      <w:r w:rsidR="00DB2691" w:rsidRPr="009A539C">
        <w:rPr>
          <w:rFonts w:eastAsia="Calibri" w:cstheme="minorHAnsi"/>
          <w:lang w:eastAsia="pt-PT"/>
        </w:rPr>
        <w:t>notória</w:t>
      </w:r>
      <w:r w:rsidRPr="009A539C">
        <w:rPr>
          <w:rFonts w:eastAsia="Calibri" w:cstheme="minorHAnsi"/>
          <w:lang w:eastAsia="pt-PT"/>
        </w:rPr>
        <w:t xml:space="preserve"> a aproximação à retribuição mínima mensal garantida (RMMG)</w:t>
      </w:r>
      <w:r w:rsidRPr="009A539C">
        <w:rPr>
          <w:rFonts w:eastAsia="Calibri" w:cstheme="minorHAnsi"/>
          <w:vertAlign w:val="superscript"/>
          <w:lang w:eastAsia="pt-PT"/>
        </w:rPr>
        <w:footnoteReference w:id="23"/>
      </w:r>
      <w:r w:rsidR="00DB2691" w:rsidRPr="009A539C">
        <w:rPr>
          <w:rFonts w:eastAsia="Calibri" w:cstheme="minorHAnsi"/>
          <w:lang w:eastAsia="pt-PT"/>
        </w:rPr>
        <w:t>.</w:t>
      </w:r>
      <w:r w:rsidRPr="009A539C">
        <w:rPr>
          <w:rFonts w:eastAsia="Calibri" w:cstheme="minorHAnsi"/>
          <w:lang w:eastAsia="pt-PT"/>
        </w:rPr>
        <w:t xml:space="preserve"> Já quanto às remunerações máximas das tabelas salariais são patentes as diferenças entre setores, variando entre 7.145,90€ nos transportes (H) e 900,00€ nas atividades de saúde humana e apoio social (O) (neste caso em AE de uma Associação de Bombeiros). Para além das amplitudes salariais entre os diferentes setores, o Quadro 9 regista também as variações entre a remuneração base convencional média, máxima e mínima, ilustrando a diversidade de práticas remuneratórias associadas aos diferentes tipos de categorias e carreiras profissionais</w:t>
      </w:r>
      <w:r w:rsidRPr="009A539C">
        <w:rPr>
          <w:rFonts w:ascii="Calibri" w:eastAsia="Calibri" w:hAnsi="Calibri" w:cs="Times New Roman"/>
          <w:sz w:val="23"/>
          <w:szCs w:val="23"/>
          <w:lang w:eastAsia="pt-PT"/>
        </w:rPr>
        <w:t>.</w:t>
      </w:r>
    </w:p>
    <w:p w14:paraId="0F11D229" w14:textId="77777777" w:rsidR="00253CEF" w:rsidRPr="009A539C" w:rsidRDefault="00253CEF" w:rsidP="00B90788">
      <w:pPr>
        <w:spacing w:after="0"/>
        <w:ind w:right="-1"/>
        <w:rPr>
          <w:rFonts w:cs="Times New Roman"/>
          <w:b/>
          <w:color w:val="00000A"/>
          <w:sz w:val="24"/>
        </w:rPr>
      </w:pPr>
      <w:bookmarkStart w:id="147" w:name="_Toc487449238"/>
      <w:bookmarkStart w:id="148" w:name="_Toc508689402"/>
      <w:bookmarkStart w:id="149" w:name="_Toc517331434"/>
      <w:bookmarkStart w:id="150" w:name="_Toc4077002"/>
      <w:bookmarkStart w:id="151" w:name="_Toc4160719"/>
      <w:bookmarkStart w:id="152" w:name="_Toc4167075"/>
      <w:bookmarkStart w:id="153" w:name="_Toc5697099"/>
      <w:bookmarkStart w:id="154" w:name="_Toc5698090"/>
      <w:r w:rsidRPr="009A539C">
        <w:rPr>
          <w:rFonts w:cs="Times New Roman"/>
          <w:b/>
          <w:color w:val="00000A"/>
          <w:sz w:val="24"/>
        </w:rPr>
        <w:br w:type="page"/>
      </w:r>
    </w:p>
    <w:p w14:paraId="39B82285" w14:textId="77777777" w:rsidR="00820AA8" w:rsidRPr="009A539C" w:rsidRDefault="00253CEF" w:rsidP="00820AA8">
      <w:pPr>
        <w:keepNext/>
        <w:keepLines/>
        <w:spacing w:before="360" w:after="0"/>
        <w:ind w:left="992" w:right="-1" w:hanging="567"/>
        <w:jc w:val="both"/>
        <w:outlineLvl w:val="2"/>
        <w:rPr>
          <w:rFonts w:cs="Times New Roman"/>
          <w:b/>
          <w:color w:val="00000A"/>
          <w:sz w:val="24"/>
        </w:rPr>
      </w:pPr>
      <w:bookmarkStart w:id="155" w:name="_Toc6499358"/>
      <w:bookmarkStart w:id="156" w:name="_Toc7017671"/>
      <w:bookmarkStart w:id="157" w:name="_Toc11145192"/>
      <w:bookmarkStart w:id="158" w:name="_Toc45535686"/>
      <w:r w:rsidRPr="009A539C">
        <w:rPr>
          <w:rFonts w:cs="Times New Roman"/>
          <w:b/>
          <w:color w:val="00000A"/>
          <w:sz w:val="24"/>
        </w:rPr>
        <w:t>3.1.3</w:t>
      </w:r>
      <w:r w:rsidRPr="009A539C">
        <w:rPr>
          <w:rFonts w:cs="Times New Roman"/>
          <w:b/>
          <w:color w:val="00000A"/>
          <w:sz w:val="24"/>
        </w:rPr>
        <w:tab/>
        <w:t>Alargamento do âmbito de aplicação das convenções</w:t>
      </w:r>
      <w:bookmarkEnd w:id="147"/>
      <w:bookmarkEnd w:id="148"/>
      <w:bookmarkEnd w:id="149"/>
      <w:bookmarkEnd w:id="150"/>
      <w:bookmarkEnd w:id="151"/>
      <w:bookmarkEnd w:id="152"/>
      <w:bookmarkEnd w:id="153"/>
      <w:bookmarkEnd w:id="154"/>
      <w:bookmarkEnd w:id="155"/>
      <w:bookmarkEnd w:id="156"/>
      <w:bookmarkEnd w:id="157"/>
      <w:bookmarkEnd w:id="158"/>
    </w:p>
    <w:p w14:paraId="681127EC" w14:textId="77777777" w:rsidR="00D706A2" w:rsidRPr="009A539C" w:rsidRDefault="00D706A2" w:rsidP="0087143A">
      <w:pPr>
        <w:rPr>
          <w:rFonts w:cs="Times New Roman"/>
          <w:b/>
          <w:color w:val="00000A"/>
          <w:sz w:val="24"/>
        </w:rPr>
      </w:pPr>
    </w:p>
    <w:p w14:paraId="7535803E" w14:textId="77777777" w:rsidR="00253CEF" w:rsidRPr="009A539C" w:rsidRDefault="00253CEF" w:rsidP="00B90788">
      <w:pPr>
        <w:spacing w:before="120" w:after="0" w:line="360" w:lineRule="auto"/>
        <w:ind w:right="-1" w:firstLine="425"/>
        <w:jc w:val="both"/>
        <w:rPr>
          <w:rFonts w:eastAsia="Calibri" w:cstheme="minorHAnsi"/>
          <w:lang w:eastAsia="pt-PT"/>
        </w:rPr>
      </w:pPr>
      <w:r w:rsidRPr="009A539C">
        <w:rPr>
          <w:rFonts w:ascii="Calibri" w:eastAsia="Calibri" w:hAnsi="Calibri" w:cs="Calibri"/>
          <w:b/>
          <w:sz w:val="23"/>
          <w:szCs w:val="23"/>
          <w:lang w:eastAsia="pt-PT"/>
        </w:rPr>
        <w:t>I</w:t>
      </w:r>
      <w:r w:rsidRPr="009A539C">
        <w:rPr>
          <w:rFonts w:ascii="Calibri" w:eastAsia="Calibri" w:hAnsi="Calibri" w:cs="Calibri"/>
          <w:b/>
          <w:lang w:eastAsia="pt-PT"/>
        </w:rPr>
        <w:t>.</w:t>
      </w:r>
      <w:r w:rsidRPr="009A539C">
        <w:rPr>
          <w:rFonts w:ascii="Calibri" w:eastAsia="Calibri" w:hAnsi="Calibri" w:cs="Calibri"/>
          <w:lang w:eastAsia="pt-PT"/>
        </w:rPr>
        <w:t xml:space="preserve"> </w:t>
      </w:r>
      <w:r w:rsidRPr="009A539C">
        <w:rPr>
          <w:rFonts w:eastAsia="Calibri" w:cstheme="minorHAnsi"/>
          <w:lang w:eastAsia="pt-PT"/>
        </w:rPr>
        <w:t xml:space="preserve">O alargamento do âmbito pessoal de aplicação das convenções publicadas no período em análise, através da celebração de acordos de adesão (AA) e da emissão de portarias de extensão (PE), tem sido variável, </w:t>
      </w:r>
      <w:r w:rsidR="00D706A2" w:rsidRPr="009A539C">
        <w:rPr>
          <w:rFonts w:eastAsia="Calibri" w:cstheme="minorHAnsi"/>
          <w:lang w:eastAsia="pt-PT"/>
        </w:rPr>
        <w:t>conforme r</w:t>
      </w:r>
      <w:r w:rsidRPr="009A539C">
        <w:rPr>
          <w:rFonts w:eastAsia="Calibri" w:cstheme="minorHAnsi"/>
          <w:lang w:eastAsia="pt-PT"/>
        </w:rPr>
        <w:t>e</w:t>
      </w:r>
      <w:r w:rsidR="00D706A2" w:rsidRPr="009A539C">
        <w:rPr>
          <w:rFonts w:eastAsia="Calibri" w:cstheme="minorHAnsi"/>
          <w:lang w:eastAsia="pt-PT"/>
        </w:rPr>
        <w:t>presenta o gráfico 10</w:t>
      </w:r>
      <w:r w:rsidRPr="009A539C">
        <w:rPr>
          <w:rFonts w:eastAsia="Calibri" w:cstheme="minorHAnsi"/>
          <w:lang w:eastAsia="pt-PT"/>
        </w:rPr>
        <w:t>.</w:t>
      </w:r>
    </w:p>
    <w:p w14:paraId="2085BFDD" w14:textId="77777777" w:rsidR="00253CEF" w:rsidRPr="009A539C" w:rsidRDefault="00253CEF" w:rsidP="00B90788">
      <w:pPr>
        <w:spacing w:before="120" w:after="0" w:line="360" w:lineRule="auto"/>
        <w:ind w:right="-1" w:firstLine="425"/>
        <w:jc w:val="both"/>
        <w:rPr>
          <w:rFonts w:ascii="Calibri" w:eastAsia="Calibri" w:hAnsi="Calibri" w:cs="Calibri"/>
          <w:sz w:val="23"/>
          <w:szCs w:val="23"/>
          <w:lang w:eastAsia="pt-PT"/>
        </w:rPr>
      </w:pPr>
    </w:p>
    <w:p w14:paraId="461E4625" w14:textId="77777777" w:rsidR="00253CEF" w:rsidRPr="009A539C" w:rsidRDefault="00253CEF" w:rsidP="00B90788">
      <w:pPr>
        <w:spacing w:line="240" w:lineRule="auto"/>
        <w:ind w:right="-1"/>
        <w:jc w:val="center"/>
        <w:rPr>
          <w:rFonts w:cs="Times New Roman"/>
          <w:b/>
          <w:bCs/>
        </w:rPr>
      </w:pPr>
      <w:bookmarkStart w:id="159" w:name="_Toc44665212"/>
      <w:r w:rsidRPr="009A539C">
        <w:rPr>
          <w:rFonts w:cs="Times New Roman"/>
          <w:b/>
          <w:bCs/>
          <w:color w:val="4F81BD" w:themeColor="accent1"/>
        </w:rPr>
        <w:t xml:space="preserve">Gráfico </w:t>
      </w:r>
      <w:r w:rsidR="009972BC" w:rsidRPr="009A539C">
        <w:rPr>
          <w:rFonts w:cs="Times New Roman"/>
          <w:b/>
          <w:bCs/>
          <w:noProof/>
          <w:color w:val="4F81BD" w:themeColor="accent1"/>
        </w:rPr>
        <w:fldChar w:fldCharType="begin"/>
      </w:r>
      <w:r w:rsidRPr="009A539C">
        <w:rPr>
          <w:rFonts w:cs="Times New Roman"/>
          <w:b/>
          <w:bCs/>
          <w:noProof/>
          <w:color w:val="4F81BD" w:themeColor="accent1"/>
        </w:rPr>
        <w:instrText xml:space="preserve"> SEQ Gráfico \* ARABIC </w:instrText>
      </w:r>
      <w:r w:rsidR="009972BC" w:rsidRPr="009A539C">
        <w:rPr>
          <w:rFonts w:cs="Times New Roman"/>
          <w:b/>
          <w:bCs/>
          <w:noProof/>
          <w:color w:val="4F81BD" w:themeColor="accent1"/>
        </w:rPr>
        <w:fldChar w:fldCharType="separate"/>
      </w:r>
      <w:r w:rsidR="00D821DE">
        <w:rPr>
          <w:rFonts w:cs="Times New Roman"/>
          <w:b/>
          <w:bCs/>
          <w:noProof/>
          <w:color w:val="4F81BD" w:themeColor="accent1"/>
        </w:rPr>
        <w:t>10</w:t>
      </w:r>
      <w:r w:rsidR="009972BC" w:rsidRPr="009A539C">
        <w:rPr>
          <w:rFonts w:cs="Times New Roman"/>
          <w:b/>
          <w:bCs/>
          <w:noProof/>
          <w:color w:val="4F81BD" w:themeColor="accent1"/>
        </w:rPr>
        <w:fldChar w:fldCharType="end"/>
      </w:r>
      <w:r w:rsidRPr="009A539C">
        <w:rPr>
          <w:rFonts w:cs="Times New Roman"/>
          <w:b/>
          <w:bCs/>
          <w:color w:val="4F81BD" w:themeColor="accent1"/>
        </w:rPr>
        <w:t xml:space="preserve"> - Evolução do nº de AA e PE publicados entre 2005 e 2019</w:t>
      </w:r>
      <w:bookmarkEnd w:id="159"/>
    </w:p>
    <w:p w14:paraId="1275D083" w14:textId="77777777" w:rsidR="00253CEF" w:rsidRPr="009A539C" w:rsidRDefault="00253CEF" w:rsidP="00B90788">
      <w:pPr>
        <w:spacing w:after="0" w:line="240" w:lineRule="auto"/>
        <w:ind w:right="-1"/>
        <w:jc w:val="center"/>
        <w:rPr>
          <w:rFonts w:cs="Times New Roman"/>
          <w:color w:val="00000A"/>
        </w:rPr>
      </w:pPr>
      <w:r w:rsidRPr="009A539C">
        <w:rPr>
          <w:rFonts w:cs="Times New Roman"/>
          <w:noProof/>
          <w:color w:val="00000A"/>
          <w:lang w:eastAsia="pt-PT"/>
        </w:rPr>
        <w:drawing>
          <wp:inline distT="0" distB="0" distL="0" distR="0" wp14:anchorId="25DB8531" wp14:editId="71916AA9">
            <wp:extent cx="3974924" cy="3623807"/>
            <wp:effectExtent l="0" t="0" r="0" b="0"/>
            <wp:docPr id="1137" name="Imagem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82802" cy="3630989"/>
                    </a:xfrm>
                    <a:prstGeom prst="rect">
                      <a:avLst/>
                    </a:prstGeom>
                    <a:noFill/>
                  </pic:spPr>
                </pic:pic>
              </a:graphicData>
            </a:graphic>
          </wp:inline>
        </w:drawing>
      </w:r>
    </w:p>
    <w:p w14:paraId="4CCCE79D" w14:textId="77777777" w:rsidR="00253CEF" w:rsidRPr="009A539C" w:rsidRDefault="00253CEF" w:rsidP="00B90788">
      <w:pPr>
        <w:spacing w:after="0" w:line="240" w:lineRule="auto"/>
        <w:ind w:right="-1"/>
        <w:rPr>
          <w:rFonts w:cs="Times New Roman"/>
          <w:color w:val="00000A"/>
        </w:rPr>
      </w:pPr>
    </w:p>
    <w:p w14:paraId="6BDE4A73" w14:textId="77777777" w:rsidR="00253CEF" w:rsidRPr="009A539C" w:rsidRDefault="00253CEF" w:rsidP="00B90788">
      <w:pPr>
        <w:spacing w:line="240" w:lineRule="auto"/>
        <w:ind w:right="-1"/>
        <w:jc w:val="center"/>
        <w:rPr>
          <w:rFonts w:cs="Times New Roman"/>
          <w:b/>
          <w:bCs/>
          <w:color w:val="4F81BD" w:themeColor="accent1"/>
          <w:sz w:val="18"/>
          <w:szCs w:val="18"/>
        </w:rPr>
      </w:pPr>
    </w:p>
    <w:p w14:paraId="49DB0481" w14:textId="77777777" w:rsidR="00253CEF" w:rsidRPr="00E742C1" w:rsidRDefault="00253CEF" w:rsidP="00B90788">
      <w:pPr>
        <w:spacing w:line="240" w:lineRule="auto"/>
        <w:ind w:right="-1"/>
        <w:jc w:val="center"/>
        <w:rPr>
          <w:rFonts w:cs="Times New Roman"/>
          <w:bCs/>
        </w:rPr>
      </w:pPr>
      <w:bookmarkStart w:id="160" w:name="_Toc45716631"/>
      <w:r w:rsidRPr="00E742C1">
        <w:rPr>
          <w:rFonts w:cs="Times New Roman"/>
          <w:bCs/>
          <w:color w:val="4F81BD" w:themeColor="accent1"/>
        </w:rPr>
        <w:t xml:space="preserve">Quadro </w:t>
      </w:r>
      <w:r w:rsidR="009972BC" w:rsidRPr="00E742C1">
        <w:rPr>
          <w:rFonts w:cs="Times New Roman"/>
          <w:bCs/>
          <w:noProof/>
          <w:color w:val="4F81BD" w:themeColor="accent1"/>
        </w:rPr>
        <w:fldChar w:fldCharType="begin"/>
      </w:r>
      <w:r w:rsidRPr="00E742C1">
        <w:rPr>
          <w:rFonts w:cs="Times New Roman"/>
          <w:bCs/>
          <w:noProof/>
          <w:color w:val="4F81BD" w:themeColor="accent1"/>
        </w:rPr>
        <w:instrText xml:space="preserve"> SEQ Quadro \* ARABIC </w:instrText>
      </w:r>
      <w:r w:rsidR="009972BC" w:rsidRPr="00E742C1">
        <w:rPr>
          <w:rFonts w:cs="Times New Roman"/>
          <w:bCs/>
          <w:noProof/>
          <w:color w:val="4F81BD" w:themeColor="accent1"/>
        </w:rPr>
        <w:fldChar w:fldCharType="separate"/>
      </w:r>
      <w:r w:rsidR="00D821DE" w:rsidRPr="00E742C1">
        <w:rPr>
          <w:rFonts w:cs="Times New Roman"/>
          <w:bCs/>
          <w:noProof/>
          <w:color w:val="4F81BD" w:themeColor="accent1"/>
        </w:rPr>
        <w:t>10</w:t>
      </w:r>
      <w:r w:rsidR="009972BC" w:rsidRPr="00E742C1">
        <w:rPr>
          <w:rFonts w:cs="Times New Roman"/>
          <w:bCs/>
          <w:noProof/>
          <w:color w:val="4F81BD" w:themeColor="accent1"/>
        </w:rPr>
        <w:fldChar w:fldCharType="end"/>
      </w:r>
      <w:r w:rsidRPr="00E742C1">
        <w:rPr>
          <w:rFonts w:cs="Times New Roman"/>
          <w:bCs/>
          <w:noProof/>
          <w:color w:val="4F81BD" w:themeColor="accent1"/>
        </w:rPr>
        <w:t xml:space="preserve"> - Acordos de Adesão e Portarias de Extensão publicadas entre 2005 e 2019</w:t>
      </w:r>
      <w:bookmarkEnd w:id="160"/>
    </w:p>
    <w:p w14:paraId="7248A3E6" w14:textId="77777777" w:rsidR="00253CEF" w:rsidRPr="009A539C" w:rsidRDefault="00FC2269" w:rsidP="00B90788">
      <w:pPr>
        <w:spacing w:after="0" w:line="240" w:lineRule="auto"/>
        <w:ind w:right="-1"/>
        <w:jc w:val="center"/>
        <w:rPr>
          <w:rFonts w:cs="Times New Roman"/>
          <w:color w:val="00000A"/>
        </w:rPr>
      </w:pPr>
      <w:r w:rsidRPr="009A539C">
        <w:rPr>
          <w:noProof/>
          <w:lang w:eastAsia="pt-PT"/>
        </w:rPr>
        <w:drawing>
          <wp:inline distT="0" distB="0" distL="0" distR="0" wp14:anchorId="72B5C8A2" wp14:editId="42DED6C7">
            <wp:extent cx="6067425" cy="1123950"/>
            <wp:effectExtent l="0" t="0" r="9525" b="0"/>
            <wp:docPr id="1204" name="Imagem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67425" cy="1123950"/>
                    </a:xfrm>
                    <a:prstGeom prst="rect">
                      <a:avLst/>
                    </a:prstGeom>
                    <a:noFill/>
                    <a:ln>
                      <a:noFill/>
                    </a:ln>
                  </pic:spPr>
                </pic:pic>
              </a:graphicData>
            </a:graphic>
          </wp:inline>
        </w:drawing>
      </w:r>
    </w:p>
    <w:p w14:paraId="67C4A2FE" w14:textId="77777777" w:rsidR="00253CEF" w:rsidRPr="009A539C" w:rsidRDefault="00253CEF" w:rsidP="00B90788">
      <w:pPr>
        <w:spacing w:after="0" w:line="240" w:lineRule="auto"/>
        <w:ind w:right="-1"/>
        <w:rPr>
          <w:rFonts w:cs="Times New Roman"/>
          <w:color w:val="00000A"/>
        </w:rPr>
      </w:pPr>
    </w:p>
    <w:p w14:paraId="7DADCE99" w14:textId="77777777" w:rsidR="00253CEF" w:rsidRPr="009A539C" w:rsidRDefault="00253CEF" w:rsidP="00B90788">
      <w:pPr>
        <w:spacing w:after="0" w:line="360" w:lineRule="auto"/>
        <w:ind w:right="-1" w:firstLine="425"/>
        <w:jc w:val="both"/>
        <w:rPr>
          <w:rFonts w:eastAsia="Calibri" w:cstheme="minorHAnsi"/>
          <w:lang w:eastAsia="pt-PT"/>
        </w:rPr>
      </w:pPr>
    </w:p>
    <w:p w14:paraId="0FDBCC1B" w14:textId="77777777" w:rsidR="00253CEF" w:rsidRPr="009A539C" w:rsidRDefault="00253CEF" w:rsidP="00B90788">
      <w:pPr>
        <w:spacing w:after="0" w:line="360" w:lineRule="auto"/>
        <w:ind w:right="-1" w:firstLine="425"/>
        <w:jc w:val="both"/>
        <w:rPr>
          <w:rFonts w:eastAsia="Calibri" w:cstheme="minorHAnsi"/>
          <w:lang w:eastAsia="pt-PT"/>
        </w:rPr>
      </w:pPr>
      <w:r w:rsidRPr="009A539C">
        <w:rPr>
          <w:rFonts w:eastAsia="Calibri" w:cstheme="minorHAnsi"/>
          <w:lang w:eastAsia="pt-PT"/>
        </w:rPr>
        <w:t>Em 2019, o número de acordos de adesão duplicou face ao ano anterior (28 em 2019, 14 em 2018), sendo o segundo mais elevado no período em análise e muito superior ao verificado anualmente entre 2006 e 2015.</w:t>
      </w:r>
    </w:p>
    <w:p w14:paraId="7E31D97C" w14:textId="77777777" w:rsidR="00253CEF" w:rsidRPr="009A539C" w:rsidRDefault="00253CEF" w:rsidP="00B90788">
      <w:pPr>
        <w:spacing w:after="0" w:line="360" w:lineRule="auto"/>
        <w:ind w:right="-1" w:firstLine="425"/>
        <w:jc w:val="both"/>
        <w:rPr>
          <w:rFonts w:eastAsia="Calibri" w:cstheme="minorHAnsi"/>
          <w:lang w:eastAsia="pt-PT"/>
        </w:rPr>
      </w:pPr>
    </w:p>
    <w:p w14:paraId="5971544B" w14:textId="77777777" w:rsidR="00253CEF" w:rsidRPr="009A539C" w:rsidRDefault="00253CEF" w:rsidP="00B90788">
      <w:pPr>
        <w:spacing w:after="0" w:line="360" w:lineRule="auto"/>
        <w:ind w:right="-1" w:firstLine="425"/>
        <w:jc w:val="both"/>
        <w:rPr>
          <w:rFonts w:eastAsia="Calibri" w:cstheme="minorHAnsi"/>
          <w:lang w:eastAsia="pt-PT"/>
        </w:rPr>
      </w:pPr>
    </w:p>
    <w:p w14:paraId="6BBBB0F6" w14:textId="77777777" w:rsidR="00253CEF" w:rsidRPr="009A539C" w:rsidRDefault="00253CEF" w:rsidP="00B90788">
      <w:pPr>
        <w:spacing w:after="0" w:line="360" w:lineRule="auto"/>
        <w:ind w:right="-1" w:firstLine="425"/>
        <w:jc w:val="both"/>
        <w:rPr>
          <w:rFonts w:cstheme="minorHAnsi"/>
          <w:lang w:eastAsia="pt-PT"/>
        </w:rPr>
      </w:pPr>
      <w:r w:rsidRPr="009A539C">
        <w:rPr>
          <w:rFonts w:eastAsia="Calibri" w:cstheme="minorHAnsi"/>
          <w:b/>
          <w:lang w:eastAsia="pt-PT"/>
        </w:rPr>
        <w:t>II</w:t>
      </w:r>
      <w:r w:rsidRPr="009A539C">
        <w:rPr>
          <w:rFonts w:eastAsia="Calibri" w:cstheme="minorHAnsi"/>
          <w:lang w:eastAsia="pt-PT"/>
        </w:rPr>
        <w:t>.</w:t>
      </w:r>
      <w:r w:rsidRPr="009A539C">
        <w:rPr>
          <w:rFonts w:eastAsia="Calibri" w:cstheme="minorHAnsi"/>
          <w:lang w:eastAsia="pt-PT"/>
        </w:rPr>
        <w:tab/>
        <w:t>O gráfico seguinte ilustra as oscilações ocorridas no número de PE publicado entre 2008 e 2019</w:t>
      </w:r>
      <w:r w:rsidRPr="009A539C">
        <w:rPr>
          <w:rFonts w:eastAsia="Calibri" w:cstheme="minorHAnsi"/>
          <w:vertAlign w:val="superscript"/>
          <w:lang w:eastAsia="pt-PT"/>
        </w:rPr>
        <w:footnoteReference w:id="24"/>
      </w:r>
      <w:r w:rsidRPr="009A539C">
        <w:rPr>
          <w:rFonts w:eastAsia="Calibri" w:cstheme="minorHAnsi"/>
          <w:lang w:eastAsia="pt-PT"/>
        </w:rPr>
        <w:t>. Verifica-se uma forte quebra a partir de 2011, que coincidiu com a assinatura do Memorando de Entendimento sobre as Condicionalidades de Política Económica. E, desde 2012,</w:t>
      </w:r>
      <w:r w:rsidRPr="009A539C">
        <w:rPr>
          <w:rFonts w:cstheme="minorHAnsi"/>
          <w:lang w:eastAsia="pt-PT"/>
        </w:rPr>
        <w:t xml:space="preserve"> o exercício da competência do ministro responsável pela área laboral para a extensão de convenções coletivas (prevista no art. 516.º, 1, do CT) encontra-se parametrizado por um conjunto de diretrizes fixadas em Resolução de Conselho de Ministros, e já desenvolvidas em relatórios anteriores</w:t>
      </w:r>
      <w:r w:rsidRPr="009A539C">
        <w:rPr>
          <w:rFonts w:cstheme="minorHAnsi"/>
          <w:vertAlign w:val="superscript"/>
          <w:lang w:eastAsia="pt-PT"/>
        </w:rPr>
        <w:footnoteReference w:id="25"/>
      </w:r>
      <w:r w:rsidRPr="009A539C">
        <w:rPr>
          <w:rFonts w:cstheme="minorHAnsi"/>
          <w:lang w:eastAsia="pt-PT"/>
        </w:rPr>
        <w:t>.</w:t>
      </w:r>
    </w:p>
    <w:p w14:paraId="1A80C6E7" w14:textId="77777777" w:rsidR="00253CEF" w:rsidRPr="009A539C" w:rsidRDefault="00572590" w:rsidP="00B90788">
      <w:pPr>
        <w:spacing w:after="0" w:line="360" w:lineRule="auto"/>
        <w:ind w:right="-1" w:firstLine="426"/>
        <w:jc w:val="both"/>
        <w:rPr>
          <w:rFonts w:eastAsia="Calibri" w:cstheme="minorHAnsi"/>
          <w:lang w:eastAsia="pt-PT"/>
        </w:rPr>
      </w:pPr>
      <w:r w:rsidRPr="009A539C">
        <w:rPr>
          <w:rFonts w:eastAsia="Calibri" w:cstheme="minorHAnsi"/>
          <w:lang w:eastAsia="pt-PT"/>
        </w:rPr>
        <w:t xml:space="preserve">Observa-se, a partir de 2014, </w:t>
      </w:r>
      <w:r w:rsidR="00253CEF" w:rsidRPr="009A539C">
        <w:rPr>
          <w:rFonts w:eastAsia="Calibri" w:cstheme="minorHAnsi"/>
          <w:lang w:eastAsia="pt-PT"/>
        </w:rPr>
        <w:t>uma recuperação paulatina</w:t>
      </w:r>
      <w:r w:rsidRPr="009A539C">
        <w:rPr>
          <w:rFonts w:eastAsia="Calibri" w:cstheme="minorHAnsi"/>
          <w:lang w:eastAsia="pt-PT"/>
        </w:rPr>
        <w:t>, com uma subida assinalável em 2017</w:t>
      </w:r>
      <w:r w:rsidR="007C02EE" w:rsidRPr="009A539C">
        <w:rPr>
          <w:rFonts w:eastAsia="Calibri" w:cstheme="minorHAnsi"/>
          <w:lang w:eastAsia="pt-PT"/>
        </w:rPr>
        <w:t>, que coincide com o</w:t>
      </w:r>
      <w:r w:rsidR="00253CEF" w:rsidRPr="009A539C">
        <w:rPr>
          <w:rFonts w:eastAsia="Calibri" w:cstheme="minorHAnsi"/>
          <w:lang w:eastAsia="pt-PT"/>
        </w:rPr>
        <w:t xml:space="preserve"> crescimento da contratação coletiva publicada n</w:t>
      </w:r>
      <w:r w:rsidR="007C02EE" w:rsidRPr="009A539C">
        <w:rPr>
          <w:rFonts w:eastAsia="Calibri" w:cstheme="minorHAnsi"/>
          <w:lang w:eastAsia="pt-PT"/>
        </w:rPr>
        <w:t>esse</w:t>
      </w:r>
      <w:r w:rsidR="00253CEF" w:rsidRPr="009A539C">
        <w:rPr>
          <w:rFonts w:eastAsia="Calibri" w:cstheme="minorHAnsi"/>
          <w:lang w:eastAsia="pt-PT"/>
        </w:rPr>
        <w:t xml:space="preserve"> ano, alavancad</w:t>
      </w:r>
      <w:r w:rsidR="00D706A2" w:rsidRPr="009A539C">
        <w:rPr>
          <w:rFonts w:eastAsia="Calibri" w:cstheme="minorHAnsi"/>
          <w:lang w:eastAsia="pt-PT"/>
        </w:rPr>
        <w:t xml:space="preserve">a </w:t>
      </w:r>
      <w:r w:rsidR="00253CEF" w:rsidRPr="009A539C">
        <w:rPr>
          <w:rFonts w:eastAsia="Calibri" w:cstheme="minorHAnsi"/>
          <w:lang w:eastAsia="pt-PT"/>
        </w:rPr>
        <w:t>pelas alterações ao procedimento da extensão determinadas pela Resolução do Co</w:t>
      </w:r>
      <w:r w:rsidR="00D706A2" w:rsidRPr="009A539C">
        <w:rPr>
          <w:rFonts w:eastAsia="Calibri" w:cstheme="minorHAnsi"/>
          <w:lang w:eastAsia="pt-PT"/>
        </w:rPr>
        <w:t>nselho de Ministros n.º 82/2017,</w:t>
      </w:r>
      <w:r w:rsidR="00D706A2" w:rsidRPr="009A539C">
        <w:rPr>
          <w:rFonts w:eastAsia="Calibri"/>
        </w:rPr>
        <w:t xml:space="preserve"> de 9 de junho</w:t>
      </w:r>
      <w:r w:rsidR="00D706A2" w:rsidRPr="009A539C">
        <w:rPr>
          <w:rFonts w:eastAsia="Calibri" w:cstheme="minorHAnsi"/>
          <w:lang w:eastAsia="pt-PT"/>
        </w:rPr>
        <w:t>.</w:t>
      </w:r>
      <w:r w:rsidR="00253CEF" w:rsidRPr="009A539C">
        <w:rPr>
          <w:rFonts w:eastAsia="Calibri" w:cstheme="minorHAnsi"/>
          <w:lang w:eastAsia="pt-PT"/>
        </w:rPr>
        <w:t xml:space="preserve"> Esta circunstância levou, nalgumas situações, à ocorrência de dois ciclos de extensão da mesma mesa negocial em 2017</w:t>
      </w:r>
      <w:r w:rsidR="007C02EE" w:rsidRPr="009A539C">
        <w:rPr>
          <w:rFonts w:eastAsia="Calibri" w:cstheme="minorHAnsi"/>
          <w:lang w:eastAsia="pt-PT"/>
        </w:rPr>
        <w:t xml:space="preserve"> </w:t>
      </w:r>
      <w:r w:rsidR="00253CEF" w:rsidRPr="009A539C">
        <w:rPr>
          <w:rFonts w:eastAsia="Calibri" w:cstheme="minorHAnsi"/>
          <w:lang w:eastAsia="pt-PT"/>
        </w:rPr>
        <w:t xml:space="preserve">e explica o relevo desse ano no conjunto da série. </w:t>
      </w:r>
    </w:p>
    <w:p w14:paraId="595B575F" w14:textId="77777777" w:rsidR="00253CEF" w:rsidRPr="009A539C" w:rsidRDefault="00253CEF" w:rsidP="00B90788">
      <w:pPr>
        <w:spacing w:after="0" w:line="360" w:lineRule="auto"/>
        <w:ind w:right="-1" w:firstLine="426"/>
        <w:jc w:val="both"/>
        <w:rPr>
          <w:rFonts w:eastAsia="Calibri" w:cstheme="minorHAnsi"/>
          <w:lang w:eastAsia="pt-PT"/>
        </w:rPr>
      </w:pPr>
      <w:r w:rsidRPr="009A539C">
        <w:rPr>
          <w:rFonts w:eastAsia="Calibri" w:cstheme="minorHAnsi"/>
          <w:lang w:eastAsia="pt-PT"/>
        </w:rPr>
        <w:t>Nos últimos dois anos, entra-se em velocidade de cruzeiro e o número de PE emitidas e o das convenções objeto de extensão (gráfico seguinte) passa a ser idêntico, mas sem superar os valores de 2017</w:t>
      </w:r>
      <w:r w:rsidRPr="009A539C">
        <w:rPr>
          <w:rFonts w:eastAsia="Calibri" w:cstheme="minorHAnsi"/>
          <w:vertAlign w:val="superscript"/>
          <w:lang w:eastAsia="pt-PT"/>
        </w:rPr>
        <w:footnoteReference w:id="26"/>
      </w:r>
      <w:r w:rsidRPr="009A539C">
        <w:rPr>
          <w:rFonts w:eastAsia="Calibri" w:cstheme="minorHAnsi"/>
          <w:lang w:eastAsia="pt-PT"/>
        </w:rPr>
        <w:t>.</w:t>
      </w:r>
    </w:p>
    <w:p w14:paraId="2033ADFB" w14:textId="77777777" w:rsidR="00253CEF" w:rsidRPr="009A539C" w:rsidRDefault="00253CEF" w:rsidP="00B90788">
      <w:pPr>
        <w:spacing w:after="0" w:line="360" w:lineRule="auto"/>
        <w:ind w:right="-1"/>
        <w:jc w:val="both"/>
        <w:rPr>
          <w:rFonts w:eastAsia="Calibri" w:cstheme="minorHAnsi"/>
          <w:lang w:eastAsia="pt-PT"/>
        </w:rPr>
      </w:pPr>
    </w:p>
    <w:p w14:paraId="79A6412F" w14:textId="77777777" w:rsidR="00253CEF" w:rsidRPr="00E742C1" w:rsidRDefault="00253CEF" w:rsidP="00B90788">
      <w:pPr>
        <w:spacing w:line="240" w:lineRule="auto"/>
        <w:ind w:right="-1"/>
        <w:jc w:val="center"/>
        <w:rPr>
          <w:rFonts w:cs="Times New Roman"/>
          <w:bCs/>
        </w:rPr>
      </w:pPr>
      <w:bookmarkStart w:id="161" w:name="_Toc44665213"/>
      <w:r w:rsidRPr="00E742C1">
        <w:rPr>
          <w:rFonts w:cs="Times New Roman"/>
          <w:bCs/>
          <w:color w:val="4F81BD" w:themeColor="accent1"/>
        </w:rPr>
        <w:t xml:space="preserve">Gráfico </w:t>
      </w:r>
      <w:r w:rsidR="009972BC" w:rsidRPr="00E742C1">
        <w:rPr>
          <w:rFonts w:cs="Times New Roman"/>
          <w:bCs/>
          <w:noProof/>
          <w:color w:val="4F81BD" w:themeColor="accent1"/>
        </w:rPr>
        <w:fldChar w:fldCharType="begin"/>
      </w:r>
      <w:r w:rsidRPr="00E742C1">
        <w:rPr>
          <w:rFonts w:cs="Times New Roman"/>
          <w:bCs/>
          <w:noProof/>
          <w:color w:val="4F81BD" w:themeColor="accent1"/>
        </w:rPr>
        <w:instrText xml:space="preserve"> SEQ Gráfico \* ARABIC </w:instrText>
      </w:r>
      <w:r w:rsidR="009972BC" w:rsidRPr="00E742C1">
        <w:rPr>
          <w:rFonts w:cs="Times New Roman"/>
          <w:bCs/>
          <w:noProof/>
          <w:color w:val="4F81BD" w:themeColor="accent1"/>
        </w:rPr>
        <w:fldChar w:fldCharType="separate"/>
      </w:r>
      <w:r w:rsidR="00D821DE" w:rsidRPr="00E742C1">
        <w:rPr>
          <w:rFonts w:cs="Times New Roman"/>
          <w:bCs/>
          <w:noProof/>
          <w:color w:val="4F81BD" w:themeColor="accent1"/>
        </w:rPr>
        <w:t>11</w:t>
      </w:r>
      <w:r w:rsidR="009972BC" w:rsidRPr="00E742C1">
        <w:rPr>
          <w:rFonts w:cs="Times New Roman"/>
          <w:bCs/>
          <w:noProof/>
          <w:color w:val="4F81BD" w:themeColor="accent1"/>
        </w:rPr>
        <w:fldChar w:fldCharType="end"/>
      </w:r>
      <w:r w:rsidRPr="00E742C1">
        <w:rPr>
          <w:rFonts w:cs="Times New Roman"/>
          <w:bCs/>
          <w:color w:val="4F81BD" w:themeColor="accent1"/>
        </w:rPr>
        <w:t xml:space="preserve"> - Portarias de extensão publicadas e nº de convenções objeto de extensão (2008 a 2019)</w:t>
      </w:r>
      <w:bookmarkEnd w:id="161"/>
      <w:r w:rsidRPr="00E742C1">
        <w:rPr>
          <w:rFonts w:cs="Times New Roman"/>
          <w:bCs/>
        </w:rPr>
        <w:t xml:space="preserve"> </w:t>
      </w:r>
    </w:p>
    <w:p w14:paraId="7A1FA174" w14:textId="77777777" w:rsidR="00253CEF" w:rsidRPr="009A539C" w:rsidRDefault="00253CEF" w:rsidP="00B90788">
      <w:pPr>
        <w:spacing w:after="0" w:line="240" w:lineRule="auto"/>
        <w:ind w:right="-1"/>
        <w:jc w:val="center"/>
        <w:rPr>
          <w:rFonts w:cs="Times New Roman"/>
          <w:color w:val="00000A"/>
        </w:rPr>
      </w:pPr>
      <w:r w:rsidRPr="009A539C">
        <w:rPr>
          <w:rFonts w:cs="Times New Roman"/>
          <w:noProof/>
          <w:color w:val="00000A"/>
          <w:lang w:eastAsia="pt-PT"/>
        </w:rPr>
        <w:drawing>
          <wp:inline distT="0" distB="0" distL="0" distR="0" wp14:anchorId="79E267BB" wp14:editId="7DB27029">
            <wp:extent cx="4800600" cy="2667530"/>
            <wp:effectExtent l="0" t="0" r="0" b="0"/>
            <wp:docPr id="1139" name="Imagem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09519" cy="2672486"/>
                    </a:xfrm>
                    <a:prstGeom prst="rect">
                      <a:avLst/>
                    </a:prstGeom>
                    <a:noFill/>
                  </pic:spPr>
                </pic:pic>
              </a:graphicData>
            </a:graphic>
          </wp:inline>
        </w:drawing>
      </w:r>
    </w:p>
    <w:p w14:paraId="2A81E93C" w14:textId="77777777" w:rsidR="00253CEF" w:rsidRPr="009A539C" w:rsidRDefault="00253CEF" w:rsidP="00B90788">
      <w:pPr>
        <w:spacing w:after="0" w:line="240" w:lineRule="auto"/>
        <w:ind w:right="-1"/>
        <w:rPr>
          <w:rFonts w:cs="Times New Roman"/>
          <w:color w:val="00000A"/>
        </w:rPr>
      </w:pPr>
    </w:p>
    <w:p w14:paraId="54DD73A5" w14:textId="77777777" w:rsidR="00253CEF" w:rsidRPr="009A539C" w:rsidRDefault="00253CEF" w:rsidP="00B90788">
      <w:pPr>
        <w:spacing w:after="0" w:line="240" w:lineRule="auto"/>
        <w:ind w:right="-1"/>
        <w:rPr>
          <w:rFonts w:cs="Times New Roman"/>
          <w:color w:val="00000A"/>
        </w:rPr>
      </w:pPr>
    </w:p>
    <w:p w14:paraId="4EAA5A68" w14:textId="612131DE" w:rsidR="00A4795E" w:rsidRPr="009A539C" w:rsidRDefault="004303ED" w:rsidP="00B90788">
      <w:pPr>
        <w:spacing w:before="240" w:after="0" w:line="360" w:lineRule="auto"/>
        <w:ind w:right="-1" w:firstLine="426"/>
        <w:jc w:val="both"/>
        <w:rPr>
          <w:rFonts w:eastAsia="Calibri" w:cstheme="minorHAnsi"/>
          <w:lang w:eastAsia="pt-PT"/>
        </w:rPr>
      </w:pPr>
      <w:r w:rsidRPr="009A539C">
        <w:rPr>
          <w:rFonts w:eastAsia="Calibri" w:cstheme="minorHAnsi"/>
          <w:lang w:eastAsia="pt-PT"/>
        </w:rPr>
        <w:t>O quadro 11 apresenta, desde 2005, a dinâmica</w:t>
      </w:r>
      <w:r w:rsidR="00A4795E" w:rsidRPr="009A539C">
        <w:rPr>
          <w:rFonts w:eastAsia="Calibri" w:cstheme="minorHAnsi"/>
          <w:lang w:eastAsia="pt-PT"/>
        </w:rPr>
        <w:t xml:space="preserve"> procedimental</w:t>
      </w:r>
      <w:r w:rsidRPr="009A539C">
        <w:rPr>
          <w:rFonts w:eastAsia="Calibri" w:cstheme="minorHAnsi"/>
          <w:lang w:eastAsia="pt-PT"/>
        </w:rPr>
        <w:t xml:space="preserve"> observada na extensão de convenções coletivas, por via de </w:t>
      </w:r>
      <w:bookmarkStart w:id="162" w:name="_Toc487122740"/>
      <w:bookmarkStart w:id="163" w:name="_Toc517332046"/>
      <w:r w:rsidR="00A4795E" w:rsidRPr="009A539C">
        <w:rPr>
          <w:rFonts w:eastAsia="Calibri" w:cstheme="minorHAnsi"/>
          <w:lang w:eastAsia="pt-PT"/>
        </w:rPr>
        <w:t>portarias de extensão publicadas</w:t>
      </w:r>
      <w:r w:rsidR="00746994" w:rsidRPr="009A539C">
        <w:rPr>
          <w:rFonts w:eastAsia="Calibri" w:cstheme="minorHAnsi"/>
          <w:lang w:eastAsia="pt-PT"/>
        </w:rPr>
        <w:t xml:space="preserve">. </w:t>
      </w:r>
      <w:r w:rsidR="00A4795E" w:rsidRPr="009A539C">
        <w:rPr>
          <w:rFonts w:eastAsia="Calibri" w:cstheme="minorHAnsi"/>
          <w:lang w:eastAsia="pt-PT"/>
        </w:rPr>
        <w:t>Para além das pronúncias de oposição à extensão dessa convenção, é usual a portaria mencionar as delimitações do seu âmbito subjetivo, motivadas pela existência de outras convenções no mesmo setor. Essas delimitações do âmbito subjetivo da extensão resultam de critérios consolidados e usados pela Administração há vários anos</w:t>
      </w:r>
      <w:r w:rsidR="00A4795E" w:rsidRPr="009A539C">
        <w:rPr>
          <w:rFonts w:eastAsia="Calibri" w:cstheme="minorHAnsi"/>
          <w:vertAlign w:val="superscript"/>
          <w:lang w:eastAsia="pt-PT"/>
        </w:rPr>
        <w:footnoteReference w:id="27"/>
      </w:r>
      <w:r w:rsidR="00A4795E" w:rsidRPr="009A539C">
        <w:rPr>
          <w:rFonts w:eastAsia="Calibri" w:cstheme="minorHAnsi"/>
          <w:lang w:eastAsia="pt-PT"/>
        </w:rPr>
        <w:t xml:space="preserve">, existindo também orientações jurisprudenciais firmes a considerar. </w:t>
      </w:r>
    </w:p>
    <w:p w14:paraId="785B1CF9" w14:textId="77777777" w:rsidR="00253CEF" w:rsidRPr="009A539C" w:rsidRDefault="00253CEF" w:rsidP="00B90788">
      <w:pPr>
        <w:spacing w:after="0" w:line="360" w:lineRule="auto"/>
        <w:ind w:right="-1" w:firstLine="425"/>
        <w:jc w:val="both"/>
        <w:rPr>
          <w:rFonts w:ascii="Calibri" w:eastAsia="Calibri" w:hAnsi="Calibri" w:cs="Calibri"/>
          <w:sz w:val="23"/>
          <w:szCs w:val="23"/>
          <w:lang w:eastAsia="pt-PT"/>
        </w:rPr>
      </w:pPr>
    </w:p>
    <w:p w14:paraId="5A736A73" w14:textId="77777777" w:rsidR="00253CEF" w:rsidRPr="00E742C1" w:rsidRDefault="00253CEF" w:rsidP="00B90788">
      <w:pPr>
        <w:spacing w:line="240" w:lineRule="auto"/>
        <w:ind w:right="-1"/>
        <w:jc w:val="center"/>
        <w:rPr>
          <w:rFonts w:ascii="Calibri" w:eastAsia="Calibri" w:hAnsi="Calibri" w:cs="Times New Roman"/>
          <w:noProof/>
          <w:color w:val="5B9BD5"/>
          <w:lang w:eastAsia="pt-PT"/>
        </w:rPr>
      </w:pPr>
      <w:bookmarkStart w:id="164" w:name="_Toc45716632"/>
      <w:r w:rsidRPr="00E742C1">
        <w:rPr>
          <w:rFonts w:cs="Times New Roman"/>
          <w:bCs/>
          <w:color w:val="4F81BD" w:themeColor="accent1"/>
        </w:rPr>
        <w:t xml:space="preserve">Quadro </w:t>
      </w:r>
      <w:r w:rsidR="009972BC" w:rsidRPr="00E742C1">
        <w:rPr>
          <w:rFonts w:cs="Times New Roman"/>
          <w:bCs/>
          <w:noProof/>
          <w:color w:val="4F81BD" w:themeColor="accent1"/>
        </w:rPr>
        <w:fldChar w:fldCharType="begin"/>
      </w:r>
      <w:r w:rsidRPr="00E742C1">
        <w:rPr>
          <w:rFonts w:cs="Times New Roman"/>
          <w:bCs/>
          <w:noProof/>
          <w:color w:val="4F81BD" w:themeColor="accent1"/>
        </w:rPr>
        <w:instrText xml:space="preserve"> SEQ Quadro \* ARABIC </w:instrText>
      </w:r>
      <w:r w:rsidR="009972BC" w:rsidRPr="00E742C1">
        <w:rPr>
          <w:rFonts w:cs="Times New Roman"/>
          <w:bCs/>
          <w:noProof/>
          <w:color w:val="4F81BD" w:themeColor="accent1"/>
        </w:rPr>
        <w:fldChar w:fldCharType="separate"/>
      </w:r>
      <w:r w:rsidR="00D821DE" w:rsidRPr="00E742C1">
        <w:rPr>
          <w:rFonts w:cs="Times New Roman"/>
          <w:bCs/>
          <w:noProof/>
          <w:color w:val="4F81BD" w:themeColor="accent1"/>
        </w:rPr>
        <w:t>11</w:t>
      </w:r>
      <w:r w:rsidR="009972BC" w:rsidRPr="00E742C1">
        <w:rPr>
          <w:rFonts w:cs="Times New Roman"/>
          <w:bCs/>
          <w:noProof/>
          <w:color w:val="4F81BD" w:themeColor="accent1"/>
        </w:rPr>
        <w:fldChar w:fldCharType="end"/>
      </w:r>
      <w:r w:rsidRPr="00E742C1">
        <w:rPr>
          <w:rFonts w:cs="Times New Roman"/>
          <w:bCs/>
          <w:color w:val="4F81BD" w:themeColor="accent1"/>
        </w:rPr>
        <w:t xml:space="preserve">- </w:t>
      </w:r>
      <w:bookmarkStart w:id="165" w:name="_Toc487122741"/>
      <w:bookmarkStart w:id="166" w:name="_Toc517332047"/>
      <w:r w:rsidRPr="00E742C1">
        <w:rPr>
          <w:rFonts w:cs="Times New Roman"/>
          <w:bCs/>
          <w:color w:val="4F81BD" w:themeColor="accent1"/>
        </w:rPr>
        <w:t>Pedidos de extensão (incluindo indeferimentos), oposições, PE publicadas e convenções objeto de extensão (2005 a 2019)</w:t>
      </w:r>
      <w:bookmarkEnd w:id="164"/>
      <w:r w:rsidRPr="00E742C1">
        <w:rPr>
          <w:rFonts w:ascii="Calibri" w:eastAsia="Calibri" w:hAnsi="Calibri" w:cs="Times New Roman"/>
          <w:noProof/>
          <w:color w:val="5B9BD5"/>
          <w:lang w:eastAsia="pt-PT"/>
        </w:rPr>
        <w:t xml:space="preserve"> </w:t>
      </w:r>
      <w:bookmarkEnd w:id="162"/>
      <w:bookmarkEnd w:id="163"/>
      <w:bookmarkEnd w:id="165"/>
      <w:bookmarkEnd w:id="166"/>
    </w:p>
    <w:p w14:paraId="18C7B07F" w14:textId="77777777" w:rsidR="00253CEF" w:rsidRPr="009A539C" w:rsidRDefault="00253CEF" w:rsidP="00B90788">
      <w:pPr>
        <w:spacing w:after="0" w:line="240" w:lineRule="auto"/>
        <w:ind w:right="-1"/>
        <w:jc w:val="center"/>
        <w:rPr>
          <w:rFonts w:cs="Times New Roman"/>
          <w:color w:val="00000A"/>
          <w:lang w:eastAsia="pt-PT"/>
        </w:rPr>
      </w:pPr>
      <w:r w:rsidRPr="009A539C">
        <w:rPr>
          <w:rFonts w:cs="Times New Roman"/>
          <w:noProof/>
          <w:color w:val="00000A"/>
          <w:lang w:eastAsia="pt-PT"/>
        </w:rPr>
        <w:drawing>
          <wp:inline distT="0" distB="0" distL="0" distR="0" wp14:anchorId="4185BF38" wp14:editId="43059798">
            <wp:extent cx="5671185" cy="1900531"/>
            <wp:effectExtent l="0" t="0" r="5715" b="5080"/>
            <wp:docPr id="1140" name="Imagem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71185" cy="1900531"/>
                    </a:xfrm>
                    <a:prstGeom prst="rect">
                      <a:avLst/>
                    </a:prstGeom>
                    <a:noFill/>
                    <a:ln>
                      <a:noFill/>
                    </a:ln>
                  </pic:spPr>
                </pic:pic>
              </a:graphicData>
            </a:graphic>
          </wp:inline>
        </w:drawing>
      </w:r>
    </w:p>
    <w:p w14:paraId="3FCAAF22" w14:textId="77777777" w:rsidR="00253CEF" w:rsidRPr="009A539C" w:rsidRDefault="00253CEF" w:rsidP="00B90788">
      <w:pPr>
        <w:spacing w:after="0" w:line="240" w:lineRule="auto"/>
        <w:ind w:right="-1"/>
        <w:rPr>
          <w:rFonts w:cs="Times New Roman"/>
          <w:color w:val="00000A"/>
          <w:lang w:eastAsia="pt-PT"/>
        </w:rPr>
      </w:pPr>
    </w:p>
    <w:p w14:paraId="66B8A501" w14:textId="77777777" w:rsidR="00253CEF" w:rsidRPr="009A539C" w:rsidRDefault="00820AA8" w:rsidP="00B90788">
      <w:pPr>
        <w:spacing w:before="240" w:after="0" w:line="360" w:lineRule="auto"/>
        <w:ind w:right="-1" w:firstLine="426"/>
        <w:jc w:val="both"/>
        <w:rPr>
          <w:rFonts w:cs="Times New Roman"/>
          <w:b/>
          <w:color w:val="00000A"/>
          <w:sz w:val="24"/>
          <w:szCs w:val="23"/>
        </w:rPr>
      </w:pPr>
      <w:bookmarkStart w:id="167" w:name="_Toc508689403"/>
      <w:bookmarkStart w:id="168" w:name="_Toc517331435"/>
      <w:bookmarkStart w:id="169" w:name="_Toc4077003"/>
      <w:bookmarkStart w:id="170" w:name="_Toc4160720"/>
      <w:bookmarkStart w:id="171" w:name="_Toc4167076"/>
      <w:bookmarkStart w:id="172" w:name="_Toc5697100"/>
      <w:bookmarkStart w:id="173" w:name="_Toc5698091"/>
      <w:bookmarkStart w:id="174" w:name="_Toc6499359"/>
      <w:bookmarkStart w:id="175" w:name="_Toc7017672"/>
      <w:bookmarkStart w:id="176" w:name="_Toc11145193"/>
      <w:r w:rsidRPr="009A539C">
        <w:rPr>
          <w:rFonts w:cs="Times New Roman"/>
          <w:b/>
          <w:color w:val="00000A"/>
          <w:sz w:val="23"/>
          <w:szCs w:val="23"/>
        </w:rPr>
        <w:t xml:space="preserve">3.1.4. </w:t>
      </w:r>
      <w:r w:rsidR="00253CEF" w:rsidRPr="009A539C">
        <w:rPr>
          <w:rFonts w:cs="Times New Roman"/>
          <w:b/>
          <w:color w:val="00000A"/>
          <w:sz w:val="24"/>
          <w:szCs w:val="23"/>
        </w:rPr>
        <w:t>Portarias de Condições de Trabalho</w:t>
      </w:r>
      <w:bookmarkEnd w:id="167"/>
      <w:bookmarkEnd w:id="168"/>
      <w:bookmarkEnd w:id="169"/>
      <w:bookmarkEnd w:id="170"/>
      <w:bookmarkEnd w:id="171"/>
      <w:bookmarkEnd w:id="172"/>
      <w:bookmarkEnd w:id="173"/>
      <w:bookmarkEnd w:id="174"/>
      <w:bookmarkEnd w:id="175"/>
      <w:bookmarkEnd w:id="176"/>
      <w:r w:rsidR="00253CEF" w:rsidRPr="009A539C">
        <w:rPr>
          <w:rFonts w:cs="Times New Roman"/>
          <w:b/>
          <w:color w:val="00000A"/>
          <w:sz w:val="24"/>
          <w:szCs w:val="23"/>
        </w:rPr>
        <w:t xml:space="preserve"> </w:t>
      </w:r>
    </w:p>
    <w:p w14:paraId="549EF732" w14:textId="4E3E31F9" w:rsidR="00253CEF" w:rsidRPr="009A539C" w:rsidRDefault="00253CEF" w:rsidP="00B90788">
      <w:pPr>
        <w:spacing w:before="120" w:after="0" w:line="360" w:lineRule="auto"/>
        <w:ind w:right="-1" w:firstLine="425"/>
        <w:jc w:val="both"/>
        <w:rPr>
          <w:rFonts w:eastAsia="Calibri" w:cstheme="minorHAnsi"/>
        </w:rPr>
      </w:pPr>
      <w:bookmarkStart w:id="177" w:name="_Toc487122742"/>
      <w:bookmarkStart w:id="178" w:name="_Toc517332048"/>
      <w:r w:rsidRPr="009A539C">
        <w:rPr>
          <w:rFonts w:eastAsia="Calibri" w:cstheme="minorHAnsi"/>
          <w:lang w:eastAsia="pt-PT"/>
        </w:rPr>
        <w:t xml:space="preserve"> Como </w:t>
      </w:r>
      <w:r w:rsidR="00E51385" w:rsidRPr="009A539C">
        <w:rPr>
          <w:rFonts w:eastAsia="Calibri" w:cstheme="minorHAnsi"/>
          <w:lang w:eastAsia="pt-PT"/>
        </w:rPr>
        <w:t>assinalado em</w:t>
      </w:r>
      <w:r w:rsidRPr="009A539C">
        <w:rPr>
          <w:rFonts w:eastAsia="Calibri" w:cstheme="minorHAnsi"/>
          <w:lang w:eastAsia="pt-PT"/>
        </w:rPr>
        <w:t xml:space="preserve"> Relatórios anteriores, é muito limitada a emissão de portarias de condições de trabalho (PCT). Na realidade, em seis dos anos da série representada no quadro seguinte não foi publicada qualquer PCT. Em 2019 foi publicada uma PCT (para os trabalhadores administrativos não abrangidos por regulamentação coletiva específica), a qual, e</w:t>
      </w:r>
      <w:r w:rsidRPr="009A539C">
        <w:rPr>
          <w:rFonts w:eastAsia="Calibri" w:cstheme="minorHAnsi"/>
        </w:rPr>
        <w:t>m bom rigor, é uma revisão parcial da PCT publicada em 2018, onde é atualizada a matéria remuneratória: subsídio de refeição e tabela salarial</w:t>
      </w:r>
      <w:r w:rsidRPr="009A539C">
        <w:rPr>
          <w:rFonts w:eastAsia="Calibri" w:cstheme="minorHAnsi"/>
          <w:vertAlign w:val="superscript"/>
        </w:rPr>
        <w:footnoteReference w:id="28"/>
      </w:r>
      <w:r w:rsidR="006D55A6" w:rsidRPr="009A539C">
        <w:rPr>
          <w:rFonts w:eastAsia="Calibri" w:cstheme="minorHAnsi"/>
        </w:rPr>
        <w:t>.</w:t>
      </w:r>
    </w:p>
    <w:p w14:paraId="43100A67" w14:textId="77777777" w:rsidR="006D55A6" w:rsidRPr="009A539C" w:rsidRDefault="006D55A6" w:rsidP="00B90788">
      <w:pPr>
        <w:spacing w:before="120" w:after="0" w:line="360" w:lineRule="auto"/>
        <w:ind w:right="-1" w:firstLine="425"/>
        <w:jc w:val="both"/>
        <w:rPr>
          <w:rFonts w:eastAsia="Calibri" w:cstheme="minorHAnsi"/>
          <w:lang w:eastAsia="pt-PT"/>
        </w:rPr>
      </w:pPr>
    </w:p>
    <w:p w14:paraId="4D1F32E2" w14:textId="77777777" w:rsidR="00253CEF" w:rsidRPr="00E742C1" w:rsidRDefault="00253CEF" w:rsidP="00B90788">
      <w:pPr>
        <w:spacing w:line="240" w:lineRule="auto"/>
        <w:ind w:right="-1"/>
        <w:jc w:val="center"/>
        <w:rPr>
          <w:rFonts w:cs="Times New Roman"/>
          <w:bCs/>
        </w:rPr>
      </w:pPr>
      <w:bookmarkStart w:id="179" w:name="_Toc45716633"/>
      <w:r w:rsidRPr="00E742C1">
        <w:rPr>
          <w:rFonts w:cs="Times New Roman"/>
          <w:bCs/>
          <w:color w:val="4F81BD" w:themeColor="accent1"/>
        </w:rPr>
        <w:t xml:space="preserve">Quadro </w:t>
      </w:r>
      <w:r w:rsidR="009972BC" w:rsidRPr="00E742C1">
        <w:rPr>
          <w:rFonts w:cs="Times New Roman"/>
          <w:bCs/>
          <w:noProof/>
          <w:color w:val="4F81BD" w:themeColor="accent1"/>
        </w:rPr>
        <w:fldChar w:fldCharType="begin"/>
      </w:r>
      <w:r w:rsidRPr="00E742C1">
        <w:rPr>
          <w:rFonts w:cs="Times New Roman"/>
          <w:bCs/>
          <w:noProof/>
          <w:color w:val="4F81BD" w:themeColor="accent1"/>
        </w:rPr>
        <w:instrText xml:space="preserve"> SEQ Quadro \* ARABIC </w:instrText>
      </w:r>
      <w:r w:rsidR="009972BC" w:rsidRPr="00E742C1">
        <w:rPr>
          <w:rFonts w:cs="Times New Roman"/>
          <w:bCs/>
          <w:noProof/>
          <w:color w:val="4F81BD" w:themeColor="accent1"/>
        </w:rPr>
        <w:fldChar w:fldCharType="separate"/>
      </w:r>
      <w:r w:rsidR="00D821DE" w:rsidRPr="00E742C1">
        <w:rPr>
          <w:rFonts w:cs="Times New Roman"/>
          <w:bCs/>
          <w:noProof/>
          <w:color w:val="4F81BD" w:themeColor="accent1"/>
        </w:rPr>
        <w:t>12</w:t>
      </w:r>
      <w:r w:rsidR="009972BC" w:rsidRPr="00E742C1">
        <w:rPr>
          <w:rFonts w:cs="Times New Roman"/>
          <w:bCs/>
          <w:noProof/>
          <w:color w:val="4F81BD" w:themeColor="accent1"/>
        </w:rPr>
        <w:fldChar w:fldCharType="end"/>
      </w:r>
      <w:r w:rsidRPr="00E742C1">
        <w:rPr>
          <w:rFonts w:cs="Times New Roman"/>
          <w:bCs/>
          <w:color w:val="4F81BD" w:themeColor="accent1"/>
        </w:rPr>
        <w:t xml:space="preserve"> - PCT publicadas entre 2005 e 2019</w:t>
      </w:r>
      <w:bookmarkEnd w:id="179"/>
      <w:r w:rsidRPr="00E742C1">
        <w:rPr>
          <w:rFonts w:cs="Times New Roman"/>
          <w:bCs/>
        </w:rPr>
        <w:t xml:space="preserve"> </w:t>
      </w:r>
    </w:p>
    <w:p w14:paraId="40EFE3E4" w14:textId="77777777" w:rsidR="00253CEF" w:rsidRPr="009A539C" w:rsidRDefault="00253CEF" w:rsidP="00B90788">
      <w:pPr>
        <w:spacing w:after="0" w:line="240" w:lineRule="auto"/>
        <w:ind w:right="-1"/>
        <w:jc w:val="center"/>
        <w:rPr>
          <w:rFonts w:cs="Times New Roman"/>
          <w:color w:val="00000A"/>
        </w:rPr>
      </w:pPr>
      <w:r w:rsidRPr="009A539C">
        <w:rPr>
          <w:rFonts w:cs="Times New Roman"/>
          <w:noProof/>
          <w:color w:val="00000A"/>
          <w:lang w:eastAsia="pt-PT"/>
        </w:rPr>
        <w:drawing>
          <wp:inline distT="0" distB="0" distL="0" distR="0" wp14:anchorId="48956A4D" wp14:editId="271BDBC6">
            <wp:extent cx="5671185" cy="1071572"/>
            <wp:effectExtent l="0" t="0" r="5715" b="0"/>
            <wp:docPr id="1141" name="Imagem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71185" cy="1071572"/>
                    </a:xfrm>
                    <a:prstGeom prst="rect">
                      <a:avLst/>
                    </a:prstGeom>
                    <a:noFill/>
                    <a:ln>
                      <a:noFill/>
                    </a:ln>
                  </pic:spPr>
                </pic:pic>
              </a:graphicData>
            </a:graphic>
          </wp:inline>
        </w:drawing>
      </w:r>
    </w:p>
    <w:bookmarkEnd w:id="177"/>
    <w:bookmarkEnd w:id="178"/>
    <w:p w14:paraId="4E0668DC" w14:textId="77777777" w:rsidR="00253CEF" w:rsidRPr="009A539C" w:rsidRDefault="00253CEF" w:rsidP="00B90788">
      <w:pPr>
        <w:spacing w:after="0"/>
        <w:ind w:right="-1"/>
        <w:jc w:val="center"/>
        <w:rPr>
          <w:rFonts w:ascii="Calibri" w:eastAsia="Calibri" w:hAnsi="Calibri" w:cs="Times New Roman"/>
          <w:color w:val="00000A"/>
        </w:rPr>
      </w:pPr>
    </w:p>
    <w:p w14:paraId="23099B0C" w14:textId="77777777" w:rsidR="00253CEF" w:rsidRPr="009A539C" w:rsidRDefault="00820AA8" w:rsidP="0087143A">
      <w:pPr>
        <w:spacing w:before="240" w:after="0" w:line="360" w:lineRule="auto"/>
        <w:ind w:right="-1" w:firstLine="426"/>
        <w:jc w:val="both"/>
        <w:rPr>
          <w:rFonts w:cs="Times New Roman"/>
          <w:b/>
          <w:color w:val="00000A"/>
          <w:sz w:val="23"/>
          <w:szCs w:val="23"/>
        </w:rPr>
      </w:pPr>
      <w:bookmarkStart w:id="180" w:name="_Toc508689405"/>
      <w:bookmarkStart w:id="181" w:name="_Toc517331436"/>
      <w:bookmarkStart w:id="182" w:name="_Toc4167077"/>
      <w:bookmarkStart w:id="183" w:name="_Toc5697101"/>
      <w:bookmarkStart w:id="184" w:name="_Toc5698092"/>
      <w:bookmarkStart w:id="185" w:name="_Toc6499360"/>
      <w:bookmarkStart w:id="186" w:name="_Toc7017673"/>
      <w:bookmarkStart w:id="187" w:name="_Toc11145194"/>
      <w:r w:rsidRPr="009A539C">
        <w:rPr>
          <w:rFonts w:cs="Times New Roman"/>
          <w:b/>
          <w:color w:val="00000A"/>
          <w:sz w:val="23"/>
          <w:szCs w:val="23"/>
        </w:rPr>
        <w:t xml:space="preserve">3.1.5 </w:t>
      </w:r>
      <w:r w:rsidR="00253CEF" w:rsidRPr="009A539C">
        <w:rPr>
          <w:rFonts w:cs="Times New Roman"/>
          <w:b/>
          <w:color w:val="00000A"/>
          <w:sz w:val="23"/>
          <w:szCs w:val="23"/>
        </w:rPr>
        <w:t>Cessação da vigência das convenções coletivas</w:t>
      </w:r>
      <w:bookmarkEnd w:id="180"/>
      <w:bookmarkEnd w:id="181"/>
      <w:bookmarkEnd w:id="182"/>
      <w:bookmarkEnd w:id="183"/>
      <w:bookmarkEnd w:id="184"/>
      <w:bookmarkEnd w:id="185"/>
      <w:bookmarkEnd w:id="186"/>
      <w:bookmarkEnd w:id="187"/>
    </w:p>
    <w:p w14:paraId="428DE8AF" w14:textId="77777777" w:rsidR="00253CEF" w:rsidRPr="009A539C" w:rsidRDefault="00253CEF" w:rsidP="00B90788">
      <w:pPr>
        <w:keepLines/>
        <w:tabs>
          <w:tab w:val="left" w:pos="851"/>
        </w:tabs>
        <w:spacing w:before="240" w:after="0" w:line="360" w:lineRule="auto"/>
        <w:ind w:right="-1" w:firstLine="425"/>
        <w:jc w:val="both"/>
        <w:rPr>
          <w:rFonts w:eastAsia="Calibri" w:cstheme="minorHAnsi"/>
          <w:lang w:eastAsia="pt-PT"/>
        </w:rPr>
      </w:pPr>
      <w:r w:rsidRPr="009A539C">
        <w:rPr>
          <w:rFonts w:ascii="Calibri" w:eastAsia="Calibri" w:hAnsi="Calibri" w:cs="Calibri"/>
          <w:b/>
          <w:sz w:val="23"/>
          <w:szCs w:val="23"/>
          <w:lang w:eastAsia="pt-PT"/>
        </w:rPr>
        <w:t xml:space="preserve">I. </w:t>
      </w:r>
      <w:r w:rsidR="00D77DD9" w:rsidRPr="009A539C">
        <w:rPr>
          <w:rFonts w:eastAsia="Calibri" w:cstheme="minorHAnsi"/>
          <w:lang w:eastAsia="pt-PT"/>
        </w:rPr>
        <w:t>Neste ponto abordam-se</w:t>
      </w:r>
      <w:r w:rsidRPr="009A539C">
        <w:rPr>
          <w:rFonts w:eastAsia="Calibri" w:cstheme="minorHAnsi"/>
          <w:lang w:eastAsia="pt-PT"/>
        </w:rPr>
        <w:t xml:space="preserve"> as duas formas de cessação da vigência de convenções coletivas previstas expressamente no artigo 502.º, 1, do CT (revogação e caducidade)</w:t>
      </w:r>
      <w:r w:rsidR="00D77DD9" w:rsidRPr="009A539C">
        <w:rPr>
          <w:rFonts w:eastAsia="Calibri" w:cstheme="minorHAnsi"/>
          <w:lang w:eastAsia="pt-PT"/>
        </w:rPr>
        <w:t>, onde se constatam poucas ocorrência no período em análise</w:t>
      </w:r>
      <w:r w:rsidRPr="009A539C">
        <w:rPr>
          <w:rFonts w:eastAsia="Calibri" w:cstheme="minorHAnsi"/>
          <w:lang w:eastAsia="pt-PT"/>
        </w:rPr>
        <w:t xml:space="preserve">. </w:t>
      </w:r>
    </w:p>
    <w:p w14:paraId="59246CCC" w14:textId="77777777" w:rsidR="00253CEF" w:rsidRPr="009A539C" w:rsidRDefault="00253CEF" w:rsidP="00B90788">
      <w:pPr>
        <w:tabs>
          <w:tab w:val="left" w:pos="851"/>
        </w:tabs>
        <w:spacing w:before="240" w:after="0" w:line="360" w:lineRule="auto"/>
        <w:ind w:right="-1" w:firstLine="425"/>
        <w:jc w:val="both"/>
        <w:rPr>
          <w:rFonts w:eastAsia="Calibri" w:cstheme="minorHAnsi"/>
          <w:lang w:eastAsia="pt-PT"/>
        </w:rPr>
      </w:pPr>
      <w:r w:rsidRPr="009A539C">
        <w:rPr>
          <w:rFonts w:eastAsia="Calibri" w:cstheme="minorHAnsi"/>
          <w:b/>
          <w:lang w:eastAsia="pt-PT"/>
        </w:rPr>
        <w:t>II.</w:t>
      </w:r>
      <w:r w:rsidRPr="009A539C">
        <w:rPr>
          <w:rFonts w:eastAsia="Calibri" w:cstheme="minorHAnsi"/>
          <w:lang w:eastAsia="pt-PT"/>
        </w:rPr>
        <w:tab/>
        <w:t xml:space="preserve">Em 2019 foi publicado 1 acordo de revogação (sendo relevante recordar que entre 2005 e 2019 foram publicados 11 acordos de revogação expressa). Os sujeitos coletivos optam, quase sempre, pela revisão global da convenção. Na maior parte dos casos, a outorga destes acordos é seguida pela celebração de outras convenções (cfr. quadro seguinte). </w:t>
      </w:r>
      <w:bookmarkStart w:id="188" w:name="_Toc517332049"/>
    </w:p>
    <w:p w14:paraId="7FC01079" w14:textId="77777777" w:rsidR="00253CEF" w:rsidRPr="00E742C1" w:rsidRDefault="00253CEF" w:rsidP="00B90788">
      <w:pPr>
        <w:spacing w:line="240" w:lineRule="auto"/>
        <w:ind w:right="-1"/>
        <w:jc w:val="center"/>
        <w:rPr>
          <w:rFonts w:cs="Times New Roman"/>
          <w:bCs/>
          <w:color w:val="4F81BD" w:themeColor="accent1"/>
        </w:rPr>
      </w:pPr>
      <w:bookmarkStart w:id="189" w:name="_Toc45716634"/>
      <w:r w:rsidRPr="00E742C1">
        <w:rPr>
          <w:rFonts w:cs="Times New Roman"/>
          <w:bCs/>
          <w:color w:val="4F81BD" w:themeColor="accent1"/>
        </w:rPr>
        <w:t xml:space="preserve">Quadro </w:t>
      </w:r>
      <w:r w:rsidR="009972BC" w:rsidRPr="00E742C1">
        <w:rPr>
          <w:rFonts w:cs="Times New Roman"/>
          <w:bCs/>
          <w:noProof/>
          <w:color w:val="4F81BD" w:themeColor="accent1"/>
        </w:rPr>
        <w:fldChar w:fldCharType="begin"/>
      </w:r>
      <w:r w:rsidRPr="00E742C1">
        <w:rPr>
          <w:rFonts w:cs="Times New Roman"/>
          <w:bCs/>
          <w:noProof/>
          <w:color w:val="4F81BD" w:themeColor="accent1"/>
        </w:rPr>
        <w:instrText xml:space="preserve"> SEQ Quadro \* ARABIC </w:instrText>
      </w:r>
      <w:r w:rsidR="009972BC" w:rsidRPr="00E742C1">
        <w:rPr>
          <w:rFonts w:cs="Times New Roman"/>
          <w:bCs/>
          <w:noProof/>
          <w:color w:val="4F81BD" w:themeColor="accent1"/>
        </w:rPr>
        <w:fldChar w:fldCharType="separate"/>
      </w:r>
      <w:r w:rsidR="00D821DE" w:rsidRPr="00E742C1">
        <w:rPr>
          <w:rFonts w:cs="Times New Roman"/>
          <w:bCs/>
          <w:noProof/>
          <w:color w:val="4F81BD" w:themeColor="accent1"/>
        </w:rPr>
        <w:t>13</w:t>
      </w:r>
      <w:r w:rsidR="009972BC" w:rsidRPr="00E742C1">
        <w:rPr>
          <w:rFonts w:cs="Times New Roman"/>
          <w:bCs/>
          <w:noProof/>
          <w:color w:val="4F81BD" w:themeColor="accent1"/>
        </w:rPr>
        <w:fldChar w:fldCharType="end"/>
      </w:r>
      <w:r w:rsidRPr="00E742C1">
        <w:rPr>
          <w:rFonts w:cs="Times New Roman"/>
          <w:bCs/>
          <w:color w:val="4F81BD" w:themeColor="accent1"/>
        </w:rPr>
        <w:t xml:space="preserve"> - Acordos de revogação de convenções coletivas celebrados entre 2005 e 2019</w:t>
      </w:r>
      <w:bookmarkEnd w:id="189"/>
    </w:p>
    <w:p w14:paraId="5AA885BC" w14:textId="55A6E7E6" w:rsidR="004E57A0" w:rsidRPr="009A539C" w:rsidRDefault="007567EF" w:rsidP="00B90788">
      <w:pPr>
        <w:spacing w:line="240" w:lineRule="auto"/>
        <w:ind w:right="-1"/>
        <w:jc w:val="center"/>
        <w:rPr>
          <w:rFonts w:cs="Times New Roman"/>
          <w:b/>
          <w:bCs/>
          <w:color w:val="4F81BD" w:themeColor="accent1"/>
          <w:sz w:val="18"/>
          <w:szCs w:val="18"/>
        </w:rPr>
      </w:pPr>
      <w:r w:rsidRPr="009A539C">
        <w:rPr>
          <w:noProof/>
          <w:lang w:eastAsia="pt-PT"/>
        </w:rPr>
        <w:t xml:space="preserve"> </w:t>
      </w:r>
      <w:r w:rsidRPr="009A539C">
        <w:rPr>
          <w:noProof/>
          <w:lang w:eastAsia="pt-PT"/>
        </w:rPr>
        <w:drawing>
          <wp:inline distT="0" distB="0" distL="0" distR="0" wp14:anchorId="6E000949" wp14:editId="5577560E">
            <wp:extent cx="6181725" cy="5694668"/>
            <wp:effectExtent l="0" t="0" r="0" b="1905"/>
            <wp:docPr id="1168" name="Imagem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84914" cy="5697606"/>
                    </a:xfrm>
                    <a:prstGeom prst="rect">
                      <a:avLst/>
                    </a:prstGeom>
                    <a:noFill/>
                    <a:ln>
                      <a:noFill/>
                    </a:ln>
                  </pic:spPr>
                </pic:pic>
              </a:graphicData>
            </a:graphic>
          </wp:inline>
        </w:drawing>
      </w:r>
    </w:p>
    <w:p w14:paraId="0644E068" w14:textId="507C024A" w:rsidR="00253CEF" w:rsidRPr="009A539C" w:rsidRDefault="00253CEF" w:rsidP="00B90788">
      <w:pPr>
        <w:spacing w:after="0" w:line="240" w:lineRule="auto"/>
        <w:ind w:right="-1"/>
        <w:jc w:val="center"/>
        <w:rPr>
          <w:rFonts w:cs="Times New Roman"/>
          <w:color w:val="00000A"/>
        </w:rPr>
      </w:pPr>
    </w:p>
    <w:bookmarkEnd w:id="188"/>
    <w:p w14:paraId="25679221" w14:textId="634BABE0" w:rsidR="00253CEF" w:rsidRPr="009A539C" w:rsidRDefault="00253CEF" w:rsidP="00B90788">
      <w:pPr>
        <w:tabs>
          <w:tab w:val="left" w:pos="851"/>
        </w:tabs>
        <w:spacing w:before="240" w:after="0" w:line="360" w:lineRule="auto"/>
        <w:ind w:right="-1" w:firstLine="425"/>
        <w:jc w:val="both"/>
        <w:rPr>
          <w:rFonts w:eastAsia="Calibri" w:cstheme="minorHAnsi"/>
        </w:rPr>
      </w:pPr>
      <w:r w:rsidRPr="009A539C">
        <w:rPr>
          <w:rFonts w:ascii="Calibri" w:eastAsia="Calibri" w:hAnsi="Calibri" w:cs="Times New Roman"/>
          <w:b/>
          <w:sz w:val="23"/>
          <w:szCs w:val="23"/>
          <w:lang w:eastAsia="pt-PT"/>
        </w:rPr>
        <w:t>III.</w:t>
      </w:r>
      <w:r w:rsidRPr="009A539C">
        <w:rPr>
          <w:rFonts w:ascii="Calibri" w:eastAsia="Calibri" w:hAnsi="Calibri" w:cs="Times New Roman"/>
          <w:sz w:val="23"/>
          <w:szCs w:val="23"/>
          <w:lang w:eastAsia="pt-PT"/>
        </w:rPr>
        <w:tab/>
      </w:r>
      <w:r w:rsidRPr="009A539C">
        <w:rPr>
          <w:rFonts w:eastAsia="Calibri" w:cstheme="minorHAnsi"/>
          <w:lang w:eastAsia="pt-PT"/>
        </w:rPr>
        <w:t xml:space="preserve">Nos Relatórios anteriores foram analisados os processos de caducidade de convenções ocorridos desde 2005 e, em especial, os </w:t>
      </w:r>
      <w:r w:rsidRPr="009A539C">
        <w:rPr>
          <w:rFonts w:eastAsia="Calibri" w:cstheme="minorHAnsi"/>
        </w:rPr>
        <w:t>avisos publicados sobre a data de cessação de vigência de convenção coletiva</w:t>
      </w:r>
      <w:r w:rsidRPr="009A539C">
        <w:rPr>
          <w:rFonts w:eastAsia="Calibri" w:cstheme="minorHAnsi"/>
          <w:lang w:eastAsia="pt-PT"/>
        </w:rPr>
        <w:t xml:space="preserve">. Deu-se também conta das alterações legislativas ocorridas, para a qual se remete. Em 2019 foram publicados dois </w:t>
      </w:r>
      <w:r w:rsidRPr="009A539C">
        <w:rPr>
          <w:rFonts w:eastAsia="Calibri" w:cstheme="minorHAnsi"/>
        </w:rPr>
        <w:t>avisos de caducidade, após um interregno de dois anos</w:t>
      </w:r>
      <w:r w:rsidRPr="009A539C">
        <w:rPr>
          <w:rFonts w:eastAsia="Calibri" w:cstheme="minorHAnsi"/>
          <w:vertAlign w:val="superscript"/>
        </w:rPr>
        <w:footnoteReference w:id="29"/>
      </w:r>
      <w:r w:rsidR="002A18E4" w:rsidRPr="009A539C">
        <w:rPr>
          <w:rFonts w:eastAsia="Calibri" w:cstheme="minorHAnsi"/>
        </w:rPr>
        <w:t xml:space="preserve">. </w:t>
      </w:r>
    </w:p>
    <w:p w14:paraId="5479FEDF" w14:textId="77777777" w:rsidR="00253CEF" w:rsidRPr="00E742C1" w:rsidRDefault="00253CEF" w:rsidP="00B90788">
      <w:pPr>
        <w:spacing w:line="240" w:lineRule="auto"/>
        <w:ind w:right="-1"/>
        <w:jc w:val="center"/>
        <w:rPr>
          <w:rFonts w:cstheme="minorHAnsi"/>
          <w:bCs/>
        </w:rPr>
      </w:pPr>
      <w:bookmarkStart w:id="190" w:name="_Toc45716635"/>
      <w:r w:rsidRPr="00E742C1">
        <w:rPr>
          <w:rFonts w:cstheme="minorHAnsi"/>
          <w:bCs/>
          <w:color w:val="4F81BD" w:themeColor="accent1"/>
        </w:rPr>
        <w:t xml:space="preserve">Quadro </w:t>
      </w:r>
      <w:r w:rsidR="009972BC" w:rsidRPr="00E742C1">
        <w:rPr>
          <w:rFonts w:cstheme="minorHAnsi"/>
          <w:bCs/>
          <w:noProof/>
          <w:color w:val="4F81BD" w:themeColor="accent1"/>
        </w:rPr>
        <w:fldChar w:fldCharType="begin"/>
      </w:r>
      <w:r w:rsidRPr="00E742C1">
        <w:rPr>
          <w:rFonts w:cstheme="minorHAnsi"/>
          <w:bCs/>
          <w:noProof/>
          <w:color w:val="4F81BD" w:themeColor="accent1"/>
        </w:rPr>
        <w:instrText xml:space="preserve"> SEQ Quadro \* ARABIC </w:instrText>
      </w:r>
      <w:r w:rsidR="009972BC" w:rsidRPr="00E742C1">
        <w:rPr>
          <w:rFonts w:cstheme="minorHAnsi"/>
          <w:bCs/>
          <w:noProof/>
          <w:color w:val="4F81BD" w:themeColor="accent1"/>
        </w:rPr>
        <w:fldChar w:fldCharType="separate"/>
      </w:r>
      <w:r w:rsidR="00D821DE" w:rsidRPr="00E742C1">
        <w:rPr>
          <w:rFonts w:cstheme="minorHAnsi"/>
          <w:bCs/>
          <w:noProof/>
          <w:color w:val="4F81BD" w:themeColor="accent1"/>
        </w:rPr>
        <w:t>14</w:t>
      </w:r>
      <w:r w:rsidR="009972BC" w:rsidRPr="00E742C1">
        <w:rPr>
          <w:rFonts w:cstheme="minorHAnsi"/>
          <w:bCs/>
          <w:noProof/>
          <w:color w:val="4F81BD" w:themeColor="accent1"/>
        </w:rPr>
        <w:fldChar w:fldCharType="end"/>
      </w:r>
      <w:r w:rsidRPr="00E742C1">
        <w:rPr>
          <w:rFonts w:cstheme="minorHAnsi"/>
          <w:bCs/>
          <w:color w:val="4F81BD" w:themeColor="accent1"/>
        </w:rPr>
        <w:t xml:space="preserve"> - Processos de caducidade das convenções - Avisos publicados sobre a data de cessação de vigência de convenção coletiva (2005 a 2019)</w:t>
      </w:r>
      <w:bookmarkEnd w:id="190"/>
      <w:r w:rsidRPr="00E742C1">
        <w:rPr>
          <w:rFonts w:cstheme="minorHAnsi"/>
          <w:bCs/>
        </w:rPr>
        <w:t xml:space="preserve"> </w:t>
      </w:r>
    </w:p>
    <w:p w14:paraId="67339F74" w14:textId="77777777" w:rsidR="00253CEF" w:rsidRPr="009A539C" w:rsidRDefault="00253CEF" w:rsidP="00B90788">
      <w:pPr>
        <w:spacing w:after="0" w:line="240" w:lineRule="auto"/>
        <w:ind w:right="-1"/>
        <w:jc w:val="center"/>
        <w:rPr>
          <w:rFonts w:cs="Times New Roman"/>
          <w:color w:val="00000A"/>
        </w:rPr>
      </w:pPr>
      <w:r w:rsidRPr="009A539C">
        <w:rPr>
          <w:rFonts w:cs="Times New Roman"/>
          <w:noProof/>
          <w:color w:val="00000A"/>
          <w:lang w:eastAsia="pt-PT"/>
        </w:rPr>
        <w:drawing>
          <wp:inline distT="0" distB="0" distL="0" distR="0" wp14:anchorId="55C13D91" wp14:editId="7163C202">
            <wp:extent cx="5671185" cy="1325687"/>
            <wp:effectExtent l="0" t="0" r="5715" b="8255"/>
            <wp:docPr id="1144" name="Imagem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71185" cy="1325687"/>
                    </a:xfrm>
                    <a:prstGeom prst="rect">
                      <a:avLst/>
                    </a:prstGeom>
                    <a:noFill/>
                    <a:ln>
                      <a:noFill/>
                    </a:ln>
                  </pic:spPr>
                </pic:pic>
              </a:graphicData>
            </a:graphic>
          </wp:inline>
        </w:drawing>
      </w:r>
    </w:p>
    <w:p w14:paraId="45C6BED4" w14:textId="77777777" w:rsidR="009D25DE" w:rsidRPr="009A539C" w:rsidRDefault="009D25DE" w:rsidP="00B90788">
      <w:pPr>
        <w:tabs>
          <w:tab w:val="left" w:pos="851"/>
        </w:tabs>
        <w:spacing w:before="120" w:after="0" w:line="360" w:lineRule="auto"/>
        <w:ind w:right="-1" w:firstLine="425"/>
        <w:jc w:val="both"/>
        <w:rPr>
          <w:rFonts w:eastAsia="Calibri" w:cstheme="minorHAnsi"/>
          <w:sz w:val="16"/>
          <w:szCs w:val="16"/>
        </w:rPr>
      </w:pPr>
    </w:p>
    <w:p w14:paraId="42791B4D" w14:textId="77777777" w:rsidR="00253CEF" w:rsidRPr="009A539C" w:rsidRDefault="00253CEF" w:rsidP="00B90788">
      <w:pPr>
        <w:tabs>
          <w:tab w:val="left" w:pos="851"/>
        </w:tabs>
        <w:spacing w:before="120" w:after="0" w:line="360" w:lineRule="auto"/>
        <w:ind w:right="-1" w:firstLine="425"/>
        <w:jc w:val="both"/>
        <w:rPr>
          <w:rFonts w:eastAsia="Calibri" w:cstheme="minorHAnsi"/>
        </w:rPr>
      </w:pPr>
      <w:r w:rsidRPr="009A539C">
        <w:rPr>
          <w:rFonts w:eastAsia="Calibri" w:cstheme="minorHAnsi"/>
        </w:rPr>
        <w:t>Pelas razões detalhadas no Relatório de 2016</w:t>
      </w:r>
      <w:r w:rsidRPr="009A539C">
        <w:rPr>
          <w:rFonts w:eastAsia="Calibri" w:cstheme="minorHAnsi"/>
          <w:vertAlign w:val="superscript"/>
        </w:rPr>
        <w:footnoteReference w:id="30"/>
      </w:r>
      <w:r w:rsidRPr="009A539C">
        <w:rPr>
          <w:rFonts w:eastAsia="Calibri" w:cstheme="minorHAnsi"/>
        </w:rPr>
        <w:t xml:space="preserve">, a evolução do enquadramento legal contribuiu, por outro lado, para as oscilações verificadas no número de indeferimentos de pedidos de publicação de avisos de caducidade. Contrariamente ao ano anterior, em que </w:t>
      </w:r>
      <w:r w:rsidR="00D77DD9" w:rsidRPr="009A539C">
        <w:rPr>
          <w:rFonts w:eastAsia="Calibri" w:cstheme="minorHAnsi"/>
        </w:rPr>
        <w:t xml:space="preserve">registaram </w:t>
      </w:r>
      <w:r w:rsidRPr="009A539C">
        <w:rPr>
          <w:rFonts w:eastAsia="Calibri" w:cstheme="minorHAnsi"/>
        </w:rPr>
        <w:t>dois indeferimentos e duas extinções de pedidos de publicação</w:t>
      </w:r>
      <w:r w:rsidRPr="009A539C">
        <w:rPr>
          <w:rFonts w:eastAsia="Calibri" w:cstheme="minorHAnsi"/>
          <w:vertAlign w:val="superscript"/>
        </w:rPr>
        <w:footnoteReference w:id="31"/>
      </w:r>
      <w:r w:rsidRPr="009A539C">
        <w:rPr>
          <w:rFonts w:eastAsia="Calibri" w:cstheme="minorHAnsi"/>
        </w:rPr>
        <w:t xml:space="preserve"> de avisos sobre a data da cessação da vigência de convenção coletiva, em 2019 não se registaram ocorrências</w:t>
      </w:r>
      <w:r w:rsidR="00D77DD9" w:rsidRPr="009A539C">
        <w:rPr>
          <w:rFonts w:eastAsia="Calibri" w:cstheme="minorHAnsi"/>
        </w:rPr>
        <w:t xml:space="preserve"> de natureza</w:t>
      </w:r>
      <w:r w:rsidR="00832418" w:rsidRPr="009A539C">
        <w:rPr>
          <w:rFonts w:eastAsia="Calibri" w:cstheme="minorHAnsi"/>
        </w:rPr>
        <w:t xml:space="preserve"> idêntica</w:t>
      </w:r>
      <w:r w:rsidRPr="009A539C">
        <w:rPr>
          <w:rFonts w:eastAsia="Calibri" w:cstheme="minorHAnsi"/>
        </w:rPr>
        <w:t xml:space="preserve">. </w:t>
      </w:r>
    </w:p>
    <w:p w14:paraId="2F847B8B" w14:textId="77777777" w:rsidR="00DC46B6" w:rsidRPr="009A539C" w:rsidRDefault="00DC46B6" w:rsidP="00B90788">
      <w:pPr>
        <w:tabs>
          <w:tab w:val="left" w:pos="851"/>
        </w:tabs>
        <w:spacing w:after="0" w:line="360" w:lineRule="auto"/>
        <w:ind w:right="-1" w:firstLine="425"/>
        <w:jc w:val="both"/>
        <w:rPr>
          <w:rFonts w:eastAsia="Calibri" w:cstheme="minorHAnsi"/>
          <w:sz w:val="16"/>
          <w:szCs w:val="16"/>
        </w:rPr>
      </w:pPr>
    </w:p>
    <w:p w14:paraId="08844284" w14:textId="77777777" w:rsidR="00253CEF" w:rsidRPr="009A539C" w:rsidRDefault="00253CEF" w:rsidP="00B90788">
      <w:pPr>
        <w:spacing w:line="240" w:lineRule="auto"/>
        <w:ind w:right="-1"/>
        <w:jc w:val="center"/>
        <w:rPr>
          <w:rFonts w:cs="Times New Roman"/>
          <w:b/>
          <w:bCs/>
        </w:rPr>
      </w:pPr>
      <w:bookmarkStart w:id="191" w:name="_Toc44665214"/>
      <w:r w:rsidRPr="009A539C">
        <w:rPr>
          <w:rFonts w:cs="Times New Roman"/>
          <w:b/>
          <w:bCs/>
          <w:color w:val="4F81BD" w:themeColor="accent1"/>
        </w:rPr>
        <w:t xml:space="preserve">Gráfico </w:t>
      </w:r>
      <w:r w:rsidR="009972BC" w:rsidRPr="009A539C">
        <w:rPr>
          <w:rFonts w:cs="Times New Roman"/>
          <w:b/>
          <w:bCs/>
          <w:noProof/>
          <w:color w:val="4F81BD" w:themeColor="accent1"/>
        </w:rPr>
        <w:fldChar w:fldCharType="begin"/>
      </w:r>
      <w:r w:rsidRPr="009A539C">
        <w:rPr>
          <w:rFonts w:cs="Times New Roman"/>
          <w:b/>
          <w:bCs/>
          <w:noProof/>
          <w:color w:val="4F81BD" w:themeColor="accent1"/>
        </w:rPr>
        <w:instrText xml:space="preserve"> SEQ Gráfico \* ARABIC </w:instrText>
      </w:r>
      <w:r w:rsidR="009972BC" w:rsidRPr="009A539C">
        <w:rPr>
          <w:rFonts w:cs="Times New Roman"/>
          <w:b/>
          <w:bCs/>
          <w:noProof/>
          <w:color w:val="4F81BD" w:themeColor="accent1"/>
        </w:rPr>
        <w:fldChar w:fldCharType="separate"/>
      </w:r>
      <w:r w:rsidR="00D821DE">
        <w:rPr>
          <w:rFonts w:cs="Times New Roman"/>
          <w:b/>
          <w:bCs/>
          <w:noProof/>
          <w:color w:val="4F81BD" w:themeColor="accent1"/>
        </w:rPr>
        <w:t>12</w:t>
      </w:r>
      <w:r w:rsidR="009972BC" w:rsidRPr="009A539C">
        <w:rPr>
          <w:rFonts w:cs="Times New Roman"/>
          <w:b/>
          <w:bCs/>
          <w:noProof/>
          <w:color w:val="4F81BD" w:themeColor="accent1"/>
        </w:rPr>
        <w:fldChar w:fldCharType="end"/>
      </w:r>
      <w:r w:rsidRPr="009A539C">
        <w:rPr>
          <w:rFonts w:cs="Times New Roman"/>
          <w:b/>
          <w:bCs/>
          <w:color w:val="4F81BD" w:themeColor="accent1"/>
        </w:rPr>
        <w:t xml:space="preserve"> - Pedidos de publicação de avisos sobre a data da cessação de vigência de convenção coletiva (2005 a 2019)</w:t>
      </w:r>
      <w:bookmarkEnd w:id="191"/>
      <w:r w:rsidRPr="009A539C">
        <w:rPr>
          <w:rFonts w:cs="Times New Roman"/>
          <w:b/>
          <w:bCs/>
        </w:rPr>
        <w:t xml:space="preserve"> </w:t>
      </w:r>
    </w:p>
    <w:p w14:paraId="54F86C36" w14:textId="77777777" w:rsidR="00253CEF" w:rsidRPr="009A539C" w:rsidRDefault="00253CEF" w:rsidP="00B90788">
      <w:pPr>
        <w:spacing w:line="240" w:lineRule="auto"/>
        <w:ind w:right="-1"/>
        <w:jc w:val="center"/>
        <w:rPr>
          <w:rFonts w:cs="Times New Roman"/>
          <w:b/>
          <w:bCs/>
          <w:color w:val="4F81BD" w:themeColor="accent1"/>
          <w:sz w:val="18"/>
          <w:szCs w:val="18"/>
        </w:rPr>
      </w:pPr>
      <w:r w:rsidRPr="009A539C">
        <w:rPr>
          <w:rFonts w:cs="Times New Roman"/>
          <w:b/>
          <w:bCs/>
          <w:noProof/>
          <w:color w:val="4F81BD" w:themeColor="accent1"/>
          <w:sz w:val="18"/>
          <w:szCs w:val="18"/>
          <w:lang w:eastAsia="pt-PT"/>
        </w:rPr>
        <w:drawing>
          <wp:inline distT="0" distB="0" distL="0" distR="0" wp14:anchorId="1B16BADE" wp14:editId="05B251AC">
            <wp:extent cx="5086350" cy="2347490"/>
            <wp:effectExtent l="0" t="0" r="0" b="0"/>
            <wp:docPr id="1145" name="Imagem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06818" cy="2356937"/>
                    </a:xfrm>
                    <a:prstGeom prst="rect">
                      <a:avLst/>
                    </a:prstGeom>
                    <a:noFill/>
                  </pic:spPr>
                </pic:pic>
              </a:graphicData>
            </a:graphic>
          </wp:inline>
        </w:drawing>
      </w:r>
    </w:p>
    <w:p w14:paraId="42D815B1" w14:textId="77777777" w:rsidR="00253CEF" w:rsidRPr="009A539C" w:rsidRDefault="00253CEF" w:rsidP="00B90788">
      <w:pPr>
        <w:tabs>
          <w:tab w:val="left" w:pos="851"/>
        </w:tabs>
        <w:spacing w:after="240" w:line="360" w:lineRule="auto"/>
        <w:ind w:right="-1" w:firstLine="425"/>
        <w:jc w:val="both"/>
        <w:rPr>
          <w:rFonts w:eastAsia="Calibri" w:cstheme="minorHAnsi"/>
        </w:rPr>
      </w:pPr>
      <w:r w:rsidRPr="009A539C">
        <w:rPr>
          <w:rFonts w:eastAsia="Calibri" w:cstheme="minorHAnsi"/>
        </w:rPr>
        <w:t xml:space="preserve">Apresenta-se de seguida a distribuição, atualizada, do número de convenções objeto de publicação de aviso de caducidade, o número de novas convenções publicadas e cujo âmbito coincide, no todo ou em parte, com o de convenções que caducaram, assim como aquelas que não foram objeto de nova convenção (isto é, aquelas em cujo âmbito não foram celebradas novas convenções).  </w:t>
      </w:r>
    </w:p>
    <w:p w14:paraId="045A7702" w14:textId="77777777" w:rsidR="00253CEF" w:rsidRPr="00E742C1" w:rsidRDefault="00253CEF" w:rsidP="00B90788">
      <w:pPr>
        <w:spacing w:line="240" w:lineRule="auto"/>
        <w:ind w:right="-1"/>
        <w:jc w:val="center"/>
        <w:rPr>
          <w:rFonts w:ascii="Calibri" w:eastAsia="Calibri" w:hAnsi="Calibri" w:cs="Times New Roman"/>
          <w:bCs/>
        </w:rPr>
      </w:pPr>
      <w:bookmarkStart w:id="192" w:name="_Toc45716636"/>
      <w:r w:rsidRPr="00E742C1">
        <w:rPr>
          <w:rFonts w:cs="Times New Roman"/>
          <w:bCs/>
          <w:color w:val="4F81BD" w:themeColor="accent1"/>
        </w:rPr>
        <w:t xml:space="preserve">Quadro </w:t>
      </w:r>
      <w:r w:rsidR="009972BC" w:rsidRPr="00E742C1">
        <w:rPr>
          <w:rFonts w:cs="Times New Roman"/>
          <w:bCs/>
          <w:noProof/>
          <w:color w:val="4F81BD" w:themeColor="accent1"/>
        </w:rPr>
        <w:fldChar w:fldCharType="begin"/>
      </w:r>
      <w:r w:rsidRPr="00E742C1">
        <w:rPr>
          <w:rFonts w:cs="Times New Roman"/>
          <w:bCs/>
          <w:noProof/>
          <w:color w:val="4F81BD" w:themeColor="accent1"/>
        </w:rPr>
        <w:instrText xml:space="preserve"> SEQ Quadro \* ARABIC </w:instrText>
      </w:r>
      <w:r w:rsidR="009972BC" w:rsidRPr="00E742C1">
        <w:rPr>
          <w:rFonts w:cs="Times New Roman"/>
          <w:bCs/>
          <w:noProof/>
          <w:color w:val="4F81BD" w:themeColor="accent1"/>
        </w:rPr>
        <w:fldChar w:fldCharType="separate"/>
      </w:r>
      <w:r w:rsidR="00D821DE" w:rsidRPr="00E742C1">
        <w:rPr>
          <w:rFonts w:cs="Times New Roman"/>
          <w:bCs/>
          <w:noProof/>
          <w:color w:val="4F81BD" w:themeColor="accent1"/>
        </w:rPr>
        <w:t>15</w:t>
      </w:r>
      <w:r w:rsidR="009972BC" w:rsidRPr="00E742C1">
        <w:rPr>
          <w:rFonts w:cs="Times New Roman"/>
          <w:bCs/>
          <w:noProof/>
          <w:color w:val="4F81BD" w:themeColor="accent1"/>
        </w:rPr>
        <w:fldChar w:fldCharType="end"/>
      </w:r>
      <w:r w:rsidRPr="00E742C1">
        <w:rPr>
          <w:rFonts w:cs="Times New Roman"/>
          <w:bCs/>
          <w:color w:val="4F81BD" w:themeColor="accent1"/>
        </w:rPr>
        <w:t xml:space="preserve"> - Avisos de caducidade publicados em BTE com e sem celebração de nova convenção (2005-2019), por CAE</w:t>
      </w:r>
      <w:bookmarkEnd w:id="192"/>
      <w:r w:rsidRPr="00E742C1">
        <w:rPr>
          <w:rFonts w:cs="Times New Roman"/>
          <w:bCs/>
        </w:rPr>
        <w:t xml:space="preserve"> </w:t>
      </w:r>
    </w:p>
    <w:p w14:paraId="1D9442C6" w14:textId="77777777" w:rsidR="00253CEF" w:rsidRPr="009A539C" w:rsidRDefault="00253CEF" w:rsidP="00B90788">
      <w:pPr>
        <w:spacing w:after="0"/>
        <w:ind w:right="-1"/>
        <w:jc w:val="center"/>
        <w:rPr>
          <w:rFonts w:ascii="Calibri" w:eastAsia="Calibri" w:hAnsi="Calibri" w:cs="Calibri"/>
          <w:color w:val="00000A"/>
          <w:sz w:val="23"/>
          <w:szCs w:val="23"/>
        </w:rPr>
      </w:pPr>
      <w:r w:rsidRPr="009A539C">
        <w:rPr>
          <w:rFonts w:cs="Times New Roman"/>
          <w:noProof/>
          <w:color w:val="00000A"/>
          <w:lang w:eastAsia="pt-PT"/>
        </w:rPr>
        <w:drawing>
          <wp:inline distT="0" distB="0" distL="0" distR="0" wp14:anchorId="22E39B16" wp14:editId="10C17163">
            <wp:extent cx="5671185" cy="6223180"/>
            <wp:effectExtent l="0" t="0" r="5715" b="6350"/>
            <wp:docPr id="1162" name="Imagem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71185" cy="6223180"/>
                    </a:xfrm>
                    <a:prstGeom prst="rect">
                      <a:avLst/>
                    </a:prstGeom>
                    <a:noFill/>
                    <a:ln>
                      <a:noFill/>
                    </a:ln>
                  </pic:spPr>
                </pic:pic>
              </a:graphicData>
            </a:graphic>
          </wp:inline>
        </w:drawing>
      </w:r>
    </w:p>
    <w:p w14:paraId="5BD25E80" w14:textId="77777777" w:rsidR="00D456D5" w:rsidRPr="009A539C" w:rsidRDefault="00D456D5" w:rsidP="00B90788">
      <w:pPr>
        <w:spacing w:after="0"/>
        <w:ind w:right="-1"/>
        <w:jc w:val="center"/>
        <w:rPr>
          <w:rFonts w:ascii="Calibri" w:eastAsia="Calibri" w:hAnsi="Calibri" w:cs="Calibri"/>
          <w:color w:val="00000A"/>
          <w:sz w:val="23"/>
          <w:szCs w:val="23"/>
        </w:rPr>
      </w:pPr>
    </w:p>
    <w:p w14:paraId="414AA818" w14:textId="77777777" w:rsidR="00D456D5" w:rsidRPr="009A539C" w:rsidRDefault="00D456D5" w:rsidP="0087143A">
      <w:pPr>
        <w:spacing w:after="0"/>
        <w:ind w:right="-1"/>
        <w:rPr>
          <w:rFonts w:ascii="Calibri" w:eastAsia="Calibri" w:hAnsi="Calibri" w:cs="Calibri"/>
          <w:color w:val="00000A"/>
          <w:sz w:val="23"/>
          <w:szCs w:val="23"/>
        </w:rPr>
      </w:pPr>
    </w:p>
    <w:p w14:paraId="681F886B" w14:textId="77777777" w:rsidR="00253CEF" w:rsidRPr="009A539C" w:rsidRDefault="00253CEF" w:rsidP="00B90788">
      <w:pPr>
        <w:keepNext/>
        <w:keepLines/>
        <w:spacing w:before="480" w:after="0"/>
        <w:ind w:left="425" w:right="-1" w:hanging="425"/>
        <w:outlineLvl w:val="1"/>
        <w:rPr>
          <w:rFonts w:cs="Courier New"/>
          <w:b/>
          <w:color w:val="00000A"/>
          <w:sz w:val="24"/>
          <w:szCs w:val="24"/>
        </w:rPr>
      </w:pPr>
      <w:bookmarkStart w:id="193" w:name="_Toc508689406"/>
      <w:bookmarkStart w:id="194" w:name="_Toc517331437"/>
      <w:bookmarkStart w:id="195" w:name="_Toc5697102"/>
      <w:bookmarkStart w:id="196" w:name="_Toc5698093"/>
      <w:bookmarkStart w:id="197" w:name="_Toc6499361"/>
      <w:bookmarkStart w:id="198" w:name="_Toc7017674"/>
      <w:bookmarkStart w:id="199" w:name="_Toc11145195"/>
      <w:bookmarkStart w:id="200" w:name="_Toc45535687"/>
      <w:r w:rsidRPr="009A539C">
        <w:rPr>
          <w:rFonts w:cs="Courier New"/>
          <w:b/>
          <w:color w:val="00000A"/>
          <w:sz w:val="24"/>
          <w:szCs w:val="24"/>
        </w:rPr>
        <w:t>3.2</w:t>
      </w:r>
      <w:r w:rsidRPr="009A539C">
        <w:rPr>
          <w:rFonts w:cs="Courier New"/>
          <w:b/>
          <w:color w:val="00000A"/>
          <w:sz w:val="24"/>
          <w:szCs w:val="24"/>
        </w:rPr>
        <w:tab/>
      </w:r>
      <w:r w:rsidRPr="009A539C">
        <w:rPr>
          <w:rFonts w:cs="Courier New"/>
          <w:b/>
          <w:color w:val="00000A"/>
          <w:sz w:val="28"/>
          <w:szCs w:val="24"/>
        </w:rPr>
        <w:t>Resolução de conflitos coletivos e litígios sobre negociação coletiva</w:t>
      </w:r>
      <w:bookmarkEnd w:id="193"/>
      <w:bookmarkEnd w:id="194"/>
      <w:bookmarkEnd w:id="195"/>
      <w:bookmarkEnd w:id="196"/>
      <w:bookmarkEnd w:id="197"/>
      <w:bookmarkEnd w:id="198"/>
      <w:bookmarkEnd w:id="199"/>
      <w:bookmarkEnd w:id="200"/>
    </w:p>
    <w:p w14:paraId="1CC159B3" w14:textId="77777777" w:rsidR="00253CEF" w:rsidRPr="009A539C" w:rsidRDefault="00253CEF" w:rsidP="00B90788">
      <w:pPr>
        <w:keepNext/>
        <w:keepLines/>
        <w:spacing w:before="360" w:after="0"/>
        <w:ind w:left="992" w:right="-1" w:hanging="567"/>
        <w:jc w:val="both"/>
        <w:outlineLvl w:val="2"/>
        <w:rPr>
          <w:rFonts w:cs="Times New Roman"/>
          <w:b/>
          <w:color w:val="00000A"/>
          <w:sz w:val="24"/>
          <w:szCs w:val="23"/>
        </w:rPr>
      </w:pPr>
      <w:bookmarkStart w:id="201" w:name="_Toc508689407"/>
      <w:bookmarkStart w:id="202" w:name="_Toc517331438"/>
      <w:bookmarkStart w:id="203" w:name="_Toc5697103"/>
      <w:bookmarkStart w:id="204" w:name="_Toc5698094"/>
      <w:bookmarkStart w:id="205" w:name="_Toc6499362"/>
      <w:bookmarkStart w:id="206" w:name="_Toc7017675"/>
      <w:bookmarkStart w:id="207" w:name="_Toc11145196"/>
      <w:bookmarkStart w:id="208" w:name="_Toc45535688"/>
      <w:r w:rsidRPr="009A539C">
        <w:rPr>
          <w:rFonts w:cs="Times New Roman"/>
          <w:b/>
          <w:color w:val="00000A"/>
          <w:sz w:val="23"/>
          <w:szCs w:val="23"/>
        </w:rPr>
        <w:t>3.2.1</w:t>
      </w:r>
      <w:r w:rsidRPr="009A539C">
        <w:rPr>
          <w:rFonts w:cs="Times New Roman"/>
          <w:b/>
          <w:color w:val="00000A"/>
          <w:sz w:val="23"/>
          <w:szCs w:val="23"/>
        </w:rPr>
        <w:tab/>
      </w:r>
      <w:r w:rsidRPr="009A539C">
        <w:rPr>
          <w:rFonts w:cs="Times New Roman"/>
          <w:b/>
          <w:color w:val="00000A"/>
          <w:sz w:val="24"/>
          <w:szCs w:val="23"/>
        </w:rPr>
        <w:t>Conciliação e mediação</w:t>
      </w:r>
      <w:bookmarkEnd w:id="201"/>
      <w:bookmarkEnd w:id="202"/>
      <w:bookmarkEnd w:id="203"/>
      <w:bookmarkEnd w:id="204"/>
      <w:bookmarkEnd w:id="205"/>
      <w:bookmarkEnd w:id="206"/>
      <w:bookmarkEnd w:id="207"/>
      <w:bookmarkEnd w:id="208"/>
    </w:p>
    <w:p w14:paraId="409ADFED" w14:textId="77777777" w:rsidR="00253CEF" w:rsidRPr="009A539C" w:rsidRDefault="00253CEF" w:rsidP="00B90788">
      <w:pPr>
        <w:spacing w:before="120" w:after="0" w:line="360" w:lineRule="auto"/>
        <w:ind w:right="-1" w:firstLine="425"/>
        <w:jc w:val="both"/>
        <w:rPr>
          <w:rFonts w:eastAsiaTheme="majorEastAsia" w:cstheme="majorBidi"/>
          <w:bCs/>
        </w:rPr>
      </w:pPr>
      <w:r w:rsidRPr="009A539C">
        <w:rPr>
          <w:rFonts w:eastAsiaTheme="majorEastAsia" w:cstheme="majorBidi"/>
          <w:bCs/>
        </w:rPr>
        <w:t>Frequentemente a resolução extrajudicial de conflitos coletivos associados à celebração de convenções coletivas é assegurada por conciliação ou mediação</w:t>
      </w:r>
      <w:r w:rsidRPr="009A539C">
        <w:rPr>
          <w:rFonts w:eastAsiaTheme="majorEastAsia" w:cstheme="majorBidi"/>
          <w:bCs/>
          <w:vertAlign w:val="superscript"/>
        </w:rPr>
        <w:footnoteReference w:id="32"/>
      </w:r>
      <w:r w:rsidRPr="009A539C">
        <w:rPr>
          <w:rFonts w:eastAsiaTheme="majorEastAsia" w:cstheme="majorBidi"/>
          <w:bCs/>
        </w:rPr>
        <w:t>, acompanhadas pela DGERT</w:t>
      </w:r>
      <w:r w:rsidRPr="009A539C">
        <w:rPr>
          <w:rFonts w:eastAsiaTheme="majorEastAsia" w:cstheme="majorBidi"/>
          <w:bCs/>
          <w:vertAlign w:val="superscript"/>
        </w:rPr>
        <w:footnoteReference w:id="33"/>
      </w:r>
      <w:r w:rsidRPr="009A539C">
        <w:rPr>
          <w:rFonts w:eastAsiaTheme="majorEastAsia" w:cstheme="majorBidi"/>
          <w:bCs/>
        </w:rPr>
        <w:t xml:space="preserve">. </w:t>
      </w:r>
    </w:p>
    <w:p w14:paraId="108D4DE8" w14:textId="77777777" w:rsidR="00253CEF" w:rsidRPr="009A539C" w:rsidRDefault="00253CEF" w:rsidP="00B90788">
      <w:pPr>
        <w:spacing w:before="120" w:after="0" w:line="360" w:lineRule="auto"/>
        <w:ind w:right="-1" w:firstLine="425"/>
        <w:jc w:val="both"/>
        <w:rPr>
          <w:rFonts w:eastAsiaTheme="majorEastAsia" w:cstheme="majorBidi"/>
          <w:bCs/>
        </w:rPr>
      </w:pPr>
      <w:r w:rsidRPr="009A539C">
        <w:rPr>
          <w:rFonts w:eastAsiaTheme="majorEastAsia" w:cstheme="majorBidi"/>
          <w:bCs/>
        </w:rPr>
        <w:t xml:space="preserve">O quadro seguinte apresenta a atividade ocorrida neste domínio no período entre 2005 e 2019, sendo que existe uma natural diferença entre o número de processos entrados, ao longo de todo o ano, dos pendentes e dos concluídos anualmente, a 31 de dezembro. </w:t>
      </w:r>
      <w:r w:rsidRPr="009A539C">
        <w:rPr>
          <w:rFonts w:ascii="Calibri" w:hAnsi="Calibri" w:cstheme="minorHAnsi"/>
          <w:lang w:eastAsia="pt-PT"/>
        </w:rPr>
        <w:t>Em</w:t>
      </w:r>
      <w:r w:rsidRPr="009A539C">
        <w:rPr>
          <w:rFonts w:eastAsiaTheme="majorEastAsia" w:cstheme="majorBidi"/>
          <w:bCs/>
        </w:rPr>
        <w:t xml:space="preserve"> 2019, verifica-se uma descida dos pedidos de conciliação (42) e dos pedidos de mediação (7), destacando-se dois aspetos positivos:</w:t>
      </w:r>
    </w:p>
    <w:p w14:paraId="17F289B6" w14:textId="77777777" w:rsidR="00253CEF" w:rsidRPr="009A539C" w:rsidRDefault="00253CEF" w:rsidP="00AF188D">
      <w:pPr>
        <w:numPr>
          <w:ilvl w:val="0"/>
          <w:numId w:val="30"/>
        </w:numPr>
        <w:spacing w:after="0" w:line="360" w:lineRule="auto"/>
        <w:ind w:right="-1"/>
        <w:jc w:val="both"/>
        <w:rPr>
          <w:rFonts w:ascii="Calibri" w:eastAsiaTheme="majorEastAsia" w:hAnsi="Calibri" w:cstheme="majorBidi"/>
          <w:bCs/>
        </w:rPr>
      </w:pPr>
      <w:r w:rsidRPr="009A539C">
        <w:rPr>
          <w:rFonts w:ascii="Calibri" w:eastAsiaTheme="majorEastAsia" w:hAnsi="Calibri" w:cstheme="majorBidi"/>
          <w:bCs/>
        </w:rPr>
        <w:t>pelo terceiro ano consecutivo, o número de processos de conciliação concluídos com acordo (22) suplantou os concluídos sem acordo;</w:t>
      </w:r>
    </w:p>
    <w:p w14:paraId="7CC40CC8" w14:textId="3DB232B4" w:rsidR="00982E9E" w:rsidRPr="009A539C" w:rsidRDefault="00253CEF" w:rsidP="00AF188D">
      <w:pPr>
        <w:numPr>
          <w:ilvl w:val="0"/>
          <w:numId w:val="30"/>
        </w:numPr>
        <w:spacing w:after="0" w:line="360" w:lineRule="auto"/>
        <w:ind w:right="-1"/>
        <w:jc w:val="both"/>
        <w:rPr>
          <w:rFonts w:ascii="Calibri" w:eastAsiaTheme="majorEastAsia" w:hAnsi="Calibri" w:cstheme="majorBidi"/>
          <w:bCs/>
        </w:rPr>
      </w:pPr>
      <w:r w:rsidRPr="009A539C">
        <w:rPr>
          <w:rFonts w:ascii="Calibri" w:eastAsiaTheme="majorEastAsia" w:hAnsi="Calibri" w:cstheme="majorBidi"/>
          <w:bCs/>
        </w:rPr>
        <w:t>houve (3) processos de mediação concluídos com acordo, muito embora permaneça a tendência para que os processos terminem sem acordo.</w:t>
      </w:r>
      <w:bookmarkStart w:id="209" w:name="_Toc517332052"/>
    </w:p>
    <w:p w14:paraId="082B52EA" w14:textId="77777777" w:rsidR="00253CEF" w:rsidRPr="00E742C1" w:rsidRDefault="00253CEF" w:rsidP="00B90788">
      <w:pPr>
        <w:spacing w:line="240" w:lineRule="auto"/>
        <w:ind w:right="-1"/>
        <w:jc w:val="center"/>
        <w:rPr>
          <w:rFonts w:cs="Times New Roman"/>
          <w:bCs/>
        </w:rPr>
      </w:pPr>
      <w:bookmarkStart w:id="210" w:name="_Toc45716637"/>
      <w:r w:rsidRPr="00E742C1">
        <w:rPr>
          <w:rFonts w:cs="Times New Roman"/>
          <w:bCs/>
          <w:color w:val="4F81BD" w:themeColor="accent1"/>
        </w:rPr>
        <w:t xml:space="preserve">Quadro </w:t>
      </w:r>
      <w:r w:rsidR="009972BC" w:rsidRPr="00E742C1">
        <w:rPr>
          <w:rFonts w:cs="Times New Roman"/>
          <w:bCs/>
          <w:noProof/>
          <w:color w:val="4F81BD" w:themeColor="accent1"/>
        </w:rPr>
        <w:fldChar w:fldCharType="begin"/>
      </w:r>
      <w:r w:rsidRPr="00E742C1">
        <w:rPr>
          <w:rFonts w:cs="Times New Roman"/>
          <w:bCs/>
          <w:noProof/>
          <w:color w:val="4F81BD" w:themeColor="accent1"/>
        </w:rPr>
        <w:instrText xml:space="preserve"> SEQ Quadro \* ARABIC </w:instrText>
      </w:r>
      <w:r w:rsidR="009972BC" w:rsidRPr="00E742C1">
        <w:rPr>
          <w:rFonts w:cs="Times New Roman"/>
          <w:bCs/>
          <w:noProof/>
          <w:color w:val="4F81BD" w:themeColor="accent1"/>
        </w:rPr>
        <w:fldChar w:fldCharType="separate"/>
      </w:r>
      <w:r w:rsidR="00D821DE" w:rsidRPr="00E742C1">
        <w:rPr>
          <w:rFonts w:cs="Times New Roman"/>
          <w:bCs/>
          <w:noProof/>
          <w:color w:val="4F81BD" w:themeColor="accent1"/>
        </w:rPr>
        <w:t>16</w:t>
      </w:r>
      <w:r w:rsidR="009972BC" w:rsidRPr="00E742C1">
        <w:rPr>
          <w:rFonts w:cs="Times New Roman"/>
          <w:bCs/>
          <w:noProof/>
          <w:color w:val="4F81BD" w:themeColor="accent1"/>
        </w:rPr>
        <w:fldChar w:fldCharType="end"/>
      </w:r>
      <w:r w:rsidRPr="00E742C1">
        <w:rPr>
          <w:rFonts w:cs="Times New Roman"/>
          <w:bCs/>
          <w:color w:val="4F81BD" w:themeColor="accent1"/>
        </w:rPr>
        <w:t xml:space="preserve"> – Conciliações e Mediações (2005 a 2019)</w:t>
      </w:r>
      <w:bookmarkEnd w:id="210"/>
    </w:p>
    <w:p w14:paraId="01189109" w14:textId="77777777" w:rsidR="00253CEF" w:rsidRPr="009A539C" w:rsidRDefault="00253CEF" w:rsidP="00B90788">
      <w:pPr>
        <w:spacing w:after="0" w:line="240" w:lineRule="auto"/>
        <w:ind w:right="-1"/>
        <w:jc w:val="center"/>
        <w:rPr>
          <w:rFonts w:cs="Times New Roman"/>
          <w:color w:val="00000A"/>
        </w:rPr>
      </w:pPr>
      <w:r w:rsidRPr="009A539C">
        <w:rPr>
          <w:rFonts w:cs="Times New Roman"/>
          <w:noProof/>
          <w:color w:val="00000A"/>
          <w:lang w:eastAsia="pt-PT"/>
        </w:rPr>
        <w:drawing>
          <wp:inline distT="0" distB="0" distL="0" distR="0" wp14:anchorId="6827A6FF" wp14:editId="543E8224">
            <wp:extent cx="5410200" cy="3496549"/>
            <wp:effectExtent l="0" t="0" r="0" b="8890"/>
            <wp:docPr id="1163" name="Imagem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13837" cy="3498900"/>
                    </a:xfrm>
                    <a:prstGeom prst="rect">
                      <a:avLst/>
                    </a:prstGeom>
                    <a:noFill/>
                    <a:ln>
                      <a:noFill/>
                    </a:ln>
                  </pic:spPr>
                </pic:pic>
              </a:graphicData>
            </a:graphic>
          </wp:inline>
        </w:drawing>
      </w:r>
    </w:p>
    <w:bookmarkEnd w:id="209"/>
    <w:p w14:paraId="2680B853" w14:textId="77777777" w:rsidR="00253CEF" w:rsidRPr="009A539C" w:rsidRDefault="00253CEF" w:rsidP="00B90788">
      <w:pPr>
        <w:spacing w:after="0"/>
        <w:ind w:right="-1"/>
        <w:jc w:val="center"/>
        <w:rPr>
          <w:rFonts w:eastAsiaTheme="majorEastAsia" w:cstheme="majorBidi"/>
          <w:bCs/>
          <w:sz w:val="23"/>
          <w:szCs w:val="23"/>
        </w:rPr>
      </w:pPr>
    </w:p>
    <w:p w14:paraId="332C0885" w14:textId="77777777" w:rsidR="00253CEF" w:rsidRPr="009A539C" w:rsidRDefault="00253CEF" w:rsidP="00B90788">
      <w:pPr>
        <w:keepNext/>
        <w:keepLines/>
        <w:spacing w:before="360" w:after="0"/>
        <w:ind w:left="992" w:right="-1" w:hanging="567"/>
        <w:jc w:val="both"/>
        <w:outlineLvl w:val="2"/>
        <w:rPr>
          <w:rFonts w:cs="Times New Roman"/>
          <w:b/>
          <w:color w:val="00000A"/>
          <w:sz w:val="23"/>
          <w:szCs w:val="23"/>
        </w:rPr>
      </w:pPr>
      <w:bookmarkStart w:id="211" w:name="_Toc508689408"/>
      <w:bookmarkStart w:id="212" w:name="_Toc517331439"/>
      <w:bookmarkStart w:id="213" w:name="_Toc5697104"/>
      <w:bookmarkStart w:id="214" w:name="_Toc5698095"/>
      <w:bookmarkStart w:id="215" w:name="_Toc6499363"/>
      <w:bookmarkStart w:id="216" w:name="_Toc7017676"/>
      <w:bookmarkStart w:id="217" w:name="_Toc11145197"/>
      <w:bookmarkStart w:id="218" w:name="_Toc45535689"/>
      <w:r w:rsidRPr="009A539C">
        <w:rPr>
          <w:rFonts w:cs="Times New Roman"/>
          <w:b/>
          <w:color w:val="00000A"/>
          <w:sz w:val="23"/>
          <w:szCs w:val="23"/>
        </w:rPr>
        <w:t>3.2.2</w:t>
      </w:r>
      <w:r w:rsidRPr="009A539C">
        <w:rPr>
          <w:rFonts w:cs="Times New Roman"/>
          <w:b/>
          <w:color w:val="00000A"/>
          <w:sz w:val="23"/>
          <w:szCs w:val="23"/>
        </w:rPr>
        <w:tab/>
      </w:r>
      <w:r w:rsidRPr="009A539C">
        <w:rPr>
          <w:rFonts w:cs="Times New Roman"/>
          <w:b/>
          <w:color w:val="00000A"/>
          <w:sz w:val="24"/>
          <w:szCs w:val="23"/>
        </w:rPr>
        <w:t>Arbitragem</w:t>
      </w:r>
      <w:bookmarkEnd w:id="211"/>
      <w:bookmarkEnd w:id="212"/>
      <w:bookmarkEnd w:id="213"/>
      <w:bookmarkEnd w:id="214"/>
      <w:bookmarkEnd w:id="215"/>
      <w:bookmarkEnd w:id="216"/>
      <w:bookmarkEnd w:id="217"/>
      <w:bookmarkEnd w:id="218"/>
    </w:p>
    <w:p w14:paraId="3B4F966B" w14:textId="77777777" w:rsidR="00142D6E" w:rsidRPr="009A539C" w:rsidRDefault="00142D6E" w:rsidP="00B90788">
      <w:pPr>
        <w:spacing w:before="120" w:after="0" w:line="360" w:lineRule="auto"/>
        <w:ind w:right="-1" w:firstLine="425"/>
        <w:jc w:val="both"/>
        <w:rPr>
          <w:rFonts w:eastAsiaTheme="majorEastAsia" w:cstheme="majorBidi"/>
          <w:bCs/>
        </w:rPr>
      </w:pPr>
    </w:p>
    <w:p w14:paraId="774A5CA0" w14:textId="77777777" w:rsidR="00253CEF" w:rsidRPr="009A539C" w:rsidRDefault="00253CEF" w:rsidP="00B90788">
      <w:pPr>
        <w:spacing w:before="120" w:after="0" w:line="360" w:lineRule="auto"/>
        <w:ind w:right="-1" w:firstLine="425"/>
        <w:jc w:val="both"/>
        <w:rPr>
          <w:rFonts w:cstheme="minorHAnsi"/>
        </w:rPr>
      </w:pPr>
      <w:r w:rsidRPr="009A539C">
        <w:rPr>
          <w:rFonts w:eastAsiaTheme="majorEastAsia" w:cstheme="majorBidi"/>
          <w:bCs/>
        </w:rPr>
        <w:t>O Código do Trabalho (</w:t>
      </w:r>
      <w:r w:rsidRPr="009A539C">
        <w:rPr>
          <w:rFonts w:cstheme="minorHAnsi"/>
          <w:lang w:eastAsia="pt-PT"/>
        </w:rPr>
        <w:t xml:space="preserve">arts. 508.º a 513.º do CT) </w:t>
      </w:r>
      <w:r w:rsidRPr="009A539C">
        <w:rPr>
          <w:rFonts w:eastAsiaTheme="majorEastAsia" w:cstheme="majorBidi"/>
          <w:bCs/>
        </w:rPr>
        <w:t>regula</w:t>
      </w:r>
      <w:r w:rsidRPr="009A539C">
        <w:rPr>
          <w:rFonts w:cstheme="minorHAnsi"/>
          <w:lang w:eastAsia="pt-PT"/>
        </w:rPr>
        <w:t xml:space="preserve"> duas modalidades de arbitragem imposta aos sujeitos negociais coletivos – </w:t>
      </w:r>
      <w:r w:rsidRPr="009A539C">
        <w:rPr>
          <w:rFonts w:cstheme="minorHAnsi"/>
        </w:rPr>
        <w:t>distinguindo-se, por essa razão, da arbitragem voluntária onde as partes</w:t>
      </w:r>
      <w:r w:rsidRPr="009A539C">
        <w:rPr>
          <w:rFonts w:cs="Times New Roman"/>
        </w:rPr>
        <w:t xml:space="preserve"> decidem, por acordo, a constituição do tribunal arbitral, que emitirá uma decisão arbitral</w:t>
      </w:r>
      <w:r w:rsidRPr="009A539C">
        <w:rPr>
          <w:rFonts w:cs="Times New Roman"/>
          <w:vertAlign w:val="superscript"/>
        </w:rPr>
        <w:footnoteReference w:id="34"/>
      </w:r>
      <w:r w:rsidRPr="009A539C">
        <w:rPr>
          <w:rFonts w:cs="Times New Roman"/>
        </w:rPr>
        <w:t xml:space="preserve"> – </w:t>
      </w:r>
      <w:r w:rsidRPr="009A539C">
        <w:rPr>
          <w:rFonts w:cstheme="minorHAnsi"/>
          <w:lang w:eastAsia="pt-PT"/>
        </w:rPr>
        <w:t xml:space="preserve">consoante tenha por objeto um litígio </w:t>
      </w:r>
      <w:r w:rsidRPr="009A539C">
        <w:rPr>
          <w:rFonts w:cstheme="minorHAnsi"/>
        </w:rPr>
        <w:t>que resulte de celebração de convenção coletiva (arbitragem obrigatória) ou de caducidade de convenção (arbitragem necessária). Têm em comum serem ambas determinadas por despacho ministerial fundamentado</w:t>
      </w:r>
      <w:r w:rsidRPr="009A539C">
        <w:rPr>
          <w:rFonts w:cstheme="minorHAnsi"/>
          <w:vertAlign w:val="superscript"/>
        </w:rPr>
        <w:footnoteReference w:id="35"/>
      </w:r>
      <w:r w:rsidRPr="009A539C">
        <w:rPr>
          <w:rFonts w:cs="Times New Roman"/>
        </w:rPr>
        <w:t>.</w:t>
      </w:r>
    </w:p>
    <w:p w14:paraId="7AD04EDF" w14:textId="32758354" w:rsidR="00253CEF" w:rsidRPr="009A539C" w:rsidRDefault="00253CEF" w:rsidP="0087143A">
      <w:pPr>
        <w:spacing w:line="360" w:lineRule="auto"/>
        <w:ind w:firstLine="426"/>
        <w:jc w:val="both"/>
        <w:rPr>
          <w:sz w:val="23"/>
          <w:szCs w:val="23"/>
        </w:rPr>
      </w:pPr>
      <w:bookmarkStart w:id="219" w:name="_Toc517332053"/>
      <w:r w:rsidRPr="009A539C">
        <w:rPr>
          <w:rFonts w:cs="Times New Roman"/>
        </w:rPr>
        <w:t>Em 2019</w:t>
      </w:r>
      <w:r w:rsidRPr="009A539C">
        <w:rPr>
          <w:rFonts w:cs="Times New Roman"/>
          <w:vertAlign w:val="superscript"/>
        </w:rPr>
        <w:footnoteReference w:id="36"/>
      </w:r>
      <w:r w:rsidRPr="009A539C">
        <w:rPr>
          <w:rFonts w:cs="Times New Roman"/>
        </w:rPr>
        <w:t xml:space="preserve"> não foi publicada qualquer tipo de decisão arbitral em processo de arbitragem, tal como na maioria dos anos que integram a série. </w:t>
      </w:r>
      <w:r w:rsidR="008F05CE" w:rsidRPr="009A539C">
        <w:rPr>
          <w:rFonts w:cs="Times New Roman"/>
        </w:rPr>
        <w:t xml:space="preserve">Também não </w:t>
      </w:r>
      <w:r w:rsidR="004D265A" w:rsidRPr="009A539C">
        <w:rPr>
          <w:rFonts w:cs="Times New Roman"/>
        </w:rPr>
        <w:t xml:space="preserve">há </w:t>
      </w:r>
      <w:r w:rsidR="008F05CE" w:rsidRPr="009A539C">
        <w:rPr>
          <w:rFonts w:cs="Times New Roman"/>
        </w:rPr>
        <w:t xml:space="preserve">noticia </w:t>
      </w:r>
      <w:r w:rsidR="00FE1B25" w:rsidRPr="009A539C">
        <w:rPr>
          <w:rFonts w:cs="Times New Roman"/>
        </w:rPr>
        <w:t>do procedimento que se seguiu à</w:t>
      </w:r>
      <w:r w:rsidR="008F05CE" w:rsidRPr="009A539C">
        <w:rPr>
          <w:rFonts w:cstheme="minorHAnsi"/>
        </w:rPr>
        <w:t xml:space="preserve"> publicação do aviso de requerimento de arbitragem necessária ocorrida em 2018</w:t>
      </w:r>
      <w:r w:rsidR="008F05CE" w:rsidRPr="009A539C">
        <w:rPr>
          <w:rFonts w:cstheme="minorHAnsi"/>
          <w:vertAlign w:val="superscript"/>
        </w:rPr>
        <w:footnoteReference w:id="37"/>
      </w:r>
      <w:r w:rsidR="008F05CE" w:rsidRPr="009A539C">
        <w:rPr>
          <w:rFonts w:cstheme="minorHAnsi"/>
        </w:rPr>
        <w:t>.</w:t>
      </w:r>
    </w:p>
    <w:p w14:paraId="246EBED1" w14:textId="77777777" w:rsidR="00253CEF" w:rsidRPr="009A539C" w:rsidRDefault="00253CEF" w:rsidP="00B90788">
      <w:pPr>
        <w:keepNext/>
        <w:tabs>
          <w:tab w:val="center" w:pos="4252"/>
          <w:tab w:val="left" w:pos="6223"/>
          <w:tab w:val="right" w:pos="8504"/>
        </w:tabs>
        <w:spacing w:before="240" w:line="360" w:lineRule="auto"/>
        <w:ind w:right="-1"/>
        <w:jc w:val="center"/>
        <w:rPr>
          <w:rFonts w:cs="Times New Roman"/>
          <w:b/>
          <w:bCs/>
          <w:color w:val="4F81BD" w:themeColor="accent1"/>
          <w:sz w:val="18"/>
          <w:szCs w:val="18"/>
        </w:rPr>
      </w:pPr>
    </w:p>
    <w:p w14:paraId="479B30DE" w14:textId="77777777" w:rsidR="00253CEF" w:rsidRPr="00E742C1" w:rsidRDefault="00253CEF" w:rsidP="00B90788">
      <w:pPr>
        <w:spacing w:line="240" w:lineRule="auto"/>
        <w:ind w:right="-1"/>
        <w:jc w:val="center"/>
        <w:rPr>
          <w:rFonts w:cs="Times New Roman"/>
          <w:bCs/>
        </w:rPr>
      </w:pPr>
      <w:bookmarkStart w:id="220" w:name="_Toc45716638"/>
      <w:r w:rsidRPr="00E742C1">
        <w:rPr>
          <w:rFonts w:cs="Times New Roman"/>
          <w:bCs/>
          <w:color w:val="4F81BD" w:themeColor="accent1"/>
        </w:rPr>
        <w:t xml:space="preserve">Quadro </w:t>
      </w:r>
      <w:r w:rsidR="009972BC" w:rsidRPr="00E742C1">
        <w:rPr>
          <w:rFonts w:cs="Times New Roman"/>
          <w:bCs/>
          <w:noProof/>
          <w:color w:val="4F81BD" w:themeColor="accent1"/>
        </w:rPr>
        <w:fldChar w:fldCharType="begin"/>
      </w:r>
      <w:r w:rsidRPr="00E742C1">
        <w:rPr>
          <w:rFonts w:cs="Times New Roman"/>
          <w:bCs/>
          <w:noProof/>
          <w:color w:val="4F81BD" w:themeColor="accent1"/>
        </w:rPr>
        <w:instrText xml:space="preserve"> SEQ Quadro \* ARABIC </w:instrText>
      </w:r>
      <w:r w:rsidR="009972BC" w:rsidRPr="00E742C1">
        <w:rPr>
          <w:rFonts w:cs="Times New Roman"/>
          <w:bCs/>
          <w:noProof/>
          <w:color w:val="4F81BD" w:themeColor="accent1"/>
        </w:rPr>
        <w:fldChar w:fldCharType="separate"/>
      </w:r>
      <w:r w:rsidR="00D821DE" w:rsidRPr="00E742C1">
        <w:rPr>
          <w:rFonts w:cs="Times New Roman"/>
          <w:bCs/>
          <w:noProof/>
          <w:color w:val="4F81BD" w:themeColor="accent1"/>
        </w:rPr>
        <w:t>17</w:t>
      </w:r>
      <w:r w:rsidR="009972BC" w:rsidRPr="00E742C1">
        <w:rPr>
          <w:rFonts w:cs="Times New Roman"/>
          <w:bCs/>
          <w:noProof/>
          <w:color w:val="4F81BD" w:themeColor="accent1"/>
        </w:rPr>
        <w:fldChar w:fldCharType="end"/>
      </w:r>
      <w:r w:rsidRPr="00E742C1">
        <w:rPr>
          <w:rFonts w:cs="Times New Roman"/>
          <w:bCs/>
          <w:color w:val="4F81BD" w:themeColor="accent1"/>
        </w:rPr>
        <w:t xml:space="preserve"> - Decisões arbitrais (2005 a 2019)</w:t>
      </w:r>
      <w:bookmarkEnd w:id="220"/>
      <w:r w:rsidRPr="00E742C1">
        <w:rPr>
          <w:rFonts w:cs="Times New Roman"/>
          <w:bCs/>
        </w:rPr>
        <w:t xml:space="preserve"> </w:t>
      </w:r>
    </w:p>
    <w:p w14:paraId="27AE7F6E" w14:textId="77777777" w:rsidR="00253CEF" w:rsidRPr="009A539C" w:rsidRDefault="00253CEF" w:rsidP="00B90788">
      <w:pPr>
        <w:spacing w:after="0" w:line="240" w:lineRule="auto"/>
        <w:ind w:right="-1"/>
        <w:jc w:val="center"/>
        <w:rPr>
          <w:rFonts w:cs="Times New Roman"/>
          <w:color w:val="00000A"/>
        </w:rPr>
      </w:pPr>
      <w:r w:rsidRPr="009A539C">
        <w:rPr>
          <w:rFonts w:cs="Times New Roman"/>
          <w:noProof/>
          <w:color w:val="00000A"/>
          <w:lang w:eastAsia="pt-PT"/>
        </w:rPr>
        <w:drawing>
          <wp:inline distT="0" distB="0" distL="0" distR="0" wp14:anchorId="7D13826E" wp14:editId="707FB09E">
            <wp:extent cx="5780598" cy="1509023"/>
            <wp:effectExtent l="0" t="0" r="0" b="0"/>
            <wp:docPr id="1164" name="Imagem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86531" cy="1510572"/>
                    </a:xfrm>
                    <a:prstGeom prst="rect">
                      <a:avLst/>
                    </a:prstGeom>
                    <a:noFill/>
                    <a:ln>
                      <a:noFill/>
                    </a:ln>
                  </pic:spPr>
                </pic:pic>
              </a:graphicData>
            </a:graphic>
          </wp:inline>
        </w:drawing>
      </w:r>
    </w:p>
    <w:p w14:paraId="6C5B5D13" w14:textId="77777777" w:rsidR="00253CEF" w:rsidRPr="009A539C" w:rsidRDefault="00253CEF" w:rsidP="00B90788">
      <w:pPr>
        <w:spacing w:after="0" w:line="240" w:lineRule="auto"/>
        <w:ind w:right="-1"/>
        <w:rPr>
          <w:rFonts w:cs="Times New Roman"/>
          <w:color w:val="00000A"/>
        </w:rPr>
      </w:pPr>
    </w:p>
    <w:p w14:paraId="080E9200" w14:textId="77777777" w:rsidR="00253CEF" w:rsidRPr="009A539C" w:rsidRDefault="00253CEF" w:rsidP="00B90788">
      <w:pPr>
        <w:spacing w:after="0" w:line="240" w:lineRule="auto"/>
        <w:ind w:right="-1"/>
        <w:rPr>
          <w:rFonts w:cs="Times New Roman"/>
          <w:color w:val="00000A"/>
        </w:rPr>
      </w:pPr>
    </w:p>
    <w:bookmarkEnd w:id="219"/>
    <w:p w14:paraId="3203B349" w14:textId="77777777" w:rsidR="00253CEF" w:rsidRPr="009A539C" w:rsidRDefault="00253CEF" w:rsidP="00B90788">
      <w:pPr>
        <w:spacing w:after="0"/>
        <w:ind w:right="-1"/>
        <w:rPr>
          <w:rFonts w:cs="Times New Roman"/>
        </w:rPr>
      </w:pPr>
    </w:p>
    <w:p w14:paraId="613BCB9B" w14:textId="557A70AC" w:rsidR="001A0194" w:rsidRPr="009A539C" w:rsidRDefault="001A0194" w:rsidP="0087143A">
      <w:pPr>
        <w:rPr>
          <w:rFonts w:cs="Times New Roman"/>
        </w:rPr>
      </w:pPr>
    </w:p>
    <w:p w14:paraId="1B2297F2" w14:textId="77777777" w:rsidR="0087143A" w:rsidRPr="009A539C" w:rsidRDefault="0087143A">
      <w:pPr>
        <w:rPr>
          <w:rFonts w:ascii="Calibri" w:hAnsi="Calibri" w:cs="Calibri"/>
          <w:b/>
          <w:sz w:val="28"/>
          <w:szCs w:val="28"/>
        </w:rPr>
      </w:pPr>
      <w:r w:rsidRPr="009A539C">
        <w:rPr>
          <w:rFonts w:ascii="Calibri" w:hAnsi="Calibri" w:cs="Calibri"/>
          <w:b/>
          <w:sz w:val="28"/>
          <w:szCs w:val="28"/>
        </w:rPr>
        <w:br w:type="page"/>
      </w:r>
    </w:p>
    <w:p w14:paraId="08452289" w14:textId="62EE9124" w:rsidR="00352391" w:rsidRPr="009A539C" w:rsidRDefault="001E5AF9" w:rsidP="00B20462">
      <w:pPr>
        <w:pStyle w:val="PargrafodaLista"/>
        <w:numPr>
          <w:ilvl w:val="0"/>
          <w:numId w:val="1"/>
        </w:numPr>
        <w:spacing w:line="360" w:lineRule="auto"/>
        <w:ind w:left="709" w:right="-1"/>
        <w:outlineLvl w:val="0"/>
        <w:rPr>
          <w:rFonts w:ascii="Calibri" w:hAnsi="Calibri" w:cs="Calibri"/>
          <w:b/>
          <w:sz w:val="28"/>
          <w:szCs w:val="28"/>
        </w:rPr>
      </w:pPr>
      <w:bookmarkStart w:id="221" w:name="_Toc45535690"/>
      <w:r w:rsidRPr="009A539C">
        <w:rPr>
          <w:rFonts w:ascii="Calibri" w:hAnsi="Calibri" w:cs="Calibri"/>
          <w:b/>
          <w:sz w:val="28"/>
          <w:szCs w:val="28"/>
        </w:rPr>
        <w:t>A negociação coletiva em 2019</w:t>
      </w:r>
      <w:bookmarkEnd w:id="221"/>
    </w:p>
    <w:p w14:paraId="5F4AA368" w14:textId="77777777" w:rsidR="00965862" w:rsidRPr="009A539C" w:rsidRDefault="00965862" w:rsidP="00B90788">
      <w:pPr>
        <w:pStyle w:val="PargrafodaLista"/>
        <w:spacing w:line="360" w:lineRule="auto"/>
        <w:ind w:left="709" w:right="-1"/>
        <w:outlineLvl w:val="0"/>
        <w:rPr>
          <w:rFonts w:ascii="Calibri" w:hAnsi="Calibri" w:cs="Calibri"/>
          <w:b/>
          <w:sz w:val="24"/>
          <w:szCs w:val="24"/>
        </w:rPr>
      </w:pPr>
    </w:p>
    <w:p w14:paraId="4D6BAB1E" w14:textId="517C9E47" w:rsidR="003A2FD6" w:rsidRPr="009A539C" w:rsidRDefault="005E7447" w:rsidP="00B20462">
      <w:pPr>
        <w:pStyle w:val="PargrafodaLista"/>
        <w:numPr>
          <w:ilvl w:val="1"/>
          <w:numId w:val="1"/>
        </w:numPr>
        <w:spacing w:line="360" w:lineRule="auto"/>
        <w:ind w:right="-1"/>
        <w:outlineLvl w:val="1"/>
        <w:rPr>
          <w:rFonts w:ascii="Calibri" w:hAnsi="Calibri" w:cs="Calibri"/>
          <w:b/>
        </w:rPr>
      </w:pPr>
      <w:bookmarkStart w:id="222" w:name="_Toc45535691"/>
      <w:r w:rsidRPr="009A539C">
        <w:rPr>
          <w:rFonts w:ascii="Calibri" w:hAnsi="Calibri" w:cs="Calibri"/>
          <w:b/>
        </w:rPr>
        <w:t>Dados gerais sobre a contratação coletiva em 2019</w:t>
      </w:r>
      <w:bookmarkEnd w:id="222"/>
    </w:p>
    <w:p w14:paraId="36906BAD" w14:textId="77777777" w:rsidR="00175E26" w:rsidRPr="009A539C" w:rsidRDefault="00175E26" w:rsidP="00B90788">
      <w:pPr>
        <w:pStyle w:val="PargrafodaLista"/>
        <w:spacing w:line="360" w:lineRule="auto"/>
        <w:ind w:left="426" w:right="-1"/>
        <w:outlineLvl w:val="1"/>
        <w:rPr>
          <w:rFonts w:ascii="Calibri" w:hAnsi="Calibri" w:cs="Calibri"/>
        </w:rPr>
      </w:pPr>
    </w:p>
    <w:p w14:paraId="5D7F9427" w14:textId="77777777" w:rsidR="003A2FD6" w:rsidRPr="009A539C" w:rsidRDefault="003A2FD6" w:rsidP="00A95C56">
      <w:pPr>
        <w:pStyle w:val="PargrafodaLista"/>
        <w:keepNext/>
        <w:keepLines/>
        <w:numPr>
          <w:ilvl w:val="0"/>
          <w:numId w:val="27"/>
        </w:numPr>
        <w:spacing w:line="360" w:lineRule="auto"/>
        <w:ind w:left="0" w:right="-1" w:firstLine="709"/>
        <w:jc w:val="both"/>
        <w:rPr>
          <w:rFonts w:eastAsia="Times New Roman" w:cstheme="minorHAnsi"/>
          <w:lang w:eastAsia="pt-PT"/>
        </w:rPr>
      </w:pPr>
      <w:bookmarkStart w:id="223" w:name="_Toc42511579"/>
      <w:bookmarkStart w:id="224" w:name="_Toc42514343"/>
      <w:r w:rsidRPr="009A539C">
        <w:rPr>
          <w:rFonts w:eastAsia="Times New Roman" w:cstheme="minorHAnsi"/>
          <w:lang w:eastAsia="pt-PT"/>
        </w:rPr>
        <w:t>Os dados da contratação coletiva publicados no ano de 2019, e comparativamente ao ano anterior, apresentam um crescimento da contratação coletiva com conteúdo autónomo (não considerando os acordos de adesão) na ordem dos 9% (240 conv</w:t>
      </w:r>
      <w:r w:rsidR="00401635" w:rsidRPr="009A539C">
        <w:rPr>
          <w:rFonts w:eastAsia="Times New Roman" w:cstheme="minorHAnsi"/>
          <w:lang w:eastAsia="pt-PT"/>
        </w:rPr>
        <w:t xml:space="preserve">enções em 2019 e 220 em 2018). </w:t>
      </w:r>
      <w:r w:rsidRPr="009A539C">
        <w:rPr>
          <w:rFonts w:eastAsia="Times New Roman" w:cstheme="minorHAnsi"/>
          <w:lang w:eastAsia="pt-PT"/>
        </w:rPr>
        <w:t>É particularmente notória a subida do número de revisões parciais (mais 22%, face a 2018), seguida de um pequeno aumento de primeiras convenções (19,2% do total das convenções), mas, em contrapartida, assiste-se a uma ligeira diminuição do número de revisões globais (13,8% do total).</w:t>
      </w:r>
      <w:bookmarkEnd w:id="223"/>
      <w:bookmarkEnd w:id="224"/>
      <w:r w:rsidRPr="009A539C">
        <w:rPr>
          <w:rFonts w:eastAsia="Times New Roman" w:cstheme="minorHAnsi"/>
          <w:lang w:eastAsia="pt-PT"/>
        </w:rPr>
        <w:t xml:space="preserve"> </w:t>
      </w:r>
    </w:p>
    <w:p w14:paraId="026380E0" w14:textId="3E188D44" w:rsidR="003A2FD6" w:rsidRPr="009A539C" w:rsidRDefault="003A2FD6" w:rsidP="00F43DFC">
      <w:pPr>
        <w:keepNext/>
        <w:keepLines/>
        <w:spacing w:line="360" w:lineRule="auto"/>
        <w:ind w:right="-1" w:firstLine="709"/>
        <w:jc w:val="both"/>
        <w:rPr>
          <w:rStyle w:val="ListLabel4"/>
        </w:rPr>
      </w:pPr>
      <w:bookmarkStart w:id="225" w:name="_Toc42511580"/>
      <w:bookmarkStart w:id="226" w:name="_Toc42514344"/>
      <w:r w:rsidRPr="009A539C">
        <w:rPr>
          <w:rStyle w:val="ListLabel4"/>
        </w:rPr>
        <w:t xml:space="preserve">Como se irá verificar no ponto 4.4., este peso relativo das revisões parciais (67,1%), no total das convenções, </w:t>
      </w:r>
      <w:r w:rsidR="001A0194" w:rsidRPr="009A539C">
        <w:rPr>
          <w:rStyle w:val="ListLabel4"/>
        </w:rPr>
        <w:t xml:space="preserve">tem reflexos </w:t>
      </w:r>
      <w:r w:rsidR="00401635" w:rsidRPr="009A539C">
        <w:rPr>
          <w:rStyle w:val="ListLabel4"/>
        </w:rPr>
        <w:t xml:space="preserve">no mapeamento </w:t>
      </w:r>
      <w:r w:rsidRPr="009A539C">
        <w:rPr>
          <w:rStyle w:val="ListLabel4"/>
        </w:rPr>
        <w:t>global dos conteúdos convencionados</w:t>
      </w:r>
      <w:r w:rsidR="00FB7BC4" w:rsidRPr="009A539C">
        <w:rPr>
          <w:rStyle w:val="ListLabel4"/>
        </w:rPr>
        <w:t xml:space="preserve"> </w:t>
      </w:r>
      <w:r w:rsidRPr="009A539C">
        <w:rPr>
          <w:rStyle w:val="ListLabel4"/>
        </w:rPr>
        <w:t>em 2019, provocando uma ligeira retração de determinados temas, no c</w:t>
      </w:r>
      <w:r w:rsidR="00FB7BC4" w:rsidRPr="009A539C">
        <w:rPr>
          <w:rStyle w:val="ListLabel4"/>
        </w:rPr>
        <w:t>ô</w:t>
      </w:r>
      <w:r w:rsidR="00C86C0C" w:rsidRPr="009A539C">
        <w:rPr>
          <w:rStyle w:val="ListLabel4"/>
        </w:rPr>
        <w:t xml:space="preserve">mputo geral </w:t>
      </w:r>
      <w:r w:rsidRPr="009A539C">
        <w:rPr>
          <w:rStyle w:val="ListLabel4"/>
        </w:rPr>
        <w:t>das convenções outorgadas em 2019</w:t>
      </w:r>
      <w:r w:rsidRPr="009A539C">
        <w:rPr>
          <w:rStyle w:val="Refdenotaderodap"/>
        </w:rPr>
        <w:footnoteReference w:id="38"/>
      </w:r>
      <w:r w:rsidR="00C86C0C" w:rsidRPr="009A539C">
        <w:rPr>
          <w:rStyle w:val="ListLabel4"/>
        </w:rPr>
        <w:t xml:space="preserve">, se </w:t>
      </w:r>
      <w:r w:rsidRPr="009A539C">
        <w:rPr>
          <w:rStyle w:val="ListLabel4"/>
        </w:rPr>
        <w:t>comparados com o ano anterior.</w:t>
      </w:r>
      <w:bookmarkEnd w:id="225"/>
      <w:bookmarkEnd w:id="226"/>
      <w:r w:rsidRPr="009A539C">
        <w:rPr>
          <w:rStyle w:val="ListLabel4"/>
        </w:rPr>
        <w:t xml:space="preserve"> </w:t>
      </w:r>
    </w:p>
    <w:p w14:paraId="3E53C9A6" w14:textId="77777777" w:rsidR="00965862" w:rsidRPr="009A539C" w:rsidRDefault="005B074B" w:rsidP="00F43DFC">
      <w:pPr>
        <w:keepNext/>
        <w:keepLines/>
        <w:spacing w:line="360" w:lineRule="auto"/>
        <w:ind w:right="-1" w:firstLine="709"/>
        <w:jc w:val="both"/>
        <w:rPr>
          <w:rStyle w:val="ListLabel4"/>
        </w:rPr>
      </w:pPr>
      <w:bookmarkStart w:id="227" w:name="_Toc42511581"/>
      <w:bookmarkStart w:id="228" w:name="_Toc42514345"/>
      <w:r w:rsidRPr="009A539C">
        <w:rPr>
          <w:rStyle w:val="ListLabel4"/>
        </w:rPr>
        <w:t>No que toca ao número de trabalhadores potencialmente abrangidos pelas convenções coletivas outorgadas em 2019, assiste-se a um decréscimo face o ano anterior, que poderá depender de menor densidade laboral dos setores abrangidos em 2019.</w:t>
      </w:r>
      <w:bookmarkEnd w:id="227"/>
      <w:bookmarkEnd w:id="228"/>
      <w:r w:rsidRPr="009A539C">
        <w:rPr>
          <w:rStyle w:val="ListLabel4"/>
        </w:rPr>
        <w:t xml:space="preserve">  </w:t>
      </w:r>
    </w:p>
    <w:p w14:paraId="2F6BA898" w14:textId="4815F8C9" w:rsidR="003A2FD6" w:rsidRPr="009A539C" w:rsidRDefault="00565062" w:rsidP="002A18E4">
      <w:pPr>
        <w:pStyle w:val="Legenda"/>
        <w:ind w:firstLine="708"/>
        <w:jc w:val="center"/>
        <w:rPr>
          <w:b w:val="0"/>
          <w:bCs w:val="0"/>
          <w:sz w:val="22"/>
          <w:szCs w:val="22"/>
        </w:rPr>
      </w:pPr>
      <w:bookmarkStart w:id="229" w:name="_Toc42511582"/>
      <w:bookmarkStart w:id="230" w:name="_Toc42514346"/>
      <w:bookmarkStart w:id="231" w:name="_Toc45716639"/>
      <w:r w:rsidRPr="009A539C">
        <w:rPr>
          <w:sz w:val="22"/>
          <w:szCs w:val="22"/>
        </w:rPr>
        <w:t xml:space="preserve">Quadro </w:t>
      </w:r>
      <w:r w:rsidR="00256F15" w:rsidRPr="009A539C">
        <w:rPr>
          <w:sz w:val="22"/>
          <w:szCs w:val="22"/>
        </w:rPr>
        <w:fldChar w:fldCharType="begin"/>
      </w:r>
      <w:r w:rsidR="00256F15" w:rsidRPr="009A539C">
        <w:rPr>
          <w:sz w:val="22"/>
          <w:szCs w:val="22"/>
        </w:rPr>
        <w:instrText xml:space="preserve"> SEQ Quadro \* ARABIC </w:instrText>
      </w:r>
      <w:r w:rsidR="00256F15" w:rsidRPr="009A539C">
        <w:rPr>
          <w:sz w:val="22"/>
          <w:szCs w:val="22"/>
        </w:rPr>
        <w:fldChar w:fldCharType="separate"/>
      </w:r>
      <w:r w:rsidR="00D821DE">
        <w:rPr>
          <w:noProof/>
          <w:sz w:val="22"/>
          <w:szCs w:val="22"/>
        </w:rPr>
        <w:t>18</w:t>
      </w:r>
      <w:r w:rsidR="00256F15" w:rsidRPr="009A539C">
        <w:rPr>
          <w:noProof/>
          <w:sz w:val="22"/>
          <w:szCs w:val="22"/>
        </w:rPr>
        <w:fldChar w:fldCharType="end"/>
      </w:r>
      <w:r w:rsidR="00965862" w:rsidRPr="009A539C">
        <w:rPr>
          <w:sz w:val="22"/>
          <w:szCs w:val="22"/>
        </w:rPr>
        <w:t xml:space="preserve"> - Convenções coletivas publicadas e número de trabalhadores potencialmente abrangidos (2019)</w:t>
      </w:r>
      <w:bookmarkEnd w:id="229"/>
      <w:bookmarkEnd w:id="230"/>
      <w:bookmarkEnd w:id="231"/>
    </w:p>
    <w:p w14:paraId="502F9E0B" w14:textId="77777777" w:rsidR="005B074B" w:rsidRPr="009A539C" w:rsidRDefault="00965862" w:rsidP="00F43DFC">
      <w:pPr>
        <w:pStyle w:val="PargrafodaLista"/>
        <w:spacing w:line="360" w:lineRule="auto"/>
        <w:ind w:left="0" w:right="-1" w:firstLine="709"/>
        <w:jc w:val="both"/>
        <w:rPr>
          <w:rStyle w:val="ListLabel4"/>
        </w:rPr>
      </w:pPr>
      <w:bookmarkStart w:id="232" w:name="_Toc42511583"/>
      <w:bookmarkStart w:id="233" w:name="_Toc42514347"/>
      <w:r w:rsidRPr="009A539C">
        <w:rPr>
          <w:noProof/>
          <w:lang w:eastAsia="pt-PT"/>
        </w:rPr>
        <w:drawing>
          <wp:inline distT="0" distB="0" distL="0" distR="0" wp14:anchorId="6DA78492" wp14:editId="7B7965D6">
            <wp:extent cx="6305550" cy="1790700"/>
            <wp:effectExtent l="0" t="0" r="0" b="0"/>
            <wp:docPr id="1122" name="Imagem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17374" cy="1794058"/>
                    </a:xfrm>
                    <a:prstGeom prst="rect">
                      <a:avLst/>
                    </a:prstGeom>
                    <a:noFill/>
                    <a:ln>
                      <a:noFill/>
                    </a:ln>
                  </pic:spPr>
                </pic:pic>
              </a:graphicData>
            </a:graphic>
          </wp:inline>
        </w:drawing>
      </w:r>
      <w:bookmarkEnd w:id="232"/>
      <w:bookmarkEnd w:id="233"/>
      <w:r w:rsidRPr="009A539C">
        <w:rPr>
          <w:rStyle w:val="ListLabel4"/>
        </w:rPr>
        <w:t xml:space="preserve"> </w:t>
      </w:r>
    </w:p>
    <w:p w14:paraId="4DCEE922" w14:textId="3CCE12D4" w:rsidR="005B074B" w:rsidRPr="009A539C" w:rsidRDefault="00965862" w:rsidP="00F43DFC">
      <w:pPr>
        <w:pStyle w:val="PargrafodaLista"/>
        <w:spacing w:line="360" w:lineRule="auto"/>
        <w:ind w:left="0" w:right="-1" w:firstLine="709"/>
        <w:jc w:val="both"/>
        <w:rPr>
          <w:rStyle w:val="ListLabel4"/>
        </w:rPr>
      </w:pPr>
      <w:bookmarkStart w:id="234" w:name="_Toc42511584"/>
      <w:bookmarkStart w:id="235" w:name="_Toc42514348"/>
      <w:r w:rsidRPr="009A539C">
        <w:rPr>
          <w:rStyle w:val="ListLabel4"/>
        </w:rPr>
        <w:t>Em termos globais, em 2019 foram publicados 35</w:t>
      </w:r>
      <w:r w:rsidR="004E57A0" w:rsidRPr="009A539C">
        <w:rPr>
          <w:rStyle w:val="ListLabel4"/>
        </w:rPr>
        <w:t>2</w:t>
      </w:r>
      <w:r w:rsidRPr="009A539C">
        <w:rPr>
          <w:rStyle w:val="ListLabel4"/>
        </w:rPr>
        <w:t xml:space="preserve"> IRCT, o que corresponde a um crescimento das duas categorias de IRCT: os negociais e os não negociais.</w:t>
      </w:r>
      <w:bookmarkEnd w:id="234"/>
      <w:bookmarkEnd w:id="235"/>
    </w:p>
    <w:p w14:paraId="15D28EBA" w14:textId="77777777" w:rsidR="004B0C53" w:rsidRPr="009A539C" w:rsidRDefault="004B0C53" w:rsidP="00F43DFC">
      <w:pPr>
        <w:pStyle w:val="PargrafodaLista"/>
        <w:spacing w:line="360" w:lineRule="auto"/>
        <w:ind w:left="0" w:right="-1" w:firstLine="709"/>
        <w:jc w:val="both"/>
        <w:rPr>
          <w:rStyle w:val="ListLabel4"/>
        </w:rPr>
      </w:pPr>
    </w:p>
    <w:p w14:paraId="49BA3316" w14:textId="192BCD13" w:rsidR="004B0C53" w:rsidRPr="009A539C" w:rsidRDefault="00965862" w:rsidP="00F43DFC">
      <w:pPr>
        <w:pStyle w:val="PargrafodaLista"/>
        <w:spacing w:line="360" w:lineRule="auto"/>
        <w:ind w:left="0" w:right="-1" w:firstLine="709"/>
        <w:jc w:val="both"/>
        <w:rPr>
          <w:rStyle w:val="ListLabel4"/>
        </w:rPr>
      </w:pPr>
      <w:bookmarkStart w:id="236" w:name="_Toc42511585"/>
      <w:bookmarkStart w:id="237" w:name="_Toc42514349"/>
      <w:r w:rsidRPr="009A539C">
        <w:rPr>
          <w:rStyle w:val="ListLabel4"/>
        </w:rPr>
        <w:t>Relativamente aos IRCT negociais, o número de acordos de empresa iguala o de contratos coletivos celebrados e, no que diz respeito aos IRCT não negociais, observa-se o crescimento do número de Portarias de extensão publicadas.</w:t>
      </w:r>
      <w:bookmarkEnd w:id="236"/>
      <w:bookmarkEnd w:id="237"/>
    </w:p>
    <w:p w14:paraId="4067012F" w14:textId="77777777" w:rsidR="0087143A" w:rsidRPr="009A539C" w:rsidRDefault="0087143A" w:rsidP="00F43DFC">
      <w:pPr>
        <w:pStyle w:val="PargrafodaLista"/>
        <w:spacing w:line="360" w:lineRule="auto"/>
        <w:ind w:left="0" w:right="-1" w:firstLine="709"/>
        <w:jc w:val="both"/>
        <w:rPr>
          <w:rStyle w:val="ListLabel4"/>
        </w:rPr>
      </w:pPr>
    </w:p>
    <w:p w14:paraId="0746B1B5" w14:textId="2AF382C5" w:rsidR="003A2FD6" w:rsidRPr="009A539C" w:rsidRDefault="00565062" w:rsidP="00565062">
      <w:pPr>
        <w:pStyle w:val="Legenda"/>
        <w:jc w:val="center"/>
        <w:rPr>
          <w:b w:val="0"/>
          <w:bCs w:val="0"/>
          <w:sz w:val="22"/>
          <w:szCs w:val="22"/>
        </w:rPr>
      </w:pPr>
      <w:bookmarkStart w:id="238" w:name="_Toc42511586"/>
      <w:bookmarkStart w:id="239" w:name="_Toc42514350"/>
      <w:bookmarkStart w:id="240" w:name="_Toc45716640"/>
      <w:r w:rsidRPr="009A539C">
        <w:rPr>
          <w:sz w:val="22"/>
          <w:szCs w:val="22"/>
        </w:rPr>
        <w:t xml:space="preserve">Quadro </w:t>
      </w:r>
      <w:r w:rsidR="00256F15" w:rsidRPr="009A539C">
        <w:rPr>
          <w:sz w:val="22"/>
          <w:szCs w:val="22"/>
        </w:rPr>
        <w:fldChar w:fldCharType="begin"/>
      </w:r>
      <w:r w:rsidR="00256F15" w:rsidRPr="009A539C">
        <w:rPr>
          <w:sz w:val="22"/>
          <w:szCs w:val="22"/>
        </w:rPr>
        <w:instrText xml:space="preserve"> SEQ Quadro \* ARABIC </w:instrText>
      </w:r>
      <w:r w:rsidR="00256F15" w:rsidRPr="009A539C">
        <w:rPr>
          <w:sz w:val="22"/>
          <w:szCs w:val="22"/>
        </w:rPr>
        <w:fldChar w:fldCharType="separate"/>
      </w:r>
      <w:r w:rsidR="00D821DE">
        <w:rPr>
          <w:noProof/>
          <w:sz w:val="22"/>
          <w:szCs w:val="22"/>
        </w:rPr>
        <w:t>19</w:t>
      </w:r>
      <w:r w:rsidR="00256F15" w:rsidRPr="009A539C">
        <w:rPr>
          <w:noProof/>
          <w:sz w:val="22"/>
          <w:szCs w:val="22"/>
        </w:rPr>
        <w:fldChar w:fldCharType="end"/>
      </w:r>
      <w:r w:rsidRPr="009A539C">
        <w:rPr>
          <w:b w:val="0"/>
          <w:bCs w:val="0"/>
          <w:sz w:val="22"/>
          <w:szCs w:val="22"/>
        </w:rPr>
        <w:t xml:space="preserve"> </w:t>
      </w:r>
      <w:r w:rsidR="003A2FD6" w:rsidRPr="009A539C">
        <w:rPr>
          <w:sz w:val="22"/>
          <w:szCs w:val="22"/>
        </w:rPr>
        <w:t>– IRCT publicados em 2019 (por tipo)</w:t>
      </w:r>
      <w:bookmarkEnd w:id="238"/>
      <w:bookmarkEnd w:id="239"/>
      <w:bookmarkEnd w:id="240"/>
    </w:p>
    <w:p w14:paraId="4A02245F" w14:textId="0B7EE806" w:rsidR="004E57A0" w:rsidRPr="009A539C" w:rsidRDefault="004E57A0" w:rsidP="00F43DFC">
      <w:pPr>
        <w:spacing w:line="240" w:lineRule="auto"/>
        <w:ind w:right="-1"/>
        <w:jc w:val="center"/>
        <w:rPr>
          <w:rFonts w:cs="Times New Roman"/>
          <w:b/>
          <w:bCs/>
          <w:color w:val="4F81BD" w:themeColor="accent1"/>
        </w:rPr>
      </w:pPr>
      <w:r w:rsidRPr="009A539C">
        <w:rPr>
          <w:rFonts w:cs="Times New Roman"/>
          <w:b/>
          <w:bCs/>
          <w:noProof/>
          <w:color w:val="4F81BD" w:themeColor="accent1"/>
          <w:lang w:eastAsia="pt-PT"/>
        </w:rPr>
        <w:drawing>
          <wp:inline distT="0" distB="0" distL="0" distR="0" wp14:anchorId="153D1968" wp14:editId="29570C48">
            <wp:extent cx="3999230" cy="3011805"/>
            <wp:effectExtent l="0" t="0" r="1270" b="0"/>
            <wp:docPr id="1215" name="Imagem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99230" cy="3011805"/>
                    </a:xfrm>
                    <a:prstGeom prst="rect">
                      <a:avLst/>
                    </a:prstGeom>
                    <a:noFill/>
                  </pic:spPr>
                </pic:pic>
              </a:graphicData>
            </a:graphic>
          </wp:inline>
        </w:drawing>
      </w:r>
    </w:p>
    <w:p w14:paraId="3F4C930C" w14:textId="77777777" w:rsidR="00BF371B" w:rsidRPr="009A539C" w:rsidRDefault="00BF371B" w:rsidP="00F43DFC">
      <w:pPr>
        <w:spacing w:line="240" w:lineRule="auto"/>
        <w:ind w:right="-1"/>
        <w:jc w:val="center"/>
        <w:rPr>
          <w:rFonts w:cs="Times New Roman"/>
          <w:b/>
          <w:bCs/>
          <w:color w:val="4F81BD" w:themeColor="accent1"/>
        </w:rPr>
      </w:pPr>
    </w:p>
    <w:p w14:paraId="778460F0" w14:textId="40E0D21F" w:rsidR="004B0C53" w:rsidRPr="009A539C" w:rsidRDefault="004B0C53" w:rsidP="002A18E4">
      <w:pPr>
        <w:pStyle w:val="PargrafodaLista"/>
        <w:keepNext/>
        <w:keepLines/>
        <w:numPr>
          <w:ilvl w:val="0"/>
          <w:numId w:val="27"/>
        </w:numPr>
        <w:spacing w:line="360" w:lineRule="auto"/>
        <w:ind w:left="0" w:right="-1" w:firstLine="567"/>
        <w:jc w:val="both"/>
        <w:rPr>
          <w:rStyle w:val="ListLabel4"/>
        </w:rPr>
      </w:pPr>
      <w:bookmarkStart w:id="241" w:name="_Toc42511588"/>
      <w:bookmarkStart w:id="242" w:name="_Toc42514352"/>
      <w:r w:rsidRPr="009A539C">
        <w:rPr>
          <w:rStyle w:val="ListLabel4"/>
        </w:rPr>
        <w:t>O quadro seguinte assinala um ligeiro decréscimo do total de convenções paralelas</w:t>
      </w:r>
      <w:r w:rsidRPr="009A539C">
        <w:rPr>
          <w:rStyle w:val="Refdenotaderodap"/>
        </w:rPr>
        <w:footnoteReference w:id="39"/>
      </w:r>
      <w:r w:rsidRPr="009A539C">
        <w:rPr>
          <w:rStyle w:val="ListLabel4"/>
        </w:rPr>
        <w:t xml:space="preserve"> (77 em 2019 e 88 em 2018), embora continue a abranger um número assinável de unidades de negociação (32% de 240 convenções). Seguindo a metodologia dos relatórios anteriores, consideram-se, tão-somente, as situações de paralelismo entre convenções publicadas no mesmo ano, não se apurando aqui as situações paralelismo ocorrida com convenções publicadas em anos anteriores, de que se dá nota ao longo do relatório</w:t>
      </w:r>
      <w:r w:rsidRPr="009A539C">
        <w:rPr>
          <w:rStyle w:val="Refdenotaderodap"/>
        </w:rPr>
        <w:footnoteReference w:id="40"/>
      </w:r>
      <w:r w:rsidRPr="009A539C">
        <w:t>.</w:t>
      </w:r>
      <w:bookmarkEnd w:id="241"/>
      <w:bookmarkEnd w:id="242"/>
    </w:p>
    <w:p w14:paraId="2C87CA94" w14:textId="3FF6E9B7" w:rsidR="00B90B12" w:rsidRPr="009A539C" w:rsidRDefault="00565062" w:rsidP="00565062">
      <w:pPr>
        <w:pStyle w:val="Legenda"/>
        <w:jc w:val="center"/>
        <w:rPr>
          <w:b w:val="0"/>
          <w:bCs w:val="0"/>
          <w:sz w:val="22"/>
          <w:szCs w:val="22"/>
        </w:rPr>
      </w:pPr>
      <w:bookmarkStart w:id="243" w:name="_Toc42511589"/>
      <w:bookmarkStart w:id="244" w:name="_Toc42514353"/>
      <w:bookmarkStart w:id="245" w:name="_Toc45716641"/>
      <w:r w:rsidRPr="009A539C">
        <w:rPr>
          <w:sz w:val="22"/>
          <w:szCs w:val="22"/>
        </w:rPr>
        <w:t xml:space="preserve">Quadro </w:t>
      </w:r>
      <w:r w:rsidR="00256F15" w:rsidRPr="009A539C">
        <w:rPr>
          <w:sz w:val="22"/>
          <w:szCs w:val="22"/>
        </w:rPr>
        <w:fldChar w:fldCharType="begin"/>
      </w:r>
      <w:r w:rsidR="00256F15" w:rsidRPr="009A539C">
        <w:rPr>
          <w:sz w:val="22"/>
          <w:szCs w:val="22"/>
        </w:rPr>
        <w:instrText xml:space="preserve"> SEQ Quadro \* ARABIC </w:instrText>
      </w:r>
      <w:r w:rsidR="00256F15" w:rsidRPr="009A539C">
        <w:rPr>
          <w:sz w:val="22"/>
          <w:szCs w:val="22"/>
        </w:rPr>
        <w:fldChar w:fldCharType="separate"/>
      </w:r>
      <w:r w:rsidR="00D821DE">
        <w:rPr>
          <w:noProof/>
          <w:sz w:val="22"/>
          <w:szCs w:val="22"/>
        </w:rPr>
        <w:t>20</w:t>
      </w:r>
      <w:r w:rsidR="00256F15" w:rsidRPr="009A539C">
        <w:rPr>
          <w:noProof/>
          <w:sz w:val="22"/>
          <w:szCs w:val="22"/>
        </w:rPr>
        <w:fldChar w:fldCharType="end"/>
      </w:r>
      <w:r w:rsidR="00B90B12" w:rsidRPr="009A539C">
        <w:rPr>
          <w:sz w:val="22"/>
          <w:szCs w:val="22"/>
        </w:rPr>
        <w:t xml:space="preserve"> - Convenções paralelas publicadas em 2019 (por tipo)</w:t>
      </w:r>
      <w:bookmarkEnd w:id="243"/>
      <w:bookmarkEnd w:id="244"/>
      <w:bookmarkEnd w:id="245"/>
    </w:p>
    <w:p w14:paraId="70735F1D" w14:textId="77777777" w:rsidR="004B0C53" w:rsidRPr="009A539C" w:rsidRDefault="00B90B12" w:rsidP="00F43DFC">
      <w:pPr>
        <w:pStyle w:val="PargrafodaLista"/>
        <w:spacing w:line="360" w:lineRule="auto"/>
        <w:ind w:left="0" w:right="-1" w:firstLine="709"/>
        <w:jc w:val="center"/>
        <w:rPr>
          <w:rStyle w:val="ListLabel4"/>
          <w:rFonts w:ascii="Calibri" w:hAnsi="Calibri" w:cs="Calibri"/>
          <w:color w:val="0070C0"/>
        </w:rPr>
      </w:pPr>
      <w:bookmarkStart w:id="246" w:name="_Toc42511590"/>
      <w:bookmarkStart w:id="247" w:name="_Toc42514354"/>
      <w:r w:rsidRPr="009A539C">
        <w:rPr>
          <w:noProof/>
          <w:lang w:eastAsia="pt-PT"/>
        </w:rPr>
        <w:drawing>
          <wp:inline distT="0" distB="0" distL="0" distR="0" wp14:anchorId="528EAC46" wp14:editId="4673D165">
            <wp:extent cx="4527935" cy="1653235"/>
            <wp:effectExtent l="0" t="0" r="6350" b="0"/>
            <wp:docPr id="1125" name="Imagem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27816" cy="1653192"/>
                    </a:xfrm>
                    <a:prstGeom prst="rect">
                      <a:avLst/>
                    </a:prstGeom>
                    <a:noFill/>
                    <a:ln>
                      <a:noFill/>
                    </a:ln>
                  </pic:spPr>
                </pic:pic>
              </a:graphicData>
            </a:graphic>
          </wp:inline>
        </w:drawing>
      </w:r>
      <w:bookmarkEnd w:id="246"/>
      <w:bookmarkEnd w:id="247"/>
    </w:p>
    <w:p w14:paraId="1514C317" w14:textId="77777777" w:rsidR="003A2FD6" w:rsidRPr="009A539C" w:rsidRDefault="003A2FD6" w:rsidP="00F43DFC">
      <w:pPr>
        <w:keepNext/>
        <w:keepLines/>
        <w:spacing w:line="360" w:lineRule="auto"/>
        <w:ind w:right="-1"/>
        <w:jc w:val="both"/>
        <w:rPr>
          <w:rStyle w:val="ListLabel4"/>
        </w:rPr>
      </w:pPr>
      <w:bookmarkStart w:id="248" w:name="_Toc42511591"/>
      <w:bookmarkStart w:id="249" w:name="_Toc42514355"/>
      <w:r w:rsidRPr="009A539C">
        <w:rPr>
          <w:rStyle w:val="ListLabel4"/>
        </w:rPr>
        <w:t>Pelo prisma do número de trabalhadores cobertos por contratação coletiva publicada no ano, apurado nos relatórios da DGERT, recorde-se que está acautelada a contabilização desses trabalhadores apenas uma vez, não havendo por isso um aumento da cobertura por esta via. Continua a não haver notícia da publicação de convenções em que as associações sindicais tenham feito uso da faculdade, prevista no art. 491.º, 3 do CT, de conferir à estrutura de representação coletiva dos trabalhadores da empresa poderes para, em nome dos associados da representada, celebrarem convenções coletivas (apenas aplicável a empresas com pelo menos 150 trabalhadores).</w:t>
      </w:r>
      <w:bookmarkEnd w:id="248"/>
      <w:bookmarkEnd w:id="249"/>
    </w:p>
    <w:p w14:paraId="588CFE07" w14:textId="12320E6B" w:rsidR="003A2FD6" w:rsidRPr="009A539C" w:rsidRDefault="003A2FD6" w:rsidP="002A18E4">
      <w:pPr>
        <w:pStyle w:val="PargrafodaLista"/>
        <w:keepNext/>
        <w:keepLines/>
        <w:numPr>
          <w:ilvl w:val="0"/>
          <w:numId w:val="27"/>
        </w:numPr>
        <w:spacing w:line="360" w:lineRule="auto"/>
        <w:ind w:left="0" w:right="-1" w:firstLine="709"/>
        <w:jc w:val="both"/>
        <w:rPr>
          <w:rStyle w:val="ListLabel4"/>
        </w:rPr>
      </w:pPr>
      <w:bookmarkStart w:id="250" w:name="_Toc42511592"/>
      <w:bookmarkStart w:id="251" w:name="_Toc42514356"/>
      <w:r w:rsidRPr="009A539C">
        <w:rPr>
          <w:rStyle w:val="ListLabel4"/>
        </w:rPr>
        <w:t>Através do quadro seguinte demonstra-se a distribuição setorial da negociação coletiva pelos 21 grupos da Classificação Económica (CAE). Em 2019, a distribuição setorial cobre mais setores de atividade, comparativamente a 2018 (5 setores sem convenções em 2019, por oposição a 7 setores em 2018).</w:t>
      </w:r>
      <w:bookmarkEnd w:id="250"/>
      <w:bookmarkEnd w:id="251"/>
      <w:r w:rsidRPr="009A539C">
        <w:rPr>
          <w:rStyle w:val="ListLabel4"/>
        </w:rPr>
        <w:t xml:space="preserve"> </w:t>
      </w:r>
    </w:p>
    <w:p w14:paraId="33FA46FC" w14:textId="77777777" w:rsidR="00B90B12" w:rsidRPr="009A539C" w:rsidRDefault="00FB7BC4" w:rsidP="00F43DFC">
      <w:pPr>
        <w:keepNext/>
        <w:keepLines/>
        <w:spacing w:line="360" w:lineRule="auto"/>
        <w:ind w:right="-1"/>
        <w:jc w:val="both"/>
        <w:rPr>
          <w:rStyle w:val="ListLabel4"/>
        </w:rPr>
      </w:pPr>
      <w:bookmarkStart w:id="252" w:name="_Toc42511594"/>
      <w:bookmarkStart w:id="253" w:name="_Toc42514358"/>
      <w:r w:rsidRPr="009A539C">
        <w:rPr>
          <w:rStyle w:val="ListLabel4"/>
        </w:rPr>
        <w:t>N</w:t>
      </w:r>
      <w:r w:rsidR="003A2FD6" w:rsidRPr="009A539C">
        <w:rPr>
          <w:rStyle w:val="ListLabel4"/>
        </w:rPr>
        <w:t xml:space="preserve">a repartição setorial do conjunto de convenções coletivas publicadas em 2019, continuam a predominar três setores de atividade: “Indústrias transformadoras” (76 convenções), “Transportes e armazenagem” (53) e “Comércio por grosso e a retalho, reparação de veículos automóveis e motociclos” (41 </w:t>
      </w:r>
      <w:r w:rsidR="00401635" w:rsidRPr="009A539C">
        <w:rPr>
          <w:rStyle w:val="ListLabel4"/>
        </w:rPr>
        <w:t xml:space="preserve">convenções), o que corresponde </w:t>
      </w:r>
      <w:r w:rsidR="003A2FD6" w:rsidRPr="009A539C">
        <w:rPr>
          <w:rStyle w:val="ListLabel4"/>
        </w:rPr>
        <w:t>a 72% do total de convenções do ano (77% em 2016, 69% em 2017 e 64% em 2018). Comparativamente a 2018, estes foram os setores com uma taxa de crescimento mais elevada (15%, 26% e 24%, respetivamente).</w:t>
      </w:r>
      <w:bookmarkEnd w:id="252"/>
      <w:bookmarkEnd w:id="253"/>
      <w:r w:rsidR="003A2FD6" w:rsidRPr="009A539C">
        <w:rPr>
          <w:rStyle w:val="ListLabel4"/>
        </w:rPr>
        <w:t xml:space="preserve">   </w:t>
      </w:r>
    </w:p>
    <w:p w14:paraId="2381EF5D" w14:textId="77777777" w:rsidR="00B90B12" w:rsidRPr="009A539C" w:rsidRDefault="00B90B12" w:rsidP="00F43DFC">
      <w:pPr>
        <w:keepNext/>
        <w:keepLines/>
        <w:spacing w:line="360" w:lineRule="auto"/>
        <w:ind w:right="-1"/>
        <w:jc w:val="both"/>
        <w:rPr>
          <w:rStyle w:val="ListLabel4"/>
        </w:rPr>
      </w:pPr>
    </w:p>
    <w:p w14:paraId="4AC89701" w14:textId="77777777" w:rsidR="00B90B12" w:rsidRPr="009A539C" w:rsidRDefault="00B90B12" w:rsidP="00F43DFC">
      <w:pPr>
        <w:keepNext/>
        <w:keepLines/>
        <w:spacing w:line="360" w:lineRule="auto"/>
        <w:ind w:right="-1"/>
        <w:jc w:val="both"/>
        <w:rPr>
          <w:rStyle w:val="ListLabel4"/>
        </w:rPr>
      </w:pPr>
    </w:p>
    <w:p w14:paraId="0C55E180" w14:textId="77777777" w:rsidR="00B90B12" w:rsidRPr="009A539C" w:rsidRDefault="00B90B12" w:rsidP="00F43DFC">
      <w:pPr>
        <w:keepNext/>
        <w:keepLines/>
        <w:spacing w:line="360" w:lineRule="auto"/>
        <w:ind w:right="-1"/>
        <w:jc w:val="both"/>
        <w:rPr>
          <w:rStyle w:val="ListLabel4"/>
        </w:rPr>
      </w:pPr>
    </w:p>
    <w:p w14:paraId="55B8A0B3" w14:textId="77777777" w:rsidR="00B90B12" w:rsidRPr="009A539C" w:rsidRDefault="00B90B12" w:rsidP="00F43DFC">
      <w:pPr>
        <w:keepNext/>
        <w:keepLines/>
        <w:spacing w:line="360" w:lineRule="auto"/>
        <w:ind w:right="-1"/>
        <w:jc w:val="both"/>
        <w:rPr>
          <w:rStyle w:val="ListLabel4"/>
        </w:rPr>
      </w:pPr>
    </w:p>
    <w:p w14:paraId="26F9CB85" w14:textId="77777777" w:rsidR="00B90B12" w:rsidRPr="009A539C" w:rsidRDefault="00B90B12" w:rsidP="00F43DFC">
      <w:pPr>
        <w:keepNext/>
        <w:keepLines/>
        <w:spacing w:line="360" w:lineRule="auto"/>
        <w:ind w:right="-1"/>
        <w:jc w:val="both"/>
        <w:rPr>
          <w:rStyle w:val="ListLabel4"/>
        </w:rPr>
      </w:pPr>
    </w:p>
    <w:p w14:paraId="580174A6" w14:textId="77777777" w:rsidR="00FB7BC4" w:rsidRPr="009A539C" w:rsidRDefault="00FB7BC4" w:rsidP="00F43DFC">
      <w:pPr>
        <w:rPr>
          <w:rStyle w:val="ListLabel4"/>
        </w:rPr>
      </w:pPr>
      <w:r w:rsidRPr="009A539C">
        <w:rPr>
          <w:rStyle w:val="ListLabel4"/>
        </w:rPr>
        <w:br w:type="page"/>
      </w:r>
    </w:p>
    <w:p w14:paraId="4AE4DB25" w14:textId="629A7EC6" w:rsidR="0038102F" w:rsidRPr="009A539C" w:rsidRDefault="00565062" w:rsidP="00565062">
      <w:pPr>
        <w:pStyle w:val="Legenda"/>
        <w:jc w:val="center"/>
        <w:rPr>
          <w:sz w:val="22"/>
          <w:szCs w:val="22"/>
        </w:rPr>
      </w:pPr>
      <w:bookmarkStart w:id="254" w:name="_Toc42511595"/>
      <w:bookmarkStart w:id="255" w:name="_Toc42514359"/>
      <w:bookmarkStart w:id="256" w:name="_Toc45716642"/>
      <w:r w:rsidRPr="009A539C">
        <w:rPr>
          <w:sz w:val="22"/>
          <w:szCs w:val="22"/>
        </w:rPr>
        <w:t xml:space="preserve">Quadro </w:t>
      </w:r>
      <w:r w:rsidR="00256F15" w:rsidRPr="009A539C">
        <w:rPr>
          <w:sz w:val="22"/>
          <w:szCs w:val="22"/>
        </w:rPr>
        <w:fldChar w:fldCharType="begin"/>
      </w:r>
      <w:r w:rsidR="00256F15" w:rsidRPr="009A539C">
        <w:rPr>
          <w:sz w:val="22"/>
          <w:szCs w:val="22"/>
        </w:rPr>
        <w:instrText xml:space="preserve"> SEQ Quadro \* ARABIC </w:instrText>
      </w:r>
      <w:r w:rsidR="00256F15" w:rsidRPr="009A539C">
        <w:rPr>
          <w:sz w:val="22"/>
          <w:szCs w:val="22"/>
        </w:rPr>
        <w:fldChar w:fldCharType="separate"/>
      </w:r>
      <w:r w:rsidR="00D821DE">
        <w:rPr>
          <w:noProof/>
          <w:sz w:val="22"/>
          <w:szCs w:val="22"/>
        </w:rPr>
        <w:t>21</w:t>
      </w:r>
      <w:r w:rsidR="00256F15" w:rsidRPr="009A539C">
        <w:rPr>
          <w:noProof/>
          <w:sz w:val="22"/>
          <w:szCs w:val="22"/>
        </w:rPr>
        <w:fldChar w:fldCharType="end"/>
      </w:r>
      <w:r w:rsidR="003A2FD6" w:rsidRPr="009A539C">
        <w:rPr>
          <w:sz w:val="22"/>
          <w:szCs w:val="22"/>
        </w:rPr>
        <w:t xml:space="preserve"> - Convenções publicadas em 2019 (por atividade económica e tipo)</w:t>
      </w:r>
      <w:bookmarkEnd w:id="254"/>
      <w:bookmarkEnd w:id="255"/>
      <w:bookmarkEnd w:id="256"/>
    </w:p>
    <w:p w14:paraId="2DD00FC1" w14:textId="05B9B7EE" w:rsidR="00FB41DA" w:rsidRPr="009A539C" w:rsidRDefault="00FB41DA" w:rsidP="00FB41DA">
      <w:r w:rsidRPr="009A539C">
        <w:rPr>
          <w:noProof/>
          <w:lang w:eastAsia="pt-PT"/>
        </w:rPr>
        <w:drawing>
          <wp:inline distT="0" distB="0" distL="0" distR="0" wp14:anchorId="767052F8" wp14:editId="7896D642">
            <wp:extent cx="6750685" cy="5915168"/>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50685" cy="5915168"/>
                    </a:xfrm>
                    <a:prstGeom prst="rect">
                      <a:avLst/>
                    </a:prstGeom>
                    <a:noFill/>
                    <a:ln>
                      <a:noFill/>
                    </a:ln>
                  </pic:spPr>
                </pic:pic>
              </a:graphicData>
            </a:graphic>
          </wp:inline>
        </w:drawing>
      </w:r>
    </w:p>
    <w:p w14:paraId="5722BD4C" w14:textId="77777777" w:rsidR="003A2FD6" w:rsidRPr="009A539C" w:rsidRDefault="003A2FD6" w:rsidP="008524A6">
      <w:pPr>
        <w:keepNext/>
        <w:keepLines/>
        <w:spacing w:line="360" w:lineRule="auto"/>
        <w:ind w:right="-1"/>
        <w:rPr>
          <w:rStyle w:val="ListLabel4"/>
        </w:rPr>
      </w:pPr>
      <w:r w:rsidRPr="009A539C">
        <w:rPr>
          <w:rStyle w:val="ListLabel4"/>
        </w:rPr>
        <w:tab/>
      </w:r>
    </w:p>
    <w:p w14:paraId="6AC4F236" w14:textId="526AB373" w:rsidR="003A2FD6" w:rsidRPr="009A539C" w:rsidRDefault="00B90B12" w:rsidP="00F43DFC">
      <w:pPr>
        <w:keepNext/>
        <w:keepLines/>
        <w:spacing w:line="360" w:lineRule="auto"/>
        <w:ind w:right="-1" w:firstLine="708"/>
        <w:jc w:val="both"/>
        <w:rPr>
          <w:rStyle w:val="ListLabel4"/>
        </w:rPr>
      </w:pPr>
      <w:bookmarkStart w:id="257" w:name="_Toc42511597"/>
      <w:bookmarkStart w:id="258" w:name="_Toc42514361"/>
      <w:r w:rsidRPr="009A539C">
        <w:rPr>
          <w:rStyle w:val="ListLabel4"/>
        </w:rPr>
        <w:t>IV.</w:t>
      </w:r>
      <w:r w:rsidRPr="009A539C">
        <w:rPr>
          <w:rStyle w:val="ListLabel4"/>
        </w:rPr>
        <w:tab/>
      </w:r>
      <w:r w:rsidR="003A2FD6" w:rsidRPr="009A539C">
        <w:rPr>
          <w:rStyle w:val="ListLabel4"/>
        </w:rPr>
        <w:t xml:space="preserve"> Pelo prisma da cobertura das convenções coletivas publicadas em 2019, a repartição por setor de atividade apresenta uma configuração diferente, assim (Quadro 2</w:t>
      </w:r>
      <w:r w:rsidR="00C75097" w:rsidRPr="009A539C">
        <w:rPr>
          <w:rStyle w:val="ListLabel4"/>
        </w:rPr>
        <w:t>2</w:t>
      </w:r>
      <w:r w:rsidR="003A2FD6" w:rsidRPr="009A539C">
        <w:rPr>
          <w:rStyle w:val="ListLabel4"/>
        </w:rPr>
        <w:t>):</w:t>
      </w:r>
      <w:bookmarkEnd w:id="257"/>
      <w:bookmarkEnd w:id="258"/>
    </w:p>
    <w:p w14:paraId="208CE726" w14:textId="04C72487" w:rsidR="003A2FD6" w:rsidRPr="009A539C" w:rsidRDefault="003A2FD6" w:rsidP="00F43DFC">
      <w:pPr>
        <w:keepNext/>
        <w:keepLines/>
        <w:spacing w:line="360" w:lineRule="auto"/>
        <w:ind w:right="-1" w:firstLine="708"/>
        <w:jc w:val="both"/>
        <w:rPr>
          <w:rStyle w:val="ListLabel4"/>
          <w:strike/>
        </w:rPr>
      </w:pPr>
      <w:bookmarkStart w:id="259" w:name="_Toc42511598"/>
      <w:bookmarkStart w:id="260" w:name="_Toc42514362"/>
      <w:r w:rsidRPr="009A539C">
        <w:rPr>
          <w:rStyle w:val="ListLabel4"/>
        </w:rPr>
        <w:t>a) Prossegue a subida de “Comércio por grosso e a retalho; reparação de veículos automóveis e m</w:t>
      </w:r>
      <w:r w:rsidR="00401635" w:rsidRPr="009A539C">
        <w:rPr>
          <w:rStyle w:val="ListLabel4"/>
        </w:rPr>
        <w:t>otociclos” (G), (89.696</w:t>
      </w:r>
      <w:r w:rsidR="00C75097" w:rsidRPr="009A539C">
        <w:rPr>
          <w:rStyle w:val="ListLabel4"/>
        </w:rPr>
        <w:t xml:space="preserve"> trabalhadores</w:t>
      </w:r>
      <w:r w:rsidR="00401635" w:rsidRPr="009A539C">
        <w:rPr>
          <w:rStyle w:val="ListLabel4"/>
        </w:rPr>
        <w:t xml:space="preserve"> em 2019, face a 68.749 em 2018 e 49.026 </w:t>
      </w:r>
      <w:r w:rsidRPr="009A539C">
        <w:rPr>
          <w:rStyle w:val="ListLabel4"/>
        </w:rPr>
        <w:t xml:space="preserve">em 2017) e de “Transportes e armazenagem”(H) (71.704 </w:t>
      </w:r>
      <w:r w:rsidR="00C75097" w:rsidRPr="009A539C">
        <w:rPr>
          <w:rStyle w:val="ListLabel4"/>
        </w:rPr>
        <w:t xml:space="preserve">trabalhadores </w:t>
      </w:r>
      <w:r w:rsidRPr="009A539C">
        <w:rPr>
          <w:rStyle w:val="ListLabel4"/>
        </w:rPr>
        <w:t>em 2019; 65.045 em 201</w:t>
      </w:r>
      <w:r w:rsidR="00C75097" w:rsidRPr="009A539C">
        <w:rPr>
          <w:rStyle w:val="ListLabel4"/>
        </w:rPr>
        <w:t>8; 23.834, em 2017</w:t>
      </w:r>
      <w:r w:rsidRPr="009A539C">
        <w:rPr>
          <w:rStyle w:val="ListLabel4"/>
        </w:rPr>
        <w:t>) ambos com uma trajetória de crescimento  desde 2017.</w:t>
      </w:r>
      <w:bookmarkEnd w:id="259"/>
      <w:bookmarkEnd w:id="260"/>
    </w:p>
    <w:p w14:paraId="3A59E816" w14:textId="6FB96582" w:rsidR="00166BE3" w:rsidRPr="009A539C" w:rsidRDefault="003A2FD6" w:rsidP="00F43DFC">
      <w:pPr>
        <w:keepNext/>
        <w:keepLines/>
        <w:spacing w:line="360" w:lineRule="auto"/>
        <w:ind w:right="-1" w:firstLine="708"/>
        <w:jc w:val="both"/>
        <w:rPr>
          <w:rStyle w:val="ListLabel4"/>
        </w:rPr>
      </w:pPr>
      <w:r w:rsidRPr="009A539C">
        <w:rPr>
          <w:rStyle w:val="ListLabel4"/>
        </w:rPr>
        <w:t xml:space="preserve"> </w:t>
      </w:r>
      <w:bookmarkStart w:id="261" w:name="_Toc42511599"/>
      <w:bookmarkStart w:id="262" w:name="_Toc42514363"/>
      <w:r w:rsidRPr="009A539C">
        <w:rPr>
          <w:rStyle w:val="ListLabel4"/>
        </w:rPr>
        <w:t>b) Persiste a posição proeminente das “Indústrias transformadoras” (‘C) (259.255 trabalhadores), que sobe 29 pp</w:t>
      </w:r>
      <w:r w:rsidR="00166BE3" w:rsidRPr="009A539C">
        <w:rPr>
          <w:rStyle w:val="ListLabel4"/>
        </w:rPr>
        <w:t>.</w:t>
      </w:r>
      <w:r w:rsidRPr="009A539C">
        <w:rPr>
          <w:rStyle w:val="ListLabel4"/>
        </w:rPr>
        <w:t xml:space="preserve"> face a 2018; e, embora com redução face a 2018, existem dois setores com uma cobertura perto da centena de milhar de trabalhadores “Alojamento, restauração e similares”(I) [100.943 trabalhadores 2019, face a  234.879 em 2018, isto é (-) 57pp.]“Construção”(F) [98.654 trabalhadores em 2018),  com apenas uma convenção  (-)3pp]   (104.734 trabalhadores em 2018]</w:t>
      </w:r>
      <w:bookmarkEnd w:id="261"/>
      <w:bookmarkEnd w:id="262"/>
      <w:r w:rsidR="00166BE3" w:rsidRPr="009A539C">
        <w:rPr>
          <w:rStyle w:val="ListLabel4"/>
        </w:rPr>
        <w:t>.</w:t>
      </w:r>
    </w:p>
    <w:p w14:paraId="1AA8A38E" w14:textId="7830C7F4" w:rsidR="003A2FD6" w:rsidRPr="009A539C" w:rsidRDefault="003A2FD6" w:rsidP="00F43DFC">
      <w:pPr>
        <w:keepNext/>
        <w:keepLines/>
        <w:spacing w:line="360" w:lineRule="auto"/>
        <w:ind w:right="-1" w:firstLine="708"/>
        <w:jc w:val="both"/>
        <w:rPr>
          <w:rStyle w:val="ListLabel4"/>
        </w:rPr>
      </w:pPr>
      <w:r w:rsidRPr="009A539C">
        <w:rPr>
          <w:rStyle w:val="ListLabel4"/>
        </w:rPr>
        <w:t xml:space="preserve"> </w:t>
      </w:r>
      <w:bookmarkStart w:id="263" w:name="_Toc42511600"/>
      <w:bookmarkStart w:id="264" w:name="_Toc42514364"/>
      <w:r w:rsidRPr="009A539C">
        <w:rPr>
          <w:rStyle w:val="ListLabel4"/>
        </w:rPr>
        <w:t>c) Assinala-se o aumento considerável de “Atividades administrativas e dos serviços de apoio” [63.853, em 2019) (+)199 pp. face a 2018</w:t>
      </w:r>
      <w:r w:rsidR="00166BE3" w:rsidRPr="009A539C">
        <w:rPr>
          <w:rStyle w:val="ListLabel4"/>
        </w:rPr>
        <w:t>]</w:t>
      </w:r>
      <w:r w:rsidRPr="009A539C">
        <w:rPr>
          <w:rStyle w:val="ListLabel4"/>
        </w:rPr>
        <w:t xml:space="preserve"> e Atividades financeiras e de seguros [28.112em 2019) (+)130 pp. face a 2018].</w:t>
      </w:r>
      <w:bookmarkEnd w:id="263"/>
      <w:bookmarkEnd w:id="264"/>
    </w:p>
    <w:p w14:paraId="52973668" w14:textId="35C25EA5" w:rsidR="003A2FD6" w:rsidRPr="009A539C" w:rsidRDefault="003A2FD6" w:rsidP="00F43DFC">
      <w:pPr>
        <w:keepNext/>
        <w:keepLines/>
        <w:spacing w:line="360" w:lineRule="auto"/>
        <w:ind w:right="-1" w:firstLine="708"/>
        <w:jc w:val="both"/>
        <w:rPr>
          <w:rStyle w:val="ListLabel4"/>
        </w:rPr>
      </w:pPr>
      <w:bookmarkStart w:id="265" w:name="_Toc42511601"/>
      <w:bookmarkStart w:id="266" w:name="_Toc42514365"/>
      <w:r w:rsidRPr="009A539C">
        <w:rPr>
          <w:rStyle w:val="ListLabel4"/>
        </w:rPr>
        <w:t>Desta análise resulta que, em 2019, e seguindo a tendência de anos anteriores, 78% dos trabalhadores (620.252 de 792.883 trabalhadores) se concentram em cinco setores de atividade, men</w:t>
      </w:r>
      <w:r w:rsidR="00401635" w:rsidRPr="009A539C">
        <w:rPr>
          <w:rStyle w:val="ListLabel4"/>
        </w:rPr>
        <w:t xml:space="preserve">cionados nas alíneas a) e b) - </w:t>
      </w:r>
      <w:r w:rsidRPr="009A539C">
        <w:rPr>
          <w:rStyle w:val="ListLabel4"/>
        </w:rPr>
        <w:t>segundo a CAE</w:t>
      </w:r>
      <w:r w:rsidR="00C75097" w:rsidRPr="009A539C">
        <w:rPr>
          <w:rStyle w:val="ListLabel4"/>
        </w:rPr>
        <w:t xml:space="preserve">: </w:t>
      </w:r>
      <w:r w:rsidRPr="009A539C">
        <w:rPr>
          <w:rStyle w:val="ListLabel4"/>
        </w:rPr>
        <w:t xml:space="preserve">C, F, G , H  e I </w:t>
      </w:r>
      <w:r w:rsidRPr="009A539C">
        <w:rPr>
          <w:rStyle w:val="Refdenotaderodap"/>
        </w:rPr>
        <w:footnoteReference w:id="41"/>
      </w:r>
      <w:r w:rsidRPr="009A539C">
        <w:rPr>
          <w:rStyle w:val="ListLabel4"/>
        </w:rPr>
        <w:t>.</w:t>
      </w:r>
      <w:bookmarkEnd w:id="265"/>
      <w:bookmarkEnd w:id="266"/>
      <w:r w:rsidRPr="009A539C">
        <w:rPr>
          <w:rStyle w:val="ListLabel4"/>
        </w:rPr>
        <w:t xml:space="preserve"> </w:t>
      </w:r>
    </w:p>
    <w:p w14:paraId="0E0F19FD" w14:textId="4587AEE5" w:rsidR="003A2FD6" w:rsidRPr="009A539C" w:rsidRDefault="003A2FD6" w:rsidP="00F43DFC">
      <w:pPr>
        <w:keepNext/>
        <w:keepLines/>
        <w:spacing w:line="360" w:lineRule="auto"/>
        <w:ind w:right="-1"/>
        <w:jc w:val="both"/>
        <w:rPr>
          <w:rStyle w:val="ListLabel4"/>
        </w:rPr>
      </w:pPr>
      <w:bookmarkStart w:id="267" w:name="_Toc42511602"/>
      <w:bookmarkStart w:id="268" w:name="_Toc42514366"/>
      <w:r w:rsidRPr="009A539C">
        <w:rPr>
          <w:rStyle w:val="ListLabel4"/>
        </w:rPr>
        <w:t>Em contrapartida, pelo prisma do peso relativo do número de convenções coletivas, 70% das convenções repartem-se, apenas, por três setores –</w:t>
      </w:r>
      <w:r w:rsidR="00401635" w:rsidRPr="009A539C">
        <w:rPr>
          <w:rStyle w:val="ListLabel4"/>
        </w:rPr>
        <w:t xml:space="preserve"> </w:t>
      </w:r>
      <w:r w:rsidR="001875D4">
        <w:rPr>
          <w:rStyle w:val="ListLabel4"/>
        </w:rPr>
        <w:t xml:space="preserve">CAE C (31,7%); </w:t>
      </w:r>
      <w:r w:rsidRPr="009A539C">
        <w:rPr>
          <w:rStyle w:val="ListLabel4"/>
        </w:rPr>
        <w:t>G (</w:t>
      </w:r>
      <w:r w:rsidR="00C75097" w:rsidRPr="009A539C">
        <w:rPr>
          <w:rStyle w:val="ListLabel4"/>
        </w:rPr>
        <w:t>17,1%</w:t>
      </w:r>
      <w:r w:rsidRPr="009A539C">
        <w:rPr>
          <w:rStyle w:val="ListLabel4"/>
        </w:rPr>
        <w:t>), 3</w:t>
      </w:r>
      <w:r w:rsidR="00C75097" w:rsidRPr="009A539C">
        <w:rPr>
          <w:rStyle w:val="ListLabel4"/>
        </w:rPr>
        <w:t>1</w:t>
      </w:r>
      <w:r w:rsidRPr="009A539C">
        <w:rPr>
          <w:rStyle w:val="ListLabel4"/>
        </w:rPr>
        <w:t xml:space="preserve"> CC em</w:t>
      </w:r>
      <w:r w:rsidR="00401635" w:rsidRPr="009A539C">
        <w:rPr>
          <w:rStyle w:val="ListLabel4"/>
        </w:rPr>
        <w:t xml:space="preserve"> 4</w:t>
      </w:r>
      <w:r w:rsidR="00C75097" w:rsidRPr="009A539C">
        <w:rPr>
          <w:rStyle w:val="ListLabel4"/>
        </w:rPr>
        <w:t>1</w:t>
      </w:r>
      <w:r w:rsidR="00401635" w:rsidRPr="009A539C">
        <w:rPr>
          <w:rStyle w:val="ListLabel4"/>
        </w:rPr>
        <w:t xml:space="preserve"> convenções; </w:t>
      </w:r>
      <w:r w:rsidR="00B27C20" w:rsidRPr="009A539C">
        <w:rPr>
          <w:rStyle w:val="ListLabel4"/>
        </w:rPr>
        <w:t xml:space="preserve">e </w:t>
      </w:r>
      <w:r w:rsidRPr="009A539C">
        <w:rPr>
          <w:rStyle w:val="ListLabel4"/>
        </w:rPr>
        <w:t>com destaque para o setor (H)  “Transportes e armazenagem”</w:t>
      </w:r>
      <w:r w:rsidR="00C75097" w:rsidRPr="009A539C">
        <w:rPr>
          <w:rStyle w:val="ListLabel4"/>
        </w:rPr>
        <w:t xml:space="preserve"> (22,1%)  </w:t>
      </w:r>
      <w:r w:rsidRPr="009A539C">
        <w:rPr>
          <w:rStyle w:val="ListLabel4"/>
        </w:rPr>
        <w:t>, onde continua, como em 2018, o predomínio dos acordos de empresa (36 AE em 53 convenções coletivas),  (Quadros 21 e 22).</w:t>
      </w:r>
      <w:bookmarkEnd w:id="267"/>
      <w:bookmarkEnd w:id="268"/>
    </w:p>
    <w:p w14:paraId="4ACBB75E" w14:textId="7CB5BFFF" w:rsidR="00C75097" w:rsidRPr="009A539C" w:rsidRDefault="003A2FD6" w:rsidP="00F43DFC">
      <w:pPr>
        <w:keepNext/>
        <w:keepLines/>
        <w:spacing w:line="360" w:lineRule="auto"/>
        <w:ind w:right="-1" w:firstLine="708"/>
        <w:jc w:val="both"/>
        <w:rPr>
          <w:rStyle w:val="ListLabel4"/>
        </w:rPr>
      </w:pPr>
      <w:r w:rsidRPr="009A539C">
        <w:rPr>
          <w:rStyle w:val="ListLabel4"/>
        </w:rPr>
        <w:t xml:space="preserve"> </w:t>
      </w:r>
    </w:p>
    <w:p w14:paraId="7464A918" w14:textId="77777777" w:rsidR="003A2FD6" w:rsidRPr="009A539C" w:rsidRDefault="003A2FD6" w:rsidP="00F43DFC">
      <w:pPr>
        <w:keepNext/>
        <w:keepLines/>
        <w:spacing w:line="360" w:lineRule="auto"/>
        <w:ind w:right="-1"/>
        <w:jc w:val="both"/>
        <w:rPr>
          <w:rStyle w:val="ListLabel4"/>
        </w:rPr>
      </w:pPr>
    </w:p>
    <w:p w14:paraId="54B7E1AC" w14:textId="77777777" w:rsidR="003A2FD6" w:rsidRPr="009A539C" w:rsidRDefault="003A2FD6" w:rsidP="00F43DFC">
      <w:pPr>
        <w:keepNext/>
        <w:keepLines/>
        <w:spacing w:line="360" w:lineRule="auto"/>
        <w:ind w:right="-1"/>
        <w:rPr>
          <w:rStyle w:val="ListLabel4"/>
        </w:rPr>
      </w:pPr>
    </w:p>
    <w:p w14:paraId="68F006A9" w14:textId="77777777" w:rsidR="003D5B21" w:rsidRPr="009A539C" w:rsidRDefault="003D5B21" w:rsidP="00F43DFC">
      <w:pPr>
        <w:keepNext/>
        <w:keepLines/>
        <w:spacing w:line="360" w:lineRule="auto"/>
        <w:ind w:right="-1"/>
        <w:rPr>
          <w:rStyle w:val="ListLabel4"/>
        </w:rPr>
      </w:pPr>
    </w:p>
    <w:p w14:paraId="30B39FC0" w14:textId="77777777" w:rsidR="008524A6" w:rsidRPr="009A539C" w:rsidRDefault="008524A6" w:rsidP="00F43DFC">
      <w:pPr>
        <w:keepNext/>
        <w:keepLines/>
        <w:spacing w:line="360" w:lineRule="auto"/>
        <w:ind w:right="-1"/>
        <w:rPr>
          <w:rStyle w:val="ListLabel4"/>
        </w:rPr>
      </w:pPr>
    </w:p>
    <w:p w14:paraId="5B3C7F7F" w14:textId="75B813B4" w:rsidR="003A2FD6" w:rsidRPr="009A539C" w:rsidRDefault="00565062" w:rsidP="002A18E4">
      <w:pPr>
        <w:pStyle w:val="Legenda"/>
        <w:jc w:val="center"/>
        <w:rPr>
          <w:sz w:val="22"/>
          <w:szCs w:val="22"/>
        </w:rPr>
      </w:pPr>
      <w:bookmarkStart w:id="269" w:name="_Toc15654960"/>
      <w:bookmarkStart w:id="270" w:name="_Toc45716643"/>
      <w:r w:rsidRPr="009A539C">
        <w:rPr>
          <w:sz w:val="22"/>
          <w:szCs w:val="22"/>
        </w:rPr>
        <w:t xml:space="preserve">Quadro </w:t>
      </w:r>
      <w:r w:rsidRPr="009A539C">
        <w:rPr>
          <w:sz w:val="22"/>
          <w:szCs w:val="22"/>
        </w:rPr>
        <w:fldChar w:fldCharType="begin"/>
      </w:r>
      <w:r w:rsidRPr="009A539C">
        <w:rPr>
          <w:sz w:val="22"/>
          <w:szCs w:val="22"/>
        </w:rPr>
        <w:instrText xml:space="preserve"> SEQ Quadro \* ARABIC </w:instrText>
      </w:r>
      <w:r w:rsidRPr="009A539C">
        <w:rPr>
          <w:sz w:val="22"/>
          <w:szCs w:val="22"/>
        </w:rPr>
        <w:fldChar w:fldCharType="separate"/>
      </w:r>
      <w:r w:rsidR="00D821DE">
        <w:rPr>
          <w:noProof/>
          <w:sz w:val="22"/>
          <w:szCs w:val="22"/>
        </w:rPr>
        <w:t>22</w:t>
      </w:r>
      <w:r w:rsidRPr="009A539C">
        <w:rPr>
          <w:sz w:val="22"/>
          <w:szCs w:val="22"/>
        </w:rPr>
        <w:fldChar w:fldCharType="end"/>
      </w:r>
      <w:r w:rsidR="003A2FD6" w:rsidRPr="009A539C">
        <w:rPr>
          <w:sz w:val="22"/>
          <w:szCs w:val="22"/>
        </w:rPr>
        <w:t xml:space="preserve"> - Nº de trabalhadores potencialmente abrangidos por Convenções publicadas em 2019 (por setor de atividade e tipo)</w:t>
      </w:r>
      <w:bookmarkEnd w:id="269"/>
      <w:bookmarkEnd w:id="270"/>
    </w:p>
    <w:p w14:paraId="3AF41FE0" w14:textId="6A508C21" w:rsidR="003A2FD6" w:rsidRPr="009A539C" w:rsidRDefault="008524A6" w:rsidP="00F43DFC">
      <w:pPr>
        <w:ind w:right="-1"/>
        <w:jc w:val="center"/>
      </w:pPr>
      <w:r w:rsidRPr="009A539C">
        <w:rPr>
          <w:noProof/>
          <w:lang w:eastAsia="pt-PT"/>
        </w:rPr>
        <w:drawing>
          <wp:inline distT="0" distB="0" distL="0" distR="0" wp14:anchorId="701F28AB" wp14:editId="0FD373ED">
            <wp:extent cx="6750685" cy="5753348"/>
            <wp:effectExtent l="0" t="0" r="0" b="0"/>
            <wp:docPr id="1138" name="Imagem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50685" cy="5753348"/>
                    </a:xfrm>
                    <a:prstGeom prst="rect">
                      <a:avLst/>
                    </a:prstGeom>
                    <a:noFill/>
                    <a:ln>
                      <a:noFill/>
                    </a:ln>
                  </pic:spPr>
                </pic:pic>
              </a:graphicData>
            </a:graphic>
          </wp:inline>
        </w:drawing>
      </w:r>
    </w:p>
    <w:p w14:paraId="4277AE10" w14:textId="77777777" w:rsidR="003A2FD6" w:rsidRPr="009A539C" w:rsidRDefault="003A2FD6" w:rsidP="00F43DFC">
      <w:pPr>
        <w:spacing w:before="120" w:line="360" w:lineRule="auto"/>
        <w:ind w:right="-1" w:firstLine="425"/>
        <w:jc w:val="both"/>
        <w:rPr>
          <w:rFonts w:cstheme="minorHAnsi"/>
          <w:lang w:eastAsia="pt-PT"/>
        </w:rPr>
      </w:pPr>
    </w:p>
    <w:p w14:paraId="045D85EA" w14:textId="77777777" w:rsidR="003A2FD6" w:rsidRPr="009A539C" w:rsidRDefault="003A2FD6" w:rsidP="00F43DFC">
      <w:pPr>
        <w:spacing w:before="120" w:line="360" w:lineRule="auto"/>
        <w:ind w:right="-1" w:firstLine="425"/>
        <w:jc w:val="both"/>
        <w:rPr>
          <w:rFonts w:cstheme="minorHAnsi"/>
          <w:lang w:eastAsia="pt-PT"/>
        </w:rPr>
      </w:pPr>
      <w:r w:rsidRPr="009A539C">
        <w:rPr>
          <w:rFonts w:cstheme="minorHAnsi"/>
          <w:lang w:eastAsia="pt-PT"/>
        </w:rPr>
        <w:t>Relativamente ao número médio de trabalhadores (potencialmente) abrangidos por convenção, verificou-se, em geral, uma descida relativamente a 2018, em todas as tipologias de convenções. Paradoxalmente, o número médio de trabalhadores por AE foi de 359, face a 324 trabalhadores em 2018. No entanto, a relevância dos AE no conjunto de convenções publicadas em 2019, contribuiu para baixar o número médio de trabalhadores por convenção (3.304 trabalhadores e</w:t>
      </w:r>
      <w:r w:rsidR="00A94DA0" w:rsidRPr="009A539C">
        <w:rPr>
          <w:rFonts w:cstheme="minorHAnsi"/>
          <w:lang w:eastAsia="pt-PT"/>
        </w:rPr>
        <w:t>m 2019, face a 4.093, em 2018).</w:t>
      </w:r>
    </w:p>
    <w:p w14:paraId="12E71D47" w14:textId="77777777" w:rsidR="00A94DA0" w:rsidRPr="009A539C" w:rsidRDefault="00A94DA0" w:rsidP="00F43DFC">
      <w:pPr>
        <w:spacing w:before="120" w:line="360" w:lineRule="auto"/>
        <w:ind w:right="-1" w:firstLine="425"/>
        <w:jc w:val="both"/>
        <w:rPr>
          <w:rFonts w:cstheme="minorHAnsi"/>
          <w:lang w:eastAsia="pt-PT"/>
        </w:rPr>
      </w:pPr>
    </w:p>
    <w:p w14:paraId="083FFBDE" w14:textId="241EB879" w:rsidR="00A94DA0" w:rsidRPr="00E742C1" w:rsidRDefault="00DC46B6" w:rsidP="002A18E4">
      <w:pPr>
        <w:jc w:val="center"/>
        <w:rPr>
          <w:color w:val="4F81BD" w:themeColor="accent1"/>
        </w:rPr>
      </w:pPr>
      <w:r w:rsidRPr="009A539C">
        <w:rPr>
          <w:rFonts w:cstheme="minorHAnsi"/>
          <w:lang w:eastAsia="pt-PT"/>
        </w:rPr>
        <w:br w:type="page"/>
      </w:r>
      <w:bookmarkStart w:id="271" w:name="_Toc45716644"/>
      <w:r w:rsidR="00565062" w:rsidRPr="00E742C1">
        <w:rPr>
          <w:color w:val="4F81BD" w:themeColor="accent1"/>
        </w:rPr>
        <w:t xml:space="preserve">Quadro </w:t>
      </w:r>
      <w:r w:rsidR="00256F15" w:rsidRPr="00E742C1">
        <w:rPr>
          <w:color w:val="4F81BD" w:themeColor="accent1"/>
        </w:rPr>
        <w:fldChar w:fldCharType="begin"/>
      </w:r>
      <w:r w:rsidR="00256F15" w:rsidRPr="00E742C1">
        <w:rPr>
          <w:color w:val="4F81BD" w:themeColor="accent1"/>
        </w:rPr>
        <w:instrText xml:space="preserve"> SEQ Quadro \* ARABIC </w:instrText>
      </w:r>
      <w:r w:rsidR="00256F15" w:rsidRPr="00E742C1">
        <w:rPr>
          <w:color w:val="4F81BD" w:themeColor="accent1"/>
        </w:rPr>
        <w:fldChar w:fldCharType="separate"/>
      </w:r>
      <w:r w:rsidR="00D821DE" w:rsidRPr="00E742C1">
        <w:rPr>
          <w:noProof/>
          <w:color w:val="4F81BD" w:themeColor="accent1"/>
        </w:rPr>
        <w:t>23</w:t>
      </w:r>
      <w:r w:rsidR="00256F15" w:rsidRPr="00E742C1">
        <w:rPr>
          <w:noProof/>
          <w:color w:val="4F81BD" w:themeColor="accent1"/>
        </w:rPr>
        <w:fldChar w:fldCharType="end"/>
      </w:r>
      <w:r w:rsidR="00A94DA0" w:rsidRPr="00E742C1">
        <w:rPr>
          <w:color w:val="4F81BD" w:themeColor="accent1"/>
        </w:rPr>
        <w:t xml:space="preserve"> - Média de Trabalhadores potencialmente Abrangidos por t</w:t>
      </w:r>
      <w:r w:rsidR="00F70646" w:rsidRPr="00E742C1">
        <w:rPr>
          <w:color w:val="4F81BD" w:themeColor="accent1"/>
        </w:rPr>
        <w:t>ipo de Convenção publicada (2019</w:t>
      </w:r>
      <w:r w:rsidR="00A94DA0" w:rsidRPr="00E742C1">
        <w:rPr>
          <w:color w:val="4F81BD" w:themeColor="accent1"/>
        </w:rPr>
        <w:t>)</w:t>
      </w:r>
      <w:bookmarkEnd w:id="271"/>
    </w:p>
    <w:p w14:paraId="19AE1C1D" w14:textId="77777777" w:rsidR="003A2FD6" w:rsidRPr="009A539C" w:rsidRDefault="003A2FD6" w:rsidP="00F43DFC">
      <w:pPr>
        <w:ind w:right="-1"/>
        <w:rPr>
          <w:rStyle w:val="ListLabel4"/>
          <w:b/>
          <w:color w:val="0070C0"/>
        </w:rPr>
      </w:pPr>
      <w:r w:rsidRPr="009A539C">
        <w:rPr>
          <w:noProof/>
          <w:lang w:eastAsia="pt-PT"/>
        </w:rPr>
        <w:drawing>
          <wp:inline distT="0" distB="0" distL="0" distR="0" wp14:anchorId="31A6AF39" wp14:editId="56BB0028">
            <wp:extent cx="6867525" cy="2314575"/>
            <wp:effectExtent l="0" t="0" r="9525" b="9525"/>
            <wp:docPr id="1128" name="Imagem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878390" cy="2318237"/>
                    </a:xfrm>
                    <a:prstGeom prst="rect">
                      <a:avLst/>
                    </a:prstGeom>
                    <a:noFill/>
                    <a:ln>
                      <a:noFill/>
                    </a:ln>
                  </pic:spPr>
                </pic:pic>
              </a:graphicData>
            </a:graphic>
          </wp:inline>
        </w:drawing>
      </w:r>
    </w:p>
    <w:p w14:paraId="47793B4F" w14:textId="77777777" w:rsidR="003A2FD6" w:rsidRPr="009A539C" w:rsidRDefault="003A2FD6" w:rsidP="00B90788">
      <w:pPr>
        <w:ind w:right="-1"/>
        <w:rPr>
          <w:rStyle w:val="ListLabel4"/>
          <w:b/>
          <w:color w:val="0070C0"/>
        </w:rPr>
      </w:pPr>
    </w:p>
    <w:p w14:paraId="42CFFBEA" w14:textId="77777777" w:rsidR="00E01FD9" w:rsidRPr="009A539C" w:rsidRDefault="00E01FD9" w:rsidP="00B90788">
      <w:pPr>
        <w:ind w:right="-1"/>
        <w:rPr>
          <w:rStyle w:val="ListLabel4"/>
          <w:b/>
          <w:color w:val="0070C0"/>
        </w:rPr>
      </w:pPr>
    </w:p>
    <w:p w14:paraId="3FB2F16B" w14:textId="5B5B88B2" w:rsidR="0032160B" w:rsidRPr="009A539C" w:rsidRDefault="008C777F" w:rsidP="00B20462">
      <w:pPr>
        <w:pStyle w:val="PargrafodaLista"/>
        <w:numPr>
          <w:ilvl w:val="1"/>
          <w:numId w:val="1"/>
        </w:numPr>
        <w:spacing w:line="360" w:lineRule="auto"/>
        <w:ind w:left="426" w:right="-1"/>
        <w:outlineLvl w:val="1"/>
        <w:rPr>
          <w:rFonts w:ascii="Calibri" w:hAnsi="Calibri" w:cs="Calibri"/>
          <w:b/>
          <w:sz w:val="24"/>
          <w:szCs w:val="24"/>
        </w:rPr>
      </w:pPr>
      <w:bookmarkStart w:id="272" w:name="_Toc45535692"/>
      <w:r w:rsidRPr="009A539C">
        <w:rPr>
          <w:rFonts w:ascii="Calibri" w:hAnsi="Calibri" w:cs="Calibri"/>
          <w:b/>
          <w:sz w:val="24"/>
          <w:szCs w:val="24"/>
        </w:rPr>
        <w:t xml:space="preserve">Alargamento do âmbito de aplicação das convenções </w:t>
      </w:r>
      <w:r w:rsidR="006C3B72" w:rsidRPr="009A539C">
        <w:rPr>
          <w:rFonts w:ascii="Calibri" w:hAnsi="Calibri" w:cs="Calibri"/>
          <w:b/>
          <w:sz w:val="24"/>
          <w:szCs w:val="24"/>
        </w:rPr>
        <w:t>cole</w:t>
      </w:r>
      <w:r w:rsidR="000F0BA3" w:rsidRPr="009A539C">
        <w:rPr>
          <w:rFonts w:ascii="Calibri" w:hAnsi="Calibri" w:cs="Calibri"/>
          <w:b/>
          <w:sz w:val="24"/>
          <w:szCs w:val="24"/>
        </w:rPr>
        <w:t>tivas</w:t>
      </w:r>
      <w:bookmarkEnd w:id="272"/>
    </w:p>
    <w:p w14:paraId="4EE47494" w14:textId="77777777" w:rsidR="00512082" w:rsidRPr="009A539C" w:rsidRDefault="001A0194" w:rsidP="00B90788">
      <w:pPr>
        <w:spacing w:line="360" w:lineRule="auto"/>
        <w:ind w:right="-1"/>
        <w:jc w:val="both"/>
        <w:rPr>
          <w:rStyle w:val="ListLabel4"/>
        </w:rPr>
      </w:pPr>
      <w:r w:rsidRPr="009A539C">
        <w:rPr>
          <w:rStyle w:val="ListLabel4"/>
        </w:rPr>
        <w:t>Como tem sido habitual, dedica-se um ponto específico à análise dos dados sobre as duas formas de alargamento do âmbito originário de aplicação das convenções coletivas: emissão de portarias de extensão e celebração de acordos de adesão.</w:t>
      </w:r>
    </w:p>
    <w:p w14:paraId="2D594262" w14:textId="77777777" w:rsidR="00512082" w:rsidRPr="009A539C" w:rsidRDefault="000F0BA3" w:rsidP="00B20462">
      <w:pPr>
        <w:pStyle w:val="PargrafodaLista"/>
        <w:numPr>
          <w:ilvl w:val="2"/>
          <w:numId w:val="1"/>
        </w:numPr>
        <w:spacing w:line="360" w:lineRule="auto"/>
        <w:ind w:left="851" w:right="-1"/>
        <w:outlineLvl w:val="2"/>
        <w:rPr>
          <w:rFonts w:ascii="Calibri" w:hAnsi="Calibri" w:cs="Calibri"/>
          <w:b/>
        </w:rPr>
      </w:pPr>
      <w:bookmarkStart w:id="273" w:name="_Toc45535693"/>
      <w:r w:rsidRPr="009A539C">
        <w:rPr>
          <w:rFonts w:ascii="Calibri" w:hAnsi="Calibri" w:cs="Calibri"/>
          <w:b/>
        </w:rPr>
        <w:t>Portarias de extensão emitidas em 2019</w:t>
      </w:r>
      <w:bookmarkEnd w:id="273"/>
    </w:p>
    <w:p w14:paraId="545483AA" w14:textId="77777777" w:rsidR="005D4681" w:rsidRPr="009A539C" w:rsidRDefault="005D4681" w:rsidP="00034087">
      <w:pPr>
        <w:pStyle w:val="PargrafodaLista"/>
        <w:spacing w:line="360" w:lineRule="auto"/>
        <w:ind w:left="851" w:right="-1"/>
        <w:rPr>
          <w:rFonts w:ascii="Calibri" w:hAnsi="Calibri" w:cs="Calibri"/>
          <w:b/>
        </w:rPr>
      </w:pPr>
    </w:p>
    <w:p w14:paraId="494BF756" w14:textId="3EA83928" w:rsidR="00512082" w:rsidRPr="009A539C" w:rsidRDefault="0087143A" w:rsidP="00AF188D">
      <w:pPr>
        <w:pStyle w:val="PargrafodaLista"/>
        <w:numPr>
          <w:ilvl w:val="0"/>
          <w:numId w:val="54"/>
        </w:numPr>
        <w:spacing w:line="360" w:lineRule="auto"/>
        <w:ind w:left="0" w:right="-1" w:firstLine="567"/>
        <w:jc w:val="both"/>
        <w:rPr>
          <w:rStyle w:val="ListLabel4"/>
        </w:rPr>
      </w:pPr>
      <w:bookmarkStart w:id="274" w:name="_Toc42511605"/>
      <w:bookmarkStart w:id="275" w:name="_Toc42514369"/>
      <w:r w:rsidRPr="009A539C">
        <w:rPr>
          <w:rStyle w:val="ListLabel4"/>
        </w:rPr>
        <w:t xml:space="preserve"> </w:t>
      </w:r>
      <w:r w:rsidR="001A0194" w:rsidRPr="009A539C">
        <w:rPr>
          <w:rStyle w:val="ListLabel4"/>
        </w:rPr>
        <w:t xml:space="preserve">Em 2019, foram publicadas 83 portarias de extensão, enquadradas pela RCM n.º 82/2017, de 9 de junho e conforme </w:t>
      </w:r>
      <w:r w:rsidR="00B27C20" w:rsidRPr="009A539C">
        <w:rPr>
          <w:rStyle w:val="ListLabel4"/>
        </w:rPr>
        <w:t xml:space="preserve">os critérios nela </w:t>
      </w:r>
      <w:r w:rsidR="001A0194" w:rsidRPr="009A539C">
        <w:rPr>
          <w:rStyle w:val="ListLabel4"/>
        </w:rPr>
        <w:t>previstos:</w:t>
      </w:r>
      <w:bookmarkEnd w:id="274"/>
      <w:bookmarkEnd w:id="275"/>
    </w:p>
    <w:p w14:paraId="025C6B46" w14:textId="77777777" w:rsidR="00512082" w:rsidRPr="009A539C" w:rsidRDefault="00512082" w:rsidP="00034087">
      <w:pPr>
        <w:keepNext/>
        <w:keepLines/>
        <w:spacing w:line="360" w:lineRule="auto"/>
        <w:ind w:left="993" w:right="-1" w:hanging="284"/>
        <w:jc w:val="both"/>
        <w:rPr>
          <w:rStyle w:val="ListLabel4"/>
        </w:rPr>
      </w:pPr>
      <w:bookmarkStart w:id="276" w:name="_Toc42511606"/>
      <w:bookmarkStart w:id="277" w:name="_Toc42514370"/>
      <w:r w:rsidRPr="009A539C">
        <w:rPr>
          <w:rStyle w:val="ListLabel4"/>
        </w:rPr>
        <w:t xml:space="preserve">- </w:t>
      </w:r>
      <w:r w:rsidRPr="009A539C">
        <w:rPr>
          <w:rStyle w:val="ListLabel4"/>
        </w:rPr>
        <w:tab/>
        <w:t>um conjunto de indicadores a ter em conta na ponderação das circunstâncias sociais e económicas para efeitos de fundamentação da emissão de portarias de extensão (ao abrigo do art. 514.º, 2, do CT);</w:t>
      </w:r>
      <w:bookmarkEnd w:id="276"/>
      <w:bookmarkEnd w:id="277"/>
      <w:r w:rsidRPr="009A539C">
        <w:rPr>
          <w:rStyle w:val="ListLabel4"/>
        </w:rPr>
        <w:t xml:space="preserve"> </w:t>
      </w:r>
    </w:p>
    <w:p w14:paraId="2E8C056B" w14:textId="77777777" w:rsidR="00512082" w:rsidRPr="009A539C" w:rsidRDefault="00512082" w:rsidP="00034087">
      <w:pPr>
        <w:keepNext/>
        <w:keepLines/>
        <w:spacing w:line="360" w:lineRule="auto"/>
        <w:ind w:left="993" w:right="-1" w:hanging="284"/>
        <w:jc w:val="both"/>
        <w:rPr>
          <w:rStyle w:val="ListLabel4"/>
        </w:rPr>
      </w:pPr>
      <w:bookmarkStart w:id="278" w:name="_Toc42511607"/>
      <w:bookmarkStart w:id="279" w:name="_Toc42514371"/>
      <w:r w:rsidRPr="009A539C">
        <w:rPr>
          <w:rStyle w:val="ListLabel4"/>
        </w:rPr>
        <w:t xml:space="preserve">-  </w:t>
      </w:r>
      <w:r w:rsidRPr="009A539C">
        <w:rPr>
          <w:rStyle w:val="ListLabel4"/>
        </w:rPr>
        <w:tab/>
        <w:t>a existência de um prazo de 35 dias úteis para a conclusão do procedimento que antecede a publicação da portaria de extensão (análise, consulta pública e emissão de portaria);</w:t>
      </w:r>
      <w:bookmarkEnd w:id="278"/>
      <w:bookmarkEnd w:id="279"/>
    </w:p>
    <w:p w14:paraId="4CB89B10" w14:textId="4000082A" w:rsidR="00512082" w:rsidRPr="009A539C" w:rsidRDefault="00512082" w:rsidP="00034087">
      <w:pPr>
        <w:spacing w:line="360" w:lineRule="auto"/>
        <w:ind w:left="993" w:right="-1" w:hanging="284"/>
        <w:jc w:val="both"/>
        <w:rPr>
          <w:rStyle w:val="ListLabel4"/>
        </w:rPr>
      </w:pPr>
      <w:bookmarkStart w:id="280" w:name="_Toc42511608"/>
      <w:bookmarkStart w:id="281" w:name="_Toc42514372"/>
      <w:r w:rsidRPr="009A539C">
        <w:rPr>
          <w:rStyle w:val="ListLabel4"/>
        </w:rPr>
        <w:t xml:space="preserve">- </w:t>
      </w:r>
      <w:r w:rsidRPr="009A539C">
        <w:rPr>
          <w:rStyle w:val="ListLabel4"/>
        </w:rPr>
        <w:tab/>
        <w:t xml:space="preserve">a determinação de 3 elementos a considerar para que seja fixada a eficácia retroativa das cláusulas de natureza pecuniária (prevista na alínea c) do n.º 1 do art. 478.º do CT), que incluem a data do requerimento, a produção de efeitos conferida pelas partes às cláusulas de expressão pecuniária do IRCT a estender e o tempo efetivamente despendido pelos serviços da Administração do Trabalho no procedimento administrativo </w:t>
      </w:r>
      <w:r w:rsidR="003D2182" w:rsidRPr="009A539C">
        <w:rPr>
          <w:rStyle w:val="ListLabel4"/>
        </w:rPr>
        <w:t>correspondente</w:t>
      </w:r>
      <w:r w:rsidRPr="009A539C">
        <w:rPr>
          <w:rStyle w:val="ListLabel4"/>
        </w:rPr>
        <w:t>.</w:t>
      </w:r>
      <w:bookmarkEnd w:id="280"/>
      <w:bookmarkEnd w:id="281"/>
    </w:p>
    <w:p w14:paraId="57D2A45F" w14:textId="299E8F68" w:rsidR="00E01FD9" w:rsidRPr="009A539C" w:rsidRDefault="00E01FD9" w:rsidP="00AF188D">
      <w:pPr>
        <w:pStyle w:val="PargrafodaLista"/>
        <w:keepNext/>
        <w:keepLines/>
        <w:numPr>
          <w:ilvl w:val="0"/>
          <w:numId w:val="54"/>
        </w:numPr>
        <w:spacing w:line="360" w:lineRule="auto"/>
        <w:ind w:left="0" w:right="-1" w:firstLine="709"/>
        <w:jc w:val="both"/>
        <w:rPr>
          <w:rStyle w:val="ListLabel4"/>
          <w:b/>
          <w:bCs/>
          <w:color w:val="auto"/>
        </w:rPr>
      </w:pPr>
      <w:bookmarkStart w:id="282" w:name="_Toc42511609"/>
      <w:bookmarkStart w:id="283" w:name="_Toc42514373"/>
      <w:r w:rsidRPr="009A539C">
        <w:rPr>
          <w:rStyle w:val="ListLabel4"/>
          <w:color w:val="auto"/>
        </w:rPr>
        <w:t>A propósito deste tópico existem semelhanças entre os anos 2019 e 2018, ambos seguindo os parâmetros da RCM 82/2017, de 9 de junho. Assim, predomina a extensão de convenções coletivas de âmbito setorial (CC) e, como houve ocasião de assinalar no capítulo III (gráfico 11), o número de convenções estendidas coincide com o de PE emitidas no ano. Esta coincidência deve-se, em parte, às regras procedimentais fixadas pela RCM 83/2017, que determinam a extensão dentro dos 35 dias após o pedido, dificultando, deste modo, a conjugação no ato de extensão de mais de uma convenção (paralela), sempre que os requerimentos não entrem em simultâneo</w:t>
      </w:r>
      <w:r w:rsidRPr="009A539C">
        <w:rPr>
          <w:rStyle w:val="ListLabel4"/>
          <w:color w:val="auto"/>
          <w:vertAlign w:val="superscript"/>
        </w:rPr>
        <w:footnoteReference w:id="42"/>
      </w:r>
      <w:r w:rsidRPr="009A539C">
        <w:rPr>
          <w:rStyle w:val="ListLabel4"/>
          <w:color w:val="auto"/>
        </w:rPr>
        <w:t>. Em termos quantitativos, observa-se um crescimento de 11% no número de PE publicadas em 2019, face a 2018.</w:t>
      </w:r>
      <w:bookmarkEnd w:id="282"/>
      <w:bookmarkEnd w:id="283"/>
      <w:r w:rsidRPr="009A539C">
        <w:rPr>
          <w:rStyle w:val="ListLabel4"/>
          <w:color w:val="auto"/>
        </w:rPr>
        <w:t xml:space="preserve"> </w:t>
      </w:r>
    </w:p>
    <w:p w14:paraId="4A8ED7E1" w14:textId="11CBAE54" w:rsidR="00473F67" w:rsidRPr="009A539C" w:rsidRDefault="00565062" w:rsidP="00565062">
      <w:pPr>
        <w:pStyle w:val="Legenda"/>
        <w:jc w:val="center"/>
        <w:rPr>
          <w:sz w:val="22"/>
          <w:szCs w:val="22"/>
        </w:rPr>
      </w:pPr>
      <w:bookmarkStart w:id="284" w:name="_Toc42511610"/>
      <w:bookmarkStart w:id="285" w:name="_Toc42514374"/>
      <w:bookmarkStart w:id="286" w:name="_Toc45716645"/>
      <w:r w:rsidRPr="009A539C">
        <w:rPr>
          <w:sz w:val="22"/>
          <w:szCs w:val="22"/>
        </w:rPr>
        <w:t xml:space="preserve">Quadro </w:t>
      </w:r>
      <w:r w:rsidR="00256F15" w:rsidRPr="009A539C">
        <w:rPr>
          <w:sz w:val="22"/>
          <w:szCs w:val="22"/>
        </w:rPr>
        <w:fldChar w:fldCharType="begin"/>
      </w:r>
      <w:r w:rsidR="00256F15" w:rsidRPr="009A539C">
        <w:rPr>
          <w:sz w:val="22"/>
          <w:szCs w:val="22"/>
        </w:rPr>
        <w:instrText xml:space="preserve"> SEQ Quadro \* ARABIC </w:instrText>
      </w:r>
      <w:r w:rsidR="00256F15" w:rsidRPr="009A539C">
        <w:rPr>
          <w:sz w:val="22"/>
          <w:szCs w:val="22"/>
        </w:rPr>
        <w:fldChar w:fldCharType="separate"/>
      </w:r>
      <w:r w:rsidR="00D821DE">
        <w:rPr>
          <w:noProof/>
          <w:sz w:val="22"/>
          <w:szCs w:val="22"/>
        </w:rPr>
        <w:t>24</w:t>
      </w:r>
      <w:r w:rsidR="00256F15" w:rsidRPr="009A539C">
        <w:rPr>
          <w:noProof/>
          <w:sz w:val="22"/>
          <w:szCs w:val="22"/>
        </w:rPr>
        <w:fldChar w:fldCharType="end"/>
      </w:r>
      <w:r w:rsidR="00F70646" w:rsidRPr="009A539C">
        <w:rPr>
          <w:sz w:val="22"/>
          <w:szCs w:val="22"/>
        </w:rPr>
        <w:t xml:space="preserve"> – </w:t>
      </w:r>
      <w:r w:rsidR="00473F67" w:rsidRPr="009A539C">
        <w:rPr>
          <w:sz w:val="22"/>
          <w:szCs w:val="22"/>
        </w:rPr>
        <w:t xml:space="preserve">Tipo de IRCT estendido </w:t>
      </w:r>
      <w:r w:rsidR="007B0B99">
        <w:rPr>
          <w:sz w:val="22"/>
          <w:szCs w:val="22"/>
        </w:rPr>
        <w:t xml:space="preserve"> (</w:t>
      </w:r>
      <w:r w:rsidR="00473F67" w:rsidRPr="009A539C">
        <w:rPr>
          <w:sz w:val="22"/>
          <w:szCs w:val="22"/>
        </w:rPr>
        <w:t>2019</w:t>
      </w:r>
      <w:bookmarkEnd w:id="284"/>
      <w:bookmarkEnd w:id="285"/>
      <w:r w:rsidR="007B0B99">
        <w:rPr>
          <w:sz w:val="22"/>
          <w:szCs w:val="22"/>
        </w:rPr>
        <w:t>-2018)</w:t>
      </w:r>
      <w:bookmarkEnd w:id="286"/>
    </w:p>
    <w:p w14:paraId="490AD83A" w14:textId="5F01F0B9" w:rsidR="00A30225" w:rsidRPr="009A539C" w:rsidRDefault="00565062" w:rsidP="002A18E4">
      <w:pPr>
        <w:jc w:val="center"/>
        <w:rPr>
          <w:rStyle w:val="ListLabel4"/>
          <w:color w:val="auto"/>
        </w:rPr>
      </w:pPr>
      <w:r w:rsidRPr="009A539C">
        <w:rPr>
          <w:b/>
          <w:bCs/>
          <w:noProof/>
          <w:color w:val="0070C0"/>
          <w:lang w:eastAsia="pt-PT"/>
        </w:rPr>
        <w:drawing>
          <wp:inline distT="0" distB="0" distL="0" distR="0" wp14:anchorId="55EEAA37" wp14:editId="4004E12A">
            <wp:extent cx="4041775" cy="1828800"/>
            <wp:effectExtent l="0" t="0" r="0" b="0"/>
            <wp:docPr id="1217" name="Imagem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41775" cy="1828800"/>
                    </a:xfrm>
                    <a:prstGeom prst="rect">
                      <a:avLst/>
                    </a:prstGeom>
                    <a:noFill/>
                  </pic:spPr>
                </pic:pic>
              </a:graphicData>
            </a:graphic>
          </wp:inline>
        </w:drawing>
      </w:r>
    </w:p>
    <w:p w14:paraId="4849490D" w14:textId="56ADCC59" w:rsidR="001A0194" w:rsidRPr="009A539C" w:rsidRDefault="001A0194" w:rsidP="00AF188D">
      <w:pPr>
        <w:pStyle w:val="PargrafodaLista"/>
        <w:keepNext/>
        <w:keepLines/>
        <w:numPr>
          <w:ilvl w:val="0"/>
          <w:numId w:val="54"/>
        </w:numPr>
        <w:spacing w:line="360" w:lineRule="auto"/>
        <w:ind w:left="0" w:right="-1" w:firstLine="567"/>
        <w:jc w:val="both"/>
        <w:rPr>
          <w:rStyle w:val="ListLabel4"/>
          <w:color w:val="auto"/>
        </w:rPr>
      </w:pPr>
      <w:bookmarkStart w:id="287" w:name="_Toc42511612"/>
      <w:bookmarkStart w:id="288" w:name="_Toc42514376"/>
      <w:r w:rsidRPr="009A539C">
        <w:rPr>
          <w:rStyle w:val="ListLabel4"/>
          <w:color w:val="auto"/>
        </w:rPr>
        <w:t>Quanto à eficácia das cláusulas de natureza pecuniária, o Governo tem tido em conta os critérios constan</w:t>
      </w:r>
      <w:r w:rsidR="00EB725C" w:rsidRPr="009A539C">
        <w:rPr>
          <w:rStyle w:val="ListLabel4"/>
          <w:color w:val="auto"/>
        </w:rPr>
        <w:t xml:space="preserve">tes no n.º 4 da RCM n.º82/2017 </w:t>
      </w:r>
      <w:r w:rsidRPr="009A539C">
        <w:rPr>
          <w:rStyle w:val="ListLabel4"/>
          <w:color w:val="auto"/>
        </w:rPr>
        <w:t>para fixar a eficácia das tabelas salariais</w:t>
      </w:r>
      <w:r w:rsidR="00475B91" w:rsidRPr="009A539C">
        <w:rPr>
          <w:rStyle w:val="ListLabel4"/>
          <w:color w:val="auto"/>
        </w:rPr>
        <w:t xml:space="preserve">. As amplitudes </w:t>
      </w:r>
      <w:r w:rsidR="00302613" w:rsidRPr="009A539C">
        <w:rPr>
          <w:rStyle w:val="ListLabel4"/>
          <w:color w:val="auto"/>
        </w:rPr>
        <w:t xml:space="preserve">fixadas para a retroatividade da tabela salarial  variam </w:t>
      </w:r>
      <w:r w:rsidRPr="009A539C">
        <w:rPr>
          <w:rStyle w:val="ListLabel4"/>
          <w:color w:val="auto"/>
        </w:rPr>
        <w:t xml:space="preserve"> entre 3</w:t>
      </w:r>
      <w:r w:rsidRPr="009A539C">
        <w:rPr>
          <w:rStyle w:val="ListLabel4"/>
          <w:color w:val="auto"/>
          <w:vertAlign w:val="superscript"/>
        </w:rPr>
        <w:footnoteReference w:id="43"/>
      </w:r>
      <w:r w:rsidRPr="009A539C">
        <w:rPr>
          <w:rStyle w:val="ListLabel4"/>
          <w:color w:val="auto"/>
          <w:vertAlign w:val="superscript"/>
        </w:rPr>
        <w:t xml:space="preserve"> </w:t>
      </w:r>
      <w:r w:rsidRPr="009A539C">
        <w:rPr>
          <w:rStyle w:val="ListLabel4"/>
          <w:color w:val="auto"/>
        </w:rPr>
        <w:t xml:space="preserve"> a  445 dias</w:t>
      </w:r>
      <w:r w:rsidRPr="009A539C">
        <w:rPr>
          <w:rStyle w:val="ListLabel4"/>
          <w:color w:val="auto"/>
          <w:vertAlign w:val="superscript"/>
        </w:rPr>
        <w:footnoteReference w:id="44"/>
      </w:r>
      <w:r w:rsidRPr="009A539C">
        <w:rPr>
          <w:rStyle w:val="ListLabel4"/>
          <w:color w:val="auto"/>
          <w:vertAlign w:val="superscript"/>
        </w:rPr>
        <w:t xml:space="preserve"> </w:t>
      </w:r>
      <w:r w:rsidRPr="009A539C">
        <w:rPr>
          <w:rStyle w:val="ListLabel4"/>
          <w:color w:val="auto"/>
        </w:rPr>
        <w:t xml:space="preserve"> antes da publicação da portaria.</w:t>
      </w:r>
      <w:bookmarkEnd w:id="287"/>
      <w:bookmarkEnd w:id="288"/>
    </w:p>
    <w:p w14:paraId="3E8465CB" w14:textId="77777777" w:rsidR="005D4681" w:rsidRPr="009A539C" w:rsidRDefault="005D4681" w:rsidP="00034087">
      <w:pPr>
        <w:pStyle w:val="PargrafodaLista"/>
        <w:keepNext/>
        <w:keepLines/>
        <w:spacing w:line="360" w:lineRule="auto"/>
        <w:ind w:left="567" w:right="-1"/>
        <w:jc w:val="both"/>
        <w:rPr>
          <w:rStyle w:val="ListLabel4"/>
          <w:color w:val="auto"/>
        </w:rPr>
      </w:pPr>
    </w:p>
    <w:p w14:paraId="7841F010" w14:textId="77777777" w:rsidR="001A0194" w:rsidRPr="009A539C" w:rsidRDefault="001A0194" w:rsidP="00AF188D">
      <w:pPr>
        <w:pStyle w:val="PargrafodaLista"/>
        <w:keepNext/>
        <w:keepLines/>
        <w:numPr>
          <w:ilvl w:val="0"/>
          <w:numId w:val="54"/>
        </w:numPr>
        <w:spacing w:line="360" w:lineRule="auto"/>
        <w:ind w:left="0" w:right="-1" w:firstLine="567"/>
        <w:jc w:val="both"/>
      </w:pPr>
      <w:r w:rsidRPr="009A539C">
        <w:t xml:space="preserve"> </w:t>
      </w:r>
      <w:bookmarkStart w:id="289" w:name="_Toc42511613"/>
      <w:bookmarkStart w:id="290" w:name="_Toc42514377"/>
      <w:r w:rsidRPr="009A539C">
        <w:t>Os apuramentos realizados (ver quadro 4 nos Anexos) permitem sistematizar alguns aspetos relevantes nas 83 PE reportadas a 2019:</w:t>
      </w:r>
      <w:bookmarkEnd w:id="289"/>
      <w:bookmarkEnd w:id="290"/>
      <w:r w:rsidRPr="009A539C">
        <w:t xml:space="preserve"> </w:t>
      </w:r>
    </w:p>
    <w:p w14:paraId="14A3956B" w14:textId="10F8E164" w:rsidR="001A0194" w:rsidRPr="009A539C" w:rsidRDefault="001A0194" w:rsidP="00A95C56">
      <w:pPr>
        <w:pStyle w:val="PargrafodaLista"/>
        <w:keepNext/>
        <w:keepLines/>
        <w:numPr>
          <w:ilvl w:val="0"/>
          <w:numId w:val="28"/>
        </w:numPr>
        <w:spacing w:after="0" w:line="360" w:lineRule="auto"/>
        <w:ind w:left="709" w:right="-1" w:hanging="425"/>
        <w:contextualSpacing w:val="0"/>
      </w:pPr>
      <w:bookmarkStart w:id="291" w:name="_Toc42511614"/>
      <w:bookmarkStart w:id="292" w:name="_Toc42514378"/>
      <w:r w:rsidRPr="009A539C">
        <w:t>a maioria das extensões continua a incidir em revisões parciais das convenções  (</w:t>
      </w:r>
      <w:r w:rsidR="00BF371B" w:rsidRPr="009A539C">
        <w:t>61</w:t>
      </w:r>
      <w:r w:rsidRPr="009A539C">
        <w:t xml:space="preserve"> em 83);</w:t>
      </w:r>
      <w:bookmarkEnd w:id="291"/>
      <w:bookmarkEnd w:id="292"/>
    </w:p>
    <w:p w14:paraId="62A7EA3C" w14:textId="36EB6948" w:rsidR="001A0194" w:rsidRPr="009A539C" w:rsidRDefault="001A0194" w:rsidP="00A95C56">
      <w:pPr>
        <w:pStyle w:val="PargrafodaLista"/>
        <w:keepNext/>
        <w:keepLines/>
        <w:numPr>
          <w:ilvl w:val="0"/>
          <w:numId w:val="28"/>
        </w:numPr>
        <w:spacing w:after="0" w:line="360" w:lineRule="auto"/>
        <w:ind w:left="709" w:right="-1" w:hanging="425"/>
        <w:contextualSpacing w:val="0"/>
        <w:jc w:val="both"/>
        <w:rPr>
          <w:rStyle w:val="ListLabel4"/>
        </w:rPr>
      </w:pPr>
      <w:bookmarkStart w:id="293" w:name="_Toc42511615"/>
      <w:bookmarkStart w:id="294" w:name="_Toc42514379"/>
      <w:r w:rsidRPr="009A539C">
        <w:rPr>
          <w:rStyle w:val="ListLabel4"/>
        </w:rPr>
        <w:t>nove PE estendem convenções publicadas no quarto trimestre de 2018;</w:t>
      </w:r>
      <w:bookmarkEnd w:id="293"/>
      <w:bookmarkEnd w:id="294"/>
      <w:r w:rsidR="00BF371B" w:rsidRPr="009A539C">
        <w:rPr>
          <w:rStyle w:val="ListLabel4"/>
        </w:rPr>
        <w:t xml:space="preserve"> </w:t>
      </w:r>
    </w:p>
    <w:p w14:paraId="5ED1DAC2" w14:textId="77777777" w:rsidR="001A0194" w:rsidRPr="009A539C" w:rsidRDefault="00E673E7" w:rsidP="00A95C56">
      <w:pPr>
        <w:pStyle w:val="PargrafodaLista"/>
        <w:keepNext/>
        <w:keepLines/>
        <w:numPr>
          <w:ilvl w:val="0"/>
          <w:numId w:val="28"/>
        </w:numPr>
        <w:spacing w:after="0" w:line="360" w:lineRule="auto"/>
        <w:ind w:left="709" w:right="-1" w:hanging="425"/>
        <w:contextualSpacing w:val="0"/>
        <w:jc w:val="both"/>
        <w:rPr>
          <w:rStyle w:val="ListLabel4"/>
        </w:rPr>
      </w:pPr>
      <w:bookmarkStart w:id="295" w:name="_Toc42511616"/>
      <w:bookmarkStart w:id="296" w:name="_Toc42514380"/>
      <w:r w:rsidRPr="009A539C">
        <w:rPr>
          <w:rStyle w:val="ListLabel4"/>
        </w:rPr>
        <w:t>verificam-se, em várias situações,</w:t>
      </w:r>
      <w:r w:rsidR="001A0194" w:rsidRPr="009A539C">
        <w:rPr>
          <w:rStyle w:val="ListLabel4"/>
        </w:rPr>
        <w:t xml:space="preserve"> dois ciclos de emissão de PE no ano de 2019</w:t>
      </w:r>
      <w:r w:rsidRPr="009A539C">
        <w:rPr>
          <w:rStyle w:val="ListLabel4"/>
        </w:rPr>
        <w:t xml:space="preserve">: </w:t>
      </w:r>
      <w:r w:rsidR="001A0194" w:rsidRPr="009A539C">
        <w:rPr>
          <w:rStyle w:val="ListLabel4"/>
        </w:rPr>
        <w:t xml:space="preserve">em </w:t>
      </w:r>
      <w:r w:rsidRPr="009A539C">
        <w:rPr>
          <w:rStyle w:val="ListLabel4"/>
        </w:rPr>
        <w:t>dois casos</w:t>
      </w:r>
      <w:r w:rsidR="001A0194" w:rsidRPr="009A539C">
        <w:rPr>
          <w:rStyle w:val="ListLabel4"/>
        </w:rPr>
        <w:t xml:space="preserve">, </w:t>
      </w:r>
      <w:r w:rsidRPr="009A539C">
        <w:rPr>
          <w:rStyle w:val="ListLabel4"/>
        </w:rPr>
        <w:t>há extensão de</w:t>
      </w:r>
      <w:r w:rsidR="001A0194" w:rsidRPr="009A539C">
        <w:rPr>
          <w:rStyle w:val="ListLabel4"/>
        </w:rPr>
        <w:t xml:space="preserve"> convenção publicada em 2018 </w:t>
      </w:r>
      <w:r w:rsidRPr="009A539C">
        <w:rPr>
          <w:rStyle w:val="ListLabel4"/>
        </w:rPr>
        <w:t>e outra</w:t>
      </w:r>
      <w:r w:rsidR="001A0194" w:rsidRPr="009A539C">
        <w:rPr>
          <w:rStyle w:val="ListLabel4"/>
        </w:rPr>
        <w:t xml:space="preserve"> em 2019</w:t>
      </w:r>
      <w:r w:rsidR="001A0194" w:rsidRPr="009A539C">
        <w:rPr>
          <w:rStyle w:val="Refdenotaderodap"/>
        </w:rPr>
        <w:footnoteReference w:id="45"/>
      </w:r>
      <w:r w:rsidRPr="009A539C">
        <w:rPr>
          <w:rStyle w:val="ListLabel4"/>
        </w:rPr>
        <w:t xml:space="preserve"> , noutros  </w:t>
      </w:r>
      <w:r w:rsidR="001A0194" w:rsidRPr="009A539C">
        <w:rPr>
          <w:rStyle w:val="ListLabel4"/>
        </w:rPr>
        <w:t xml:space="preserve">a  mesma convenção  teve uma revisão parcial no final </w:t>
      </w:r>
      <w:r w:rsidRPr="009A539C">
        <w:rPr>
          <w:rStyle w:val="ListLabel4"/>
        </w:rPr>
        <w:t>de 2019</w:t>
      </w:r>
      <w:r w:rsidR="001A0194" w:rsidRPr="009A539C">
        <w:rPr>
          <w:rStyle w:val="ListLabel4"/>
        </w:rPr>
        <w:t xml:space="preserve"> </w:t>
      </w:r>
      <w:r w:rsidR="001A0194" w:rsidRPr="009A539C">
        <w:rPr>
          <w:rStyle w:val="Refdenotaderodap"/>
        </w:rPr>
        <w:footnoteReference w:id="46"/>
      </w:r>
      <w:r w:rsidR="001A0194" w:rsidRPr="009A539C">
        <w:rPr>
          <w:rStyle w:val="ListLabel4"/>
        </w:rPr>
        <w:t>;</w:t>
      </w:r>
      <w:bookmarkEnd w:id="295"/>
      <w:bookmarkEnd w:id="296"/>
    </w:p>
    <w:p w14:paraId="33C231F3" w14:textId="77777777" w:rsidR="001A0194" w:rsidRPr="009A539C" w:rsidRDefault="001A0194" w:rsidP="00A95C56">
      <w:pPr>
        <w:pStyle w:val="PargrafodaLista"/>
        <w:keepNext/>
        <w:keepLines/>
        <w:numPr>
          <w:ilvl w:val="0"/>
          <w:numId w:val="28"/>
        </w:numPr>
        <w:spacing w:after="0" w:line="360" w:lineRule="auto"/>
        <w:ind w:left="709" w:right="-1" w:hanging="425"/>
        <w:contextualSpacing w:val="0"/>
        <w:jc w:val="both"/>
        <w:rPr>
          <w:rStyle w:val="ListLabel4"/>
        </w:rPr>
      </w:pPr>
      <w:bookmarkStart w:id="297" w:name="_Toc42511617"/>
      <w:bookmarkStart w:id="298" w:name="_Toc42514381"/>
      <w:r w:rsidRPr="009A539C">
        <w:rPr>
          <w:rStyle w:val="ListLabel4"/>
        </w:rPr>
        <w:t>existem 19 PE que correspondem à extensão de convenções paralelas;</w:t>
      </w:r>
      <w:bookmarkEnd w:id="297"/>
      <w:bookmarkEnd w:id="298"/>
      <w:r w:rsidRPr="009A539C">
        <w:rPr>
          <w:rStyle w:val="ListLabel4"/>
        </w:rPr>
        <w:t xml:space="preserve"> </w:t>
      </w:r>
    </w:p>
    <w:p w14:paraId="3C02F937" w14:textId="77777777" w:rsidR="001A0194" w:rsidRPr="009A539C" w:rsidRDefault="001A0194" w:rsidP="00A95C56">
      <w:pPr>
        <w:pStyle w:val="PargrafodaLista"/>
        <w:keepNext/>
        <w:keepLines/>
        <w:numPr>
          <w:ilvl w:val="0"/>
          <w:numId w:val="28"/>
        </w:numPr>
        <w:spacing w:after="0" w:line="360" w:lineRule="auto"/>
        <w:ind w:left="709" w:right="-1" w:hanging="425"/>
        <w:contextualSpacing w:val="0"/>
        <w:jc w:val="both"/>
        <w:rPr>
          <w:rStyle w:val="ListLabel4"/>
        </w:rPr>
      </w:pPr>
      <w:bookmarkStart w:id="299" w:name="_Toc42511618"/>
      <w:bookmarkStart w:id="300" w:name="_Toc42514382"/>
      <w:r w:rsidRPr="009A539C">
        <w:rPr>
          <w:rStyle w:val="ListLabel4"/>
        </w:rPr>
        <w:t>na fase procedimental de pronúncia dos interessados, existiram 24 PE que tiveram oposição à extensão,  formuladas 8 do lado patronal; 2 do lado patronal e sindical e, por fim, 14 com oposição do lado sindical. Na sua maioria a fundamentação invoca a existência de convenção aplicável. Já menos comum é a pronuncia apresentada pela associação sindical outorgante da convenção objeto de extensão, que se opôs à amplitude da retroatividade da tabela salarial e à exclusão, do âmbito da extensão, das associações de empregadores que se tinham oposto a extensão da anterior convenção</w:t>
      </w:r>
      <w:r w:rsidRPr="009A539C">
        <w:rPr>
          <w:rStyle w:val="Refdenotaderodap"/>
        </w:rPr>
        <w:footnoteReference w:id="47"/>
      </w:r>
      <w:r w:rsidRPr="009A539C">
        <w:rPr>
          <w:rStyle w:val="ListLabel4"/>
        </w:rPr>
        <w:t>. Na oposição à extensão do lado patronal, a propósito do procedimento de extensão</w:t>
      </w:r>
      <w:r w:rsidR="00EB725C" w:rsidRPr="009A539C">
        <w:rPr>
          <w:rStyle w:val="ListLabel4"/>
        </w:rPr>
        <w:t xml:space="preserve"> de duas convenções paralelas, </w:t>
      </w:r>
      <w:r w:rsidRPr="009A539C">
        <w:rPr>
          <w:rStyle w:val="ListLabel4"/>
        </w:rPr>
        <w:t>são alegados motivos económicos, em particular, quando está em causa a aplicação de norma conve</w:t>
      </w:r>
      <w:r w:rsidR="00EB725C" w:rsidRPr="009A539C">
        <w:rPr>
          <w:rStyle w:val="ListLabel4"/>
        </w:rPr>
        <w:t xml:space="preserve">ncional relativa à transmissão </w:t>
      </w:r>
      <w:r w:rsidRPr="009A539C">
        <w:rPr>
          <w:rStyle w:val="ListLabel4"/>
        </w:rPr>
        <w:t>de estabelecimento</w:t>
      </w:r>
      <w:r w:rsidRPr="009A539C">
        <w:rPr>
          <w:rStyle w:val="Refdenotaderodap"/>
        </w:rPr>
        <w:footnoteReference w:id="48"/>
      </w:r>
      <w:r w:rsidRPr="009A539C">
        <w:rPr>
          <w:rStyle w:val="ListLabel4"/>
        </w:rPr>
        <w:t>;</w:t>
      </w:r>
      <w:bookmarkEnd w:id="299"/>
      <w:bookmarkEnd w:id="300"/>
    </w:p>
    <w:p w14:paraId="2984304F" w14:textId="60A01694" w:rsidR="001A0194" w:rsidRPr="009A539C" w:rsidRDefault="001A0194" w:rsidP="00A95C56">
      <w:pPr>
        <w:pStyle w:val="PargrafodaLista"/>
        <w:keepNext/>
        <w:keepLines/>
        <w:numPr>
          <w:ilvl w:val="0"/>
          <w:numId w:val="28"/>
        </w:numPr>
        <w:spacing w:after="0" w:line="360" w:lineRule="auto"/>
        <w:ind w:left="709" w:right="-1" w:hanging="425"/>
        <w:contextualSpacing w:val="0"/>
        <w:jc w:val="both"/>
        <w:rPr>
          <w:rStyle w:val="ListLabel4"/>
        </w:rPr>
      </w:pPr>
      <w:bookmarkStart w:id="301" w:name="_Toc42511619"/>
      <w:bookmarkStart w:id="302" w:name="_Toc42514383"/>
      <w:r w:rsidRPr="009A539C">
        <w:rPr>
          <w:rStyle w:val="ListLabel4"/>
        </w:rPr>
        <w:t>as portarias  de extensão  repartem-se  por  12 setores de atividade da CAE, de acordo com a distribuição graficamente representada, com predomínio da indústria (30 em 83)  e  do comércio (26 em 83 PE)</w:t>
      </w:r>
      <w:r w:rsidR="00C04755" w:rsidRPr="009A539C">
        <w:rPr>
          <w:rStyle w:val="ListLabel4"/>
        </w:rPr>
        <w:t>,</w:t>
      </w:r>
      <w:r w:rsidRPr="009A539C">
        <w:rPr>
          <w:rStyle w:val="ListLabel4"/>
        </w:rPr>
        <w:t xml:space="preserve"> seguida d</w:t>
      </w:r>
      <w:r w:rsidR="00C04755" w:rsidRPr="009A539C">
        <w:rPr>
          <w:rStyle w:val="ListLabel4"/>
        </w:rPr>
        <w:t xml:space="preserve">e </w:t>
      </w:r>
      <w:r w:rsidRPr="009A539C">
        <w:rPr>
          <w:rStyle w:val="ListLabel4"/>
        </w:rPr>
        <w:t>alojamento e rest</w:t>
      </w:r>
      <w:r w:rsidR="00C04755" w:rsidRPr="009A539C">
        <w:rPr>
          <w:rStyle w:val="ListLabel4"/>
        </w:rPr>
        <w:t>auração</w:t>
      </w:r>
      <w:r w:rsidRPr="009A539C">
        <w:rPr>
          <w:rStyle w:val="ListLabel4"/>
        </w:rPr>
        <w:t xml:space="preserve"> (I) (8 em 83PE).</w:t>
      </w:r>
      <w:bookmarkEnd w:id="301"/>
      <w:bookmarkEnd w:id="302"/>
      <w:r w:rsidRPr="009A539C">
        <w:rPr>
          <w:rStyle w:val="ListLabel4"/>
        </w:rPr>
        <w:t xml:space="preserve">  </w:t>
      </w:r>
    </w:p>
    <w:p w14:paraId="5B2FE2AE" w14:textId="519D4F19" w:rsidR="001A0194" w:rsidRPr="009A539C" w:rsidRDefault="001A0194" w:rsidP="00034087">
      <w:pPr>
        <w:pStyle w:val="Legenda"/>
        <w:ind w:right="-1"/>
        <w:jc w:val="center"/>
        <w:rPr>
          <w:sz w:val="22"/>
          <w:szCs w:val="22"/>
        </w:rPr>
      </w:pPr>
      <w:bookmarkStart w:id="303" w:name="_Toc15655043"/>
      <w:bookmarkStart w:id="304" w:name="_Toc44665215"/>
      <w:r w:rsidRPr="009A539C">
        <w:rPr>
          <w:sz w:val="22"/>
          <w:szCs w:val="22"/>
        </w:rPr>
        <w:t xml:space="preserve">Gráfico </w:t>
      </w:r>
      <w:r w:rsidR="009972BC" w:rsidRPr="009A539C">
        <w:rPr>
          <w:noProof/>
          <w:sz w:val="22"/>
          <w:szCs w:val="22"/>
        </w:rPr>
        <w:fldChar w:fldCharType="begin"/>
      </w:r>
      <w:r w:rsidRPr="009A539C">
        <w:rPr>
          <w:noProof/>
          <w:sz w:val="22"/>
          <w:szCs w:val="22"/>
        </w:rPr>
        <w:instrText xml:space="preserve"> SEQ Gráfico \* ARABIC </w:instrText>
      </w:r>
      <w:r w:rsidR="009972BC" w:rsidRPr="009A539C">
        <w:rPr>
          <w:noProof/>
          <w:sz w:val="22"/>
          <w:szCs w:val="22"/>
        </w:rPr>
        <w:fldChar w:fldCharType="separate"/>
      </w:r>
      <w:r w:rsidR="00D821DE">
        <w:rPr>
          <w:noProof/>
          <w:sz w:val="22"/>
          <w:szCs w:val="22"/>
        </w:rPr>
        <w:t>13</w:t>
      </w:r>
      <w:r w:rsidR="009972BC" w:rsidRPr="009A539C">
        <w:rPr>
          <w:noProof/>
          <w:sz w:val="22"/>
          <w:szCs w:val="22"/>
        </w:rPr>
        <w:fldChar w:fldCharType="end"/>
      </w:r>
      <w:r w:rsidRPr="009A539C">
        <w:rPr>
          <w:sz w:val="22"/>
          <w:szCs w:val="22"/>
        </w:rPr>
        <w:t xml:space="preserve"> - Distribuição das portarias de extensão publicadas em 2019 por CAE </w:t>
      </w:r>
      <w:bookmarkEnd w:id="303"/>
      <w:bookmarkEnd w:id="304"/>
    </w:p>
    <w:p w14:paraId="571811B0" w14:textId="77777777" w:rsidR="001A0194" w:rsidRPr="009A539C" w:rsidRDefault="001A0194" w:rsidP="00034087">
      <w:pPr>
        <w:ind w:right="-1"/>
        <w:jc w:val="center"/>
      </w:pPr>
      <w:r w:rsidRPr="009A539C">
        <w:rPr>
          <w:noProof/>
          <w:lang w:eastAsia="pt-PT"/>
        </w:rPr>
        <w:drawing>
          <wp:inline distT="0" distB="0" distL="0" distR="0" wp14:anchorId="3E5D7D7B" wp14:editId="6BF00D88">
            <wp:extent cx="3929482" cy="2320505"/>
            <wp:effectExtent l="0" t="0" r="0" b="3810"/>
            <wp:docPr id="1131" name="Imagem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34251" cy="2323321"/>
                    </a:xfrm>
                    <a:prstGeom prst="rect">
                      <a:avLst/>
                    </a:prstGeom>
                    <a:noFill/>
                    <a:ln>
                      <a:noFill/>
                    </a:ln>
                  </pic:spPr>
                </pic:pic>
              </a:graphicData>
            </a:graphic>
          </wp:inline>
        </w:drawing>
      </w:r>
    </w:p>
    <w:p w14:paraId="516B7D08" w14:textId="77777777" w:rsidR="00B90B12" w:rsidRPr="009A539C" w:rsidRDefault="00B90B12" w:rsidP="00034087">
      <w:pPr>
        <w:ind w:right="-1"/>
        <w:jc w:val="center"/>
      </w:pPr>
    </w:p>
    <w:p w14:paraId="23A86B8F" w14:textId="77777777" w:rsidR="00B90B12" w:rsidRPr="009A539C" w:rsidRDefault="00B90B12" w:rsidP="00AF188D">
      <w:pPr>
        <w:pStyle w:val="PargrafodaLista"/>
        <w:keepNext/>
        <w:keepLines/>
        <w:numPr>
          <w:ilvl w:val="0"/>
          <w:numId w:val="54"/>
        </w:numPr>
        <w:spacing w:line="360" w:lineRule="auto"/>
        <w:ind w:left="0" w:right="-1" w:firstLine="567"/>
        <w:jc w:val="both"/>
      </w:pPr>
      <w:bookmarkStart w:id="305" w:name="_Toc42511620"/>
      <w:bookmarkStart w:id="306" w:name="_Toc42514384"/>
      <w:r w:rsidRPr="009A539C">
        <w:t>No Quadro 25 analisa-se o universo de PE publicadas em BTE em 2019 - cujos pedidos estão conformes a RCM n.º 82/2017 - adotando os dois parâmetros de análise utilizados nos relatórios precedentes:</w:t>
      </w:r>
      <w:bookmarkEnd w:id="305"/>
      <w:bookmarkEnd w:id="306"/>
      <w:r w:rsidRPr="009A539C">
        <w:t xml:space="preserve"> </w:t>
      </w:r>
    </w:p>
    <w:p w14:paraId="0F3303A6" w14:textId="77777777" w:rsidR="00B90B12" w:rsidRPr="009A539C" w:rsidRDefault="00B90B12" w:rsidP="00034087">
      <w:pPr>
        <w:keepNext/>
        <w:keepLines/>
        <w:spacing w:line="360" w:lineRule="auto"/>
        <w:ind w:right="-1" w:firstLine="708"/>
        <w:jc w:val="both"/>
        <w:rPr>
          <w:rStyle w:val="ListLabel4"/>
        </w:rPr>
      </w:pPr>
      <w:bookmarkStart w:id="307" w:name="_Toc42511621"/>
      <w:bookmarkStart w:id="308" w:name="_Toc42514385"/>
      <w:r w:rsidRPr="009A539C">
        <w:rPr>
          <w:rStyle w:val="ListLabel4"/>
        </w:rPr>
        <w:t>i.</w:t>
      </w:r>
      <w:r w:rsidRPr="009A539C">
        <w:rPr>
          <w:rStyle w:val="ListLabel4"/>
        </w:rPr>
        <w:tab/>
        <w:t>o tempo decorrido entre a publicação da última alteração da convenção e a emissão da portaria que promove a sua extensão, por referência ao conjunto de portarias de extensão (considerando a data de publicação da portaria em DRE);</w:t>
      </w:r>
      <w:bookmarkEnd w:id="307"/>
      <w:bookmarkEnd w:id="308"/>
    </w:p>
    <w:p w14:paraId="331FC1B6" w14:textId="1D535008" w:rsidR="00B90B12" w:rsidRPr="009A539C" w:rsidRDefault="00B90B12" w:rsidP="00034087">
      <w:pPr>
        <w:keepNext/>
        <w:keepLines/>
        <w:spacing w:line="360" w:lineRule="auto"/>
        <w:ind w:right="-1" w:firstLine="708"/>
        <w:jc w:val="both"/>
        <w:rPr>
          <w:rStyle w:val="ListLabel4"/>
        </w:rPr>
      </w:pPr>
      <w:bookmarkStart w:id="309" w:name="_Toc42511622"/>
      <w:bookmarkStart w:id="310" w:name="_Toc42514386"/>
      <w:r w:rsidRPr="009A539C">
        <w:rPr>
          <w:rStyle w:val="ListLabel4"/>
        </w:rPr>
        <w:t>ii.</w:t>
      </w:r>
      <w:r w:rsidRPr="009A539C">
        <w:rPr>
          <w:rStyle w:val="ListLabel4"/>
        </w:rPr>
        <w:tab/>
      </w:r>
      <w:r w:rsidR="00181324" w:rsidRPr="009A539C">
        <w:rPr>
          <w:rStyle w:val="ListLabel4"/>
        </w:rPr>
        <w:t>o intervalo</w:t>
      </w:r>
      <w:r w:rsidRPr="009A539C">
        <w:rPr>
          <w:rStyle w:val="ListLabel4"/>
        </w:rPr>
        <w:t xml:space="preserve"> médio entre o início da eficácia da tabela salarial aplicada aos outorgantes da convenção, por via do princípio da filiação e o início da eficácia da mesma tabela remuneratória através da correspondente portaria de extensão.</w:t>
      </w:r>
      <w:bookmarkEnd w:id="309"/>
      <w:bookmarkEnd w:id="310"/>
    </w:p>
    <w:p w14:paraId="2747AF8E" w14:textId="035D34F8" w:rsidR="001A0194" w:rsidRPr="009A539C" w:rsidRDefault="00C04755" w:rsidP="0087143A">
      <w:pPr>
        <w:keepNext/>
        <w:keepLines/>
        <w:spacing w:line="360" w:lineRule="auto"/>
        <w:ind w:right="-1" w:firstLine="708"/>
        <w:jc w:val="both"/>
        <w:rPr>
          <w:rStyle w:val="ListLabel4"/>
        </w:rPr>
      </w:pPr>
      <w:bookmarkStart w:id="311" w:name="_Toc42511623"/>
      <w:bookmarkStart w:id="312" w:name="_Toc42514387"/>
      <w:r w:rsidRPr="009A539C">
        <w:rPr>
          <w:rStyle w:val="ListLabel4"/>
        </w:rPr>
        <w:t xml:space="preserve">Mantém-se, quanto à dilação temporal, </w:t>
      </w:r>
      <w:r w:rsidR="00B90B12" w:rsidRPr="009A539C">
        <w:rPr>
          <w:rStyle w:val="ListLabel4"/>
        </w:rPr>
        <w:t>a tendência de redução paulatina, de que se deu nota nos Relatórios anteriores. Assim o intervalo médio entre a publicação da convenção/publicação da PE foi de 2 meses, no conjunto das PE emitidas</w:t>
      </w:r>
      <w:r w:rsidR="00B90B12" w:rsidRPr="009A539C">
        <w:rPr>
          <w:rStyle w:val="Refdenotaderodap"/>
        </w:rPr>
        <w:t xml:space="preserve"> </w:t>
      </w:r>
      <w:r w:rsidR="00B90B12" w:rsidRPr="009A539C">
        <w:rPr>
          <w:rStyle w:val="Refdenotaderodap"/>
        </w:rPr>
        <w:footnoteReference w:id="49"/>
      </w:r>
      <w:r w:rsidR="00B90B12" w:rsidRPr="009A539C">
        <w:rPr>
          <w:rStyle w:val="ListLabel4"/>
        </w:rPr>
        <w:t xml:space="preserve"> . O intervalo médio entre o início da eficácia da tabela salarial da convenção e o momento da aplicação da tabela salarial por via da portaria de extensão, corresponde, em 2019, a 4,9 meses</w:t>
      </w:r>
      <w:r w:rsidR="00B90B12" w:rsidRPr="009A539C">
        <w:rPr>
          <w:rStyle w:val="Refdenotaderodap"/>
        </w:rPr>
        <w:footnoteReference w:id="50"/>
      </w:r>
      <w:r w:rsidR="00B90B12" w:rsidRPr="009A539C">
        <w:rPr>
          <w:rStyle w:val="ListLabel4"/>
        </w:rPr>
        <w:t>.</w:t>
      </w:r>
      <w:bookmarkEnd w:id="311"/>
      <w:bookmarkEnd w:id="312"/>
      <w:r w:rsidR="00B90B12" w:rsidRPr="009A539C">
        <w:rPr>
          <w:rStyle w:val="ListLabel4"/>
        </w:rPr>
        <w:t xml:space="preserve"> </w:t>
      </w:r>
    </w:p>
    <w:p w14:paraId="060209FF" w14:textId="77777777" w:rsidR="00475B91" w:rsidRPr="009A539C" w:rsidRDefault="00475B91" w:rsidP="00565062">
      <w:pPr>
        <w:pStyle w:val="Legenda"/>
        <w:jc w:val="center"/>
      </w:pPr>
      <w:bookmarkStart w:id="313" w:name="_Toc42511624"/>
      <w:bookmarkStart w:id="314" w:name="_Toc42514388"/>
    </w:p>
    <w:p w14:paraId="1746212E" w14:textId="77777777" w:rsidR="00475B91" w:rsidRPr="009A539C" w:rsidRDefault="00475B91" w:rsidP="00565062">
      <w:pPr>
        <w:pStyle w:val="Legenda"/>
        <w:jc w:val="center"/>
      </w:pPr>
    </w:p>
    <w:p w14:paraId="0426A30C" w14:textId="4AAE1905" w:rsidR="001A0194" w:rsidRPr="009A539C" w:rsidRDefault="00565062" w:rsidP="00565062">
      <w:pPr>
        <w:pStyle w:val="Legenda"/>
        <w:jc w:val="center"/>
        <w:rPr>
          <w:rStyle w:val="ListLabel4"/>
          <w:b w:val="0"/>
          <w:color w:val="4F81BD" w:themeColor="accent1"/>
        </w:rPr>
      </w:pPr>
      <w:bookmarkStart w:id="315" w:name="_Toc45716646"/>
      <w:r w:rsidRPr="009A539C">
        <w:t xml:space="preserve">Quadro </w:t>
      </w:r>
      <w:fldSimple w:instr=" SEQ Quadro \* ARABIC ">
        <w:r w:rsidR="00D821DE">
          <w:rPr>
            <w:noProof/>
          </w:rPr>
          <w:t>25</w:t>
        </w:r>
      </w:fldSimple>
      <w:r w:rsidR="001A0194" w:rsidRPr="009A539C">
        <w:rPr>
          <w:rStyle w:val="ListLabel4"/>
          <w:color w:val="4F81BD" w:themeColor="accent1"/>
        </w:rPr>
        <w:t xml:space="preserve"> - Período entre a publicação da Convenção (última alteração) e a publicação da PE e entre a produção de efeitos da tabela </w:t>
      </w:r>
      <w:r w:rsidR="008A2F81">
        <w:rPr>
          <w:rStyle w:val="ListLabel4"/>
          <w:color w:val="4F81BD" w:themeColor="accent1"/>
        </w:rPr>
        <w:t>salarial da convenção e da PE  (</w:t>
      </w:r>
      <w:r w:rsidR="001A0194" w:rsidRPr="009A539C">
        <w:rPr>
          <w:rStyle w:val="ListLabel4"/>
          <w:color w:val="4F81BD" w:themeColor="accent1"/>
        </w:rPr>
        <w:t>2019</w:t>
      </w:r>
      <w:bookmarkEnd w:id="313"/>
      <w:bookmarkEnd w:id="314"/>
      <w:r w:rsidR="008A2F81">
        <w:rPr>
          <w:rStyle w:val="ListLabel4"/>
          <w:color w:val="4F81BD" w:themeColor="accent1"/>
        </w:rPr>
        <w:t>)</w:t>
      </w:r>
      <w:bookmarkEnd w:id="315"/>
    </w:p>
    <w:p w14:paraId="5949A946" w14:textId="77777777" w:rsidR="001A0194" w:rsidRPr="009A539C" w:rsidRDefault="001A0194" w:rsidP="00034087">
      <w:pPr>
        <w:keepNext/>
        <w:keepLines/>
        <w:ind w:right="-1"/>
        <w:jc w:val="center"/>
        <w:rPr>
          <w:rStyle w:val="ListLabel4"/>
          <w:b/>
          <w:color w:val="0070C0"/>
          <w:sz w:val="18"/>
          <w:szCs w:val="18"/>
        </w:rPr>
      </w:pPr>
      <w:bookmarkStart w:id="316" w:name="_Toc42511625"/>
      <w:bookmarkStart w:id="317" w:name="_Toc42514389"/>
      <w:r w:rsidRPr="009A539C">
        <w:rPr>
          <w:noProof/>
          <w:lang w:eastAsia="pt-PT"/>
        </w:rPr>
        <w:drawing>
          <wp:inline distT="0" distB="0" distL="0" distR="0" wp14:anchorId="5C08FA64" wp14:editId="5F7AB1FB">
            <wp:extent cx="5635370" cy="1389888"/>
            <wp:effectExtent l="0" t="0" r="3810" b="1270"/>
            <wp:docPr id="1132" name="Imagem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37406" cy="1390390"/>
                    </a:xfrm>
                    <a:prstGeom prst="rect">
                      <a:avLst/>
                    </a:prstGeom>
                    <a:noFill/>
                    <a:ln>
                      <a:noFill/>
                    </a:ln>
                  </pic:spPr>
                </pic:pic>
              </a:graphicData>
            </a:graphic>
          </wp:inline>
        </w:drawing>
      </w:r>
      <w:bookmarkEnd w:id="316"/>
      <w:bookmarkEnd w:id="317"/>
    </w:p>
    <w:p w14:paraId="79EFB8D2" w14:textId="77777777" w:rsidR="001A0194" w:rsidRPr="009A539C" w:rsidRDefault="001A0194" w:rsidP="00034087">
      <w:pPr>
        <w:keepNext/>
        <w:keepLines/>
        <w:ind w:right="-1"/>
        <w:rPr>
          <w:rStyle w:val="ListLabel4"/>
          <w:b/>
          <w:color w:val="0070C0"/>
          <w:sz w:val="18"/>
          <w:szCs w:val="18"/>
        </w:rPr>
      </w:pPr>
    </w:p>
    <w:p w14:paraId="7C923AAF" w14:textId="06FB682E" w:rsidR="001A0194" w:rsidRPr="009A539C" w:rsidRDefault="001A0194" w:rsidP="00AF188D">
      <w:pPr>
        <w:pStyle w:val="PargrafodaLista"/>
        <w:keepNext/>
        <w:keepLines/>
        <w:numPr>
          <w:ilvl w:val="0"/>
          <w:numId w:val="54"/>
        </w:numPr>
        <w:spacing w:line="360" w:lineRule="auto"/>
        <w:ind w:left="0" w:right="-1" w:firstLine="567"/>
        <w:jc w:val="both"/>
        <w:rPr>
          <w:rStyle w:val="ListLabel4"/>
        </w:rPr>
      </w:pPr>
      <w:bookmarkStart w:id="318" w:name="_Toc42511626"/>
      <w:bookmarkStart w:id="319" w:name="_Toc42514390"/>
      <w:r w:rsidRPr="009A539C">
        <w:rPr>
          <w:rStyle w:val="ListLabel4"/>
        </w:rPr>
        <w:t>Complementa-se este ponto verificando qu</w:t>
      </w:r>
      <w:r w:rsidR="00124368" w:rsidRPr="009A539C">
        <w:rPr>
          <w:rStyle w:val="ListLabel4"/>
        </w:rPr>
        <w:t xml:space="preserve">al o tempo médio de emissão das </w:t>
      </w:r>
      <w:r w:rsidRPr="009A539C">
        <w:rPr>
          <w:rStyle w:val="ListLabel4"/>
        </w:rPr>
        <w:t>PE, considerando o número de dias úteis decorridos entre o requerimento da extensão (ou a data da aceitação do pedido de depósito da respetiva convenção, nos casos de pedido em simultâneo do depósito e da extensão dessa convenção) e a publicação em Diário da Republica da respetiva PE, conforme determina o n. º 2 da RCM n.º 82/2017.</w:t>
      </w:r>
      <w:bookmarkEnd w:id="318"/>
      <w:bookmarkEnd w:id="319"/>
    </w:p>
    <w:p w14:paraId="10E24915" w14:textId="77777777" w:rsidR="001A0194" w:rsidRPr="009A539C" w:rsidRDefault="00393240" w:rsidP="00034087">
      <w:pPr>
        <w:keepNext/>
        <w:keepLines/>
        <w:spacing w:line="360" w:lineRule="auto"/>
        <w:ind w:right="-1" w:firstLine="709"/>
        <w:jc w:val="both"/>
        <w:rPr>
          <w:rStyle w:val="ListLabel4"/>
        </w:rPr>
      </w:pPr>
      <w:bookmarkStart w:id="320" w:name="_Toc42511627"/>
      <w:bookmarkStart w:id="321" w:name="_Toc42514391"/>
      <w:r w:rsidRPr="009A539C">
        <w:rPr>
          <w:rStyle w:val="ListLabel4"/>
        </w:rPr>
        <w:t>De acordo com os dados da DGERT, e t</w:t>
      </w:r>
      <w:r w:rsidR="001A0194" w:rsidRPr="009A539C">
        <w:rPr>
          <w:rStyle w:val="ListLabel4"/>
        </w:rPr>
        <w:t xml:space="preserve">endo em conta o mesmo universo (83 PE publicadas em BTE), verifica-se que a duração média do procedimento (administrativo) de extensão da convenção </w:t>
      </w:r>
      <w:r w:rsidRPr="009A539C">
        <w:rPr>
          <w:rStyle w:val="ListLabel4"/>
        </w:rPr>
        <w:t>foi</w:t>
      </w:r>
      <w:r w:rsidR="00483360" w:rsidRPr="009A539C">
        <w:rPr>
          <w:rStyle w:val="ListLabel4"/>
        </w:rPr>
        <w:t xml:space="preserve">, em 2019, </w:t>
      </w:r>
      <w:r w:rsidR="001A0194" w:rsidRPr="009A539C">
        <w:rPr>
          <w:rStyle w:val="ListLabel4"/>
        </w:rPr>
        <w:t>43 dias úteis.</w:t>
      </w:r>
      <w:bookmarkEnd w:id="320"/>
      <w:bookmarkEnd w:id="321"/>
      <w:r w:rsidR="001A0194" w:rsidRPr="009A539C">
        <w:rPr>
          <w:rStyle w:val="ListLabel4"/>
        </w:rPr>
        <w:t xml:space="preserve">  </w:t>
      </w:r>
    </w:p>
    <w:p w14:paraId="541A67B2" w14:textId="29C5BA01" w:rsidR="00B90B12" w:rsidRPr="009A539C" w:rsidRDefault="00B90B12" w:rsidP="00034087">
      <w:pPr>
        <w:keepNext/>
        <w:keepLines/>
        <w:spacing w:line="360" w:lineRule="auto"/>
        <w:ind w:right="-1"/>
        <w:jc w:val="both"/>
        <w:rPr>
          <w:rStyle w:val="ListLabel4"/>
        </w:rPr>
      </w:pPr>
    </w:p>
    <w:p w14:paraId="217D7CC6" w14:textId="59741CA0" w:rsidR="0087143A" w:rsidRPr="009A539C" w:rsidRDefault="0087143A" w:rsidP="00034087">
      <w:pPr>
        <w:keepNext/>
        <w:keepLines/>
        <w:spacing w:line="360" w:lineRule="auto"/>
        <w:ind w:right="-1"/>
        <w:jc w:val="both"/>
        <w:rPr>
          <w:rStyle w:val="ListLabel4"/>
        </w:rPr>
      </w:pPr>
    </w:p>
    <w:p w14:paraId="567AFB9E" w14:textId="77777777" w:rsidR="0087143A" w:rsidRPr="009A539C" w:rsidRDefault="0087143A" w:rsidP="00034087">
      <w:pPr>
        <w:keepNext/>
        <w:keepLines/>
        <w:spacing w:line="360" w:lineRule="auto"/>
        <w:ind w:right="-1"/>
        <w:jc w:val="both"/>
        <w:rPr>
          <w:rStyle w:val="ListLabel4"/>
        </w:rPr>
      </w:pPr>
    </w:p>
    <w:p w14:paraId="1408F2EE" w14:textId="77777777" w:rsidR="000F0BA3" w:rsidRPr="009A539C" w:rsidRDefault="000F0BA3" w:rsidP="00B20462">
      <w:pPr>
        <w:pStyle w:val="PargrafodaLista"/>
        <w:numPr>
          <w:ilvl w:val="2"/>
          <w:numId w:val="1"/>
        </w:numPr>
        <w:spacing w:line="360" w:lineRule="auto"/>
        <w:ind w:left="851" w:right="-1"/>
        <w:outlineLvl w:val="2"/>
        <w:rPr>
          <w:rFonts w:ascii="Calibri" w:hAnsi="Calibri" w:cs="Calibri"/>
          <w:b/>
        </w:rPr>
      </w:pPr>
      <w:bookmarkStart w:id="322" w:name="_Toc45535694"/>
      <w:r w:rsidRPr="009A539C">
        <w:rPr>
          <w:rFonts w:ascii="Calibri" w:hAnsi="Calibri" w:cs="Calibri"/>
          <w:b/>
        </w:rPr>
        <w:t>Acordos de adesão publicados em 2019</w:t>
      </w:r>
      <w:bookmarkEnd w:id="322"/>
    </w:p>
    <w:p w14:paraId="365C5114" w14:textId="77777777" w:rsidR="00B90B12" w:rsidRPr="009A539C" w:rsidRDefault="00B90B12" w:rsidP="00683E26">
      <w:pPr>
        <w:ind w:firstLine="709"/>
        <w:rPr>
          <w:rStyle w:val="ListLabel4"/>
        </w:rPr>
      </w:pPr>
      <w:bookmarkStart w:id="323" w:name="_Toc42511629"/>
      <w:bookmarkStart w:id="324" w:name="_Toc42514393"/>
      <w:r w:rsidRPr="009A539C">
        <w:rPr>
          <w:rStyle w:val="ListLabel4"/>
        </w:rPr>
        <w:t>Em 2019</w:t>
      </w:r>
      <w:r w:rsidR="00732B14" w:rsidRPr="009A539C">
        <w:rPr>
          <w:rStyle w:val="ListLabel4"/>
        </w:rPr>
        <w:t>,</w:t>
      </w:r>
      <w:r w:rsidRPr="009A539C">
        <w:rPr>
          <w:rStyle w:val="ListLabel4"/>
        </w:rPr>
        <w:t xml:space="preserve"> foram celebrados 28 acordos,</w:t>
      </w:r>
      <w:r w:rsidR="00A95132" w:rsidRPr="009A539C">
        <w:rPr>
          <w:rStyle w:val="ListLabel4"/>
        </w:rPr>
        <w:t xml:space="preserve"> o dobro face a 2018</w:t>
      </w:r>
      <w:r w:rsidRPr="009A539C">
        <w:rPr>
          <w:rStyle w:val="ListLabel4"/>
        </w:rPr>
        <w:t>. Da análise do conjun</w:t>
      </w:r>
      <w:r w:rsidR="005B7766" w:rsidRPr="009A539C">
        <w:rPr>
          <w:rStyle w:val="ListLabel4"/>
        </w:rPr>
        <w:t>to dos acordos de adesão de 201</w:t>
      </w:r>
      <w:r w:rsidRPr="009A539C">
        <w:rPr>
          <w:rStyle w:val="ListLabel4"/>
        </w:rPr>
        <w:t>9</w:t>
      </w:r>
      <w:r w:rsidR="005B7766" w:rsidRPr="009A539C">
        <w:rPr>
          <w:rStyle w:val="ListLabel4"/>
        </w:rPr>
        <w:t>,</w:t>
      </w:r>
      <w:r w:rsidRPr="009A539C">
        <w:rPr>
          <w:rStyle w:val="ListLabel4"/>
        </w:rPr>
        <w:t xml:space="preserve"> verifica-se o seguinte:</w:t>
      </w:r>
      <w:bookmarkEnd w:id="323"/>
      <w:bookmarkEnd w:id="324"/>
      <w:r w:rsidRPr="009A539C">
        <w:rPr>
          <w:rStyle w:val="ListLabel4"/>
        </w:rPr>
        <w:t xml:space="preserve"> </w:t>
      </w:r>
    </w:p>
    <w:p w14:paraId="0E9F4416" w14:textId="57E1B296" w:rsidR="00B90B12" w:rsidRPr="009A539C" w:rsidRDefault="00B90B12" w:rsidP="00922B44">
      <w:pPr>
        <w:pStyle w:val="PargrafodaLista"/>
        <w:numPr>
          <w:ilvl w:val="0"/>
          <w:numId w:val="90"/>
        </w:numPr>
        <w:spacing w:line="360" w:lineRule="auto"/>
        <w:rPr>
          <w:rStyle w:val="ListLabel4"/>
        </w:rPr>
      </w:pPr>
      <w:bookmarkStart w:id="325" w:name="_Toc42511630"/>
      <w:bookmarkStart w:id="326" w:name="_Toc42514394"/>
      <w:r w:rsidRPr="009A539C">
        <w:rPr>
          <w:rStyle w:val="ListLabel4"/>
        </w:rPr>
        <w:t xml:space="preserve">4 acordos de adesão reportam-se a convenções publicadas em 2019, 14 a </w:t>
      </w:r>
      <w:r w:rsidR="00B824C0" w:rsidRPr="009A539C">
        <w:rPr>
          <w:rStyle w:val="ListLabel4"/>
        </w:rPr>
        <w:t>convenções publicadas em 2018, 5</w:t>
      </w:r>
      <w:r w:rsidRPr="009A539C">
        <w:rPr>
          <w:rStyle w:val="ListLabel4"/>
        </w:rPr>
        <w:t xml:space="preserve"> a convenções de 2017, 2 a convenções de</w:t>
      </w:r>
      <w:r w:rsidR="005B7766" w:rsidRPr="009A539C">
        <w:rPr>
          <w:rStyle w:val="ListLabel4"/>
        </w:rPr>
        <w:t xml:space="preserve"> 2016 e, por fim, </w:t>
      </w:r>
      <w:r w:rsidRPr="009A539C">
        <w:rPr>
          <w:rStyle w:val="ListLabel4"/>
        </w:rPr>
        <w:t>1</w:t>
      </w:r>
      <w:r w:rsidR="005B7766" w:rsidRPr="009A539C">
        <w:rPr>
          <w:rStyle w:val="ListLabel4"/>
        </w:rPr>
        <w:t xml:space="preserve"> AA respeita</w:t>
      </w:r>
      <w:r w:rsidRPr="009A539C">
        <w:rPr>
          <w:rStyle w:val="ListLabel4"/>
        </w:rPr>
        <w:t xml:space="preserve"> a convenção publicada em 2009</w:t>
      </w:r>
      <w:r w:rsidR="00B824C0" w:rsidRPr="009A539C">
        <w:rPr>
          <w:rStyle w:val="ListLabel4"/>
        </w:rPr>
        <w:t xml:space="preserve">, 1 </w:t>
      </w:r>
      <w:r w:rsidR="00D770FC" w:rsidRPr="009A539C">
        <w:rPr>
          <w:rStyle w:val="ListLabel4"/>
        </w:rPr>
        <w:t xml:space="preserve">em </w:t>
      </w:r>
      <w:r w:rsidR="00B824C0" w:rsidRPr="009A539C">
        <w:rPr>
          <w:rStyle w:val="ListLabel4"/>
        </w:rPr>
        <w:t xml:space="preserve">2008 </w:t>
      </w:r>
      <w:r w:rsidR="00B26B05" w:rsidRPr="009A539C">
        <w:rPr>
          <w:rStyle w:val="ListLabel4"/>
        </w:rPr>
        <w:t>e outro</w:t>
      </w:r>
      <w:r w:rsidR="004142F9" w:rsidRPr="009A539C">
        <w:rPr>
          <w:rStyle w:val="ListLabel4"/>
        </w:rPr>
        <w:t xml:space="preserve"> </w:t>
      </w:r>
      <w:r w:rsidR="00D770FC" w:rsidRPr="009A539C">
        <w:rPr>
          <w:rStyle w:val="ListLabel4"/>
        </w:rPr>
        <w:t>em</w:t>
      </w:r>
      <w:r w:rsidRPr="009A539C">
        <w:rPr>
          <w:rStyle w:val="ListLabel4"/>
        </w:rPr>
        <w:t xml:space="preserve"> 2007;</w:t>
      </w:r>
      <w:bookmarkEnd w:id="325"/>
      <w:bookmarkEnd w:id="326"/>
      <w:r w:rsidRPr="009A539C">
        <w:rPr>
          <w:rStyle w:val="ListLabel4"/>
        </w:rPr>
        <w:t xml:space="preserve"> </w:t>
      </w:r>
    </w:p>
    <w:p w14:paraId="0F03AEFA" w14:textId="77777777" w:rsidR="00B90B12" w:rsidRPr="009A539C" w:rsidRDefault="00B90B12" w:rsidP="00922B44">
      <w:pPr>
        <w:pStyle w:val="PargrafodaLista"/>
        <w:numPr>
          <w:ilvl w:val="0"/>
          <w:numId w:val="90"/>
        </w:numPr>
        <w:spacing w:line="360" w:lineRule="auto"/>
        <w:rPr>
          <w:rStyle w:val="ListLabel4"/>
        </w:rPr>
      </w:pPr>
      <w:bookmarkStart w:id="327" w:name="_Toc42511631"/>
      <w:bookmarkStart w:id="328" w:name="_Toc42514395"/>
      <w:r w:rsidRPr="009A539C">
        <w:rPr>
          <w:rStyle w:val="ListLabel4"/>
        </w:rPr>
        <w:t>na sua globalidade, cerca de 25, incidem sobre acordos coletivos e 3 a acordos de empresa;</w:t>
      </w:r>
      <w:bookmarkEnd w:id="327"/>
      <w:bookmarkEnd w:id="328"/>
    </w:p>
    <w:p w14:paraId="39F0CF12" w14:textId="77777777" w:rsidR="00271D0A" w:rsidRPr="009A539C" w:rsidRDefault="00D770FC" w:rsidP="00922B44">
      <w:pPr>
        <w:pStyle w:val="PargrafodaLista"/>
        <w:numPr>
          <w:ilvl w:val="0"/>
          <w:numId w:val="90"/>
        </w:numPr>
        <w:spacing w:line="360" w:lineRule="auto"/>
        <w:rPr>
          <w:rStyle w:val="ListLabel4"/>
        </w:rPr>
      </w:pPr>
      <w:bookmarkStart w:id="329" w:name="_Toc42511632"/>
      <w:bookmarkStart w:id="330" w:name="_Toc42514396"/>
      <w:r w:rsidRPr="009A539C">
        <w:rPr>
          <w:rStyle w:val="ListLabel4"/>
        </w:rPr>
        <w:t>7</w:t>
      </w:r>
      <w:r w:rsidR="00EB75F0" w:rsidRPr="009A539C">
        <w:rPr>
          <w:rStyle w:val="ListLabel4"/>
        </w:rPr>
        <w:t xml:space="preserve"> acordos</w:t>
      </w:r>
      <w:r w:rsidR="00B90B12" w:rsidRPr="009A539C">
        <w:rPr>
          <w:rStyle w:val="ListLabel4"/>
        </w:rPr>
        <w:t xml:space="preserve"> de adesão</w:t>
      </w:r>
      <w:r w:rsidR="004142F9" w:rsidRPr="009A539C">
        <w:rPr>
          <w:rStyle w:val="ListLabel4"/>
        </w:rPr>
        <w:t xml:space="preserve"> </w:t>
      </w:r>
      <w:r w:rsidR="00732B14" w:rsidRPr="009A539C">
        <w:rPr>
          <w:rStyle w:val="ListLabel4"/>
        </w:rPr>
        <w:t>reportam-</w:t>
      </w:r>
      <w:r w:rsidR="00EB75F0" w:rsidRPr="009A539C">
        <w:rPr>
          <w:rStyle w:val="ListLabel4"/>
        </w:rPr>
        <w:t>se à</w:t>
      </w:r>
      <w:r w:rsidR="00B90B12" w:rsidRPr="009A539C">
        <w:rPr>
          <w:rStyle w:val="ListLabel4"/>
        </w:rPr>
        <w:t xml:space="preserve"> mesma convenção</w:t>
      </w:r>
      <w:r w:rsidR="008E7B4E" w:rsidRPr="009A539C">
        <w:rPr>
          <w:rStyle w:val="ListLabel4"/>
        </w:rPr>
        <w:t xml:space="preserve"> (AC </w:t>
      </w:r>
      <w:r w:rsidR="00B90B12" w:rsidRPr="009A539C">
        <w:rPr>
          <w:rStyle w:val="ListLabel4"/>
        </w:rPr>
        <w:t xml:space="preserve">do setor </w:t>
      </w:r>
      <w:r w:rsidRPr="009A539C">
        <w:rPr>
          <w:rStyle w:val="ListLabel4"/>
        </w:rPr>
        <w:t>portuário</w:t>
      </w:r>
      <w:r w:rsidR="008E7B4E" w:rsidRPr="009A539C">
        <w:rPr>
          <w:rStyle w:val="ListLabel4"/>
        </w:rPr>
        <w:t>)</w:t>
      </w:r>
      <w:r w:rsidR="00271D0A" w:rsidRPr="009A539C">
        <w:rPr>
          <w:rStyle w:val="ListLabel4"/>
        </w:rPr>
        <w:t xml:space="preserve"> e dois grupos de 3 AA  correspondem a dois AC </w:t>
      </w:r>
      <w:r w:rsidR="00B90B12" w:rsidRPr="009A539C">
        <w:rPr>
          <w:rStyle w:val="ListLabel4"/>
        </w:rPr>
        <w:t>do setor bancário;</w:t>
      </w:r>
      <w:bookmarkEnd w:id="329"/>
      <w:bookmarkEnd w:id="330"/>
    </w:p>
    <w:p w14:paraId="77F76BDB" w14:textId="77777777" w:rsidR="00271D0A" w:rsidRPr="009A539C" w:rsidRDefault="00271D0A" w:rsidP="00922B44">
      <w:pPr>
        <w:pStyle w:val="PargrafodaLista"/>
        <w:numPr>
          <w:ilvl w:val="0"/>
          <w:numId w:val="90"/>
        </w:numPr>
        <w:spacing w:line="360" w:lineRule="auto"/>
        <w:rPr>
          <w:rStyle w:val="ListLabel4"/>
        </w:rPr>
      </w:pPr>
      <w:bookmarkStart w:id="331" w:name="_Toc42511634"/>
      <w:bookmarkStart w:id="332" w:name="_Toc42514398"/>
      <w:r w:rsidRPr="009A539C">
        <w:rPr>
          <w:rStyle w:val="ListLabel4"/>
        </w:rPr>
        <w:t xml:space="preserve">a iniciativa da adesão, revelada pelos respetivos signatários do acordo, partiu das associações sindicais em 16 casos e da parte empregadora nos restantes 12 </w:t>
      </w:r>
      <w:bookmarkEnd w:id="331"/>
      <w:bookmarkEnd w:id="332"/>
      <w:r w:rsidRPr="009A539C">
        <w:rPr>
          <w:rStyle w:val="ListLabel4"/>
        </w:rPr>
        <w:t xml:space="preserve">acordos.  </w:t>
      </w:r>
    </w:p>
    <w:p w14:paraId="4B7AB0C7" w14:textId="6BD807A9" w:rsidR="00806CD6" w:rsidRPr="009A539C" w:rsidRDefault="00B90B12" w:rsidP="00034087">
      <w:pPr>
        <w:rPr>
          <w:rStyle w:val="ListLabel4"/>
        </w:rPr>
      </w:pPr>
      <w:r w:rsidRPr="009A539C">
        <w:rPr>
          <w:rStyle w:val="ListLabel4"/>
        </w:rPr>
        <w:t xml:space="preserve"> </w:t>
      </w:r>
    </w:p>
    <w:p w14:paraId="3AEA2473" w14:textId="77777777" w:rsidR="00475B91" w:rsidRPr="009A539C" w:rsidRDefault="00475B91" w:rsidP="00034087">
      <w:pPr>
        <w:rPr>
          <w:rStyle w:val="ListLabel4"/>
        </w:rPr>
      </w:pPr>
    </w:p>
    <w:p w14:paraId="438528F1" w14:textId="77777777" w:rsidR="00475B91" w:rsidRPr="009A539C" w:rsidRDefault="00475B91" w:rsidP="00034087">
      <w:pPr>
        <w:rPr>
          <w:rStyle w:val="ListLabel4"/>
        </w:rPr>
      </w:pPr>
    </w:p>
    <w:p w14:paraId="15F366F1" w14:textId="4FC47F02" w:rsidR="001A0194" w:rsidRPr="009A539C" w:rsidRDefault="00565062" w:rsidP="00475B91">
      <w:pPr>
        <w:pStyle w:val="Legenda"/>
        <w:jc w:val="center"/>
        <w:rPr>
          <w:rStyle w:val="ListLabel4"/>
          <w:b w:val="0"/>
          <w:color w:val="4F81BD" w:themeColor="accent1"/>
          <w:sz w:val="22"/>
          <w:szCs w:val="22"/>
        </w:rPr>
      </w:pPr>
      <w:bookmarkStart w:id="333" w:name="_Toc42511635"/>
      <w:bookmarkStart w:id="334" w:name="_Toc42514399"/>
      <w:bookmarkStart w:id="335" w:name="_Toc45716647"/>
      <w:r w:rsidRPr="009A539C">
        <w:rPr>
          <w:sz w:val="22"/>
          <w:szCs w:val="22"/>
        </w:rPr>
        <w:t xml:space="preserve">Quadro </w:t>
      </w:r>
      <w:r w:rsidR="00256F15" w:rsidRPr="009A539C">
        <w:rPr>
          <w:sz w:val="22"/>
          <w:szCs w:val="22"/>
        </w:rPr>
        <w:fldChar w:fldCharType="begin"/>
      </w:r>
      <w:r w:rsidR="00256F15" w:rsidRPr="009A539C">
        <w:rPr>
          <w:sz w:val="22"/>
          <w:szCs w:val="22"/>
        </w:rPr>
        <w:instrText xml:space="preserve"> SEQ Quadro \* ARABIC </w:instrText>
      </w:r>
      <w:r w:rsidR="00256F15" w:rsidRPr="009A539C">
        <w:rPr>
          <w:sz w:val="22"/>
          <w:szCs w:val="22"/>
        </w:rPr>
        <w:fldChar w:fldCharType="separate"/>
      </w:r>
      <w:r w:rsidR="00D821DE">
        <w:rPr>
          <w:noProof/>
          <w:sz w:val="22"/>
          <w:szCs w:val="22"/>
        </w:rPr>
        <w:t>26</w:t>
      </w:r>
      <w:r w:rsidR="00256F15" w:rsidRPr="009A539C">
        <w:rPr>
          <w:noProof/>
          <w:sz w:val="22"/>
          <w:szCs w:val="22"/>
        </w:rPr>
        <w:fldChar w:fldCharType="end"/>
      </w:r>
      <w:r w:rsidR="00B90B12" w:rsidRPr="009A539C">
        <w:rPr>
          <w:rStyle w:val="ListLabel4"/>
          <w:color w:val="4F81BD" w:themeColor="accent1"/>
          <w:sz w:val="22"/>
          <w:szCs w:val="22"/>
        </w:rPr>
        <w:t xml:space="preserve"> – Acordos de Adesão publicados em 2019</w:t>
      </w:r>
      <w:bookmarkEnd w:id="333"/>
      <w:bookmarkEnd w:id="334"/>
      <w:bookmarkEnd w:id="335"/>
    </w:p>
    <w:p w14:paraId="35C0E6E5" w14:textId="77777777" w:rsidR="001A0194" w:rsidRPr="009A539C" w:rsidRDefault="001A0194" w:rsidP="0087143A">
      <w:pPr>
        <w:jc w:val="center"/>
        <w:rPr>
          <w:rStyle w:val="ListLabel4"/>
        </w:rPr>
      </w:pPr>
      <w:bookmarkStart w:id="336" w:name="_Toc42511636"/>
      <w:bookmarkStart w:id="337" w:name="_Toc42514400"/>
      <w:r w:rsidRPr="009A539C">
        <w:rPr>
          <w:rStyle w:val="ListLabel4"/>
          <w:noProof/>
          <w:lang w:eastAsia="pt-PT"/>
        </w:rPr>
        <w:drawing>
          <wp:inline distT="0" distB="0" distL="0" distR="0" wp14:anchorId="010ADA5B" wp14:editId="18678551">
            <wp:extent cx="4025000" cy="1775883"/>
            <wp:effectExtent l="0" t="0" r="0" b="0"/>
            <wp:docPr id="1134" name="Imagem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25000" cy="1775883"/>
                    </a:xfrm>
                    <a:prstGeom prst="rect">
                      <a:avLst/>
                    </a:prstGeom>
                    <a:noFill/>
                    <a:ln>
                      <a:noFill/>
                    </a:ln>
                  </pic:spPr>
                </pic:pic>
              </a:graphicData>
            </a:graphic>
          </wp:inline>
        </w:drawing>
      </w:r>
      <w:bookmarkEnd w:id="336"/>
      <w:bookmarkEnd w:id="337"/>
    </w:p>
    <w:p w14:paraId="4466B3A3" w14:textId="77777777" w:rsidR="00820152" w:rsidRPr="009A539C" w:rsidRDefault="00820152" w:rsidP="00034087">
      <w:pPr>
        <w:rPr>
          <w:rFonts w:ascii="Calibri" w:hAnsi="Calibri" w:cs="Calibri"/>
          <w:b/>
          <w:sz w:val="24"/>
          <w:szCs w:val="24"/>
        </w:rPr>
      </w:pPr>
    </w:p>
    <w:p w14:paraId="330642E4" w14:textId="77777777" w:rsidR="005A294D" w:rsidRPr="009A539C" w:rsidRDefault="005A294D" w:rsidP="00034087">
      <w:pPr>
        <w:rPr>
          <w:rFonts w:ascii="Calibri" w:hAnsi="Calibri" w:cs="Calibri"/>
          <w:b/>
          <w:sz w:val="24"/>
          <w:szCs w:val="24"/>
        </w:rPr>
      </w:pPr>
      <w:r w:rsidRPr="009A539C">
        <w:rPr>
          <w:rFonts w:ascii="Calibri" w:hAnsi="Calibri" w:cs="Calibri"/>
          <w:b/>
          <w:sz w:val="24"/>
          <w:szCs w:val="24"/>
        </w:rPr>
        <w:br w:type="page"/>
      </w:r>
    </w:p>
    <w:p w14:paraId="1240F408" w14:textId="77777777" w:rsidR="0034035A" w:rsidRPr="009A539C" w:rsidRDefault="000F0BA3" w:rsidP="00B20462">
      <w:pPr>
        <w:pStyle w:val="PargrafodaLista"/>
        <w:numPr>
          <w:ilvl w:val="1"/>
          <w:numId w:val="1"/>
        </w:numPr>
        <w:spacing w:before="240" w:after="0" w:line="360" w:lineRule="auto"/>
        <w:ind w:left="426" w:right="-1"/>
        <w:contextualSpacing w:val="0"/>
        <w:outlineLvl w:val="1"/>
        <w:rPr>
          <w:rFonts w:ascii="Calibri" w:hAnsi="Calibri" w:cs="Calibri"/>
          <w:b/>
          <w:sz w:val="24"/>
          <w:szCs w:val="24"/>
        </w:rPr>
      </w:pPr>
      <w:bookmarkStart w:id="338" w:name="_Toc45535695"/>
      <w:r w:rsidRPr="009A539C">
        <w:rPr>
          <w:rFonts w:ascii="Calibri" w:hAnsi="Calibri" w:cs="Calibri"/>
          <w:b/>
          <w:sz w:val="24"/>
          <w:szCs w:val="24"/>
        </w:rPr>
        <w:t>Negociação coletiva do setor público sujeito ao Código do Trabalho</w:t>
      </w:r>
      <w:bookmarkEnd w:id="338"/>
    </w:p>
    <w:p w14:paraId="60DE8A28" w14:textId="77777777" w:rsidR="00707220" w:rsidRPr="009A539C" w:rsidRDefault="00F75117" w:rsidP="00A95C56">
      <w:pPr>
        <w:pStyle w:val="PargrafodaLista"/>
        <w:numPr>
          <w:ilvl w:val="0"/>
          <w:numId w:val="11"/>
        </w:numPr>
        <w:spacing w:before="240" w:after="0" w:line="360" w:lineRule="auto"/>
        <w:ind w:left="0" w:right="-1" w:firstLine="284"/>
        <w:contextualSpacing w:val="0"/>
        <w:jc w:val="both"/>
        <w:rPr>
          <w:rFonts w:ascii="Calibri" w:hAnsi="Calibri" w:cs="Calibri"/>
        </w:rPr>
      </w:pPr>
      <w:bookmarkStart w:id="339" w:name="_Toc42511638"/>
      <w:bookmarkStart w:id="340" w:name="_Toc42514402"/>
      <w:r w:rsidRPr="009A539C">
        <w:rPr>
          <w:rFonts w:cstheme="minorHAnsi"/>
          <w:lang w:eastAsia="pt-PT"/>
        </w:rPr>
        <w:t>As entidades do setor público podem revestir diferentes formas e constituir relações de trabalho sujeitas ao Código do Trabalho ou à Lei Geral do Trabalho em Funções Públicas. Dentre as entidades do setor público destacam-se as empresas públicas que veem a suas relações coletivas de trabalho ser sujeitas ao regime comum das empresas. Existem, porém, entidades do setor público que sujeitam as relações de trabalho ao Código do Trabalho sem que pertençam ao segmento empresarial. Estão nestas condições institutos públicos de regime especial, fundações públicas de direito privado, e entidades reguladoras independentes, entre outros sujeitos públicos como consórcios administrativos. Estas entidades pertencentes ao setor público, enquanto empregadores sujeitos ao Código do Trabalho, não agem no mesmo enquadramento dos empregadores privados, pelo que importa analisar esta contratação coletiva que revela traços singulares</w:t>
      </w:r>
      <w:r w:rsidR="00680F6A" w:rsidRPr="009A539C">
        <w:rPr>
          <w:rFonts w:cstheme="minorHAnsi"/>
          <w:lang w:eastAsia="pt-PT"/>
        </w:rPr>
        <w:t>.</w:t>
      </w:r>
      <w:bookmarkEnd w:id="339"/>
      <w:bookmarkEnd w:id="340"/>
    </w:p>
    <w:p w14:paraId="546703A9" w14:textId="77777777" w:rsidR="0034035A" w:rsidRPr="009A539C" w:rsidRDefault="0034035A" w:rsidP="00034087">
      <w:pPr>
        <w:pStyle w:val="PargrafodaLista"/>
        <w:spacing w:line="360" w:lineRule="auto"/>
        <w:ind w:left="726" w:right="-1"/>
        <w:jc w:val="both"/>
        <w:rPr>
          <w:rFonts w:ascii="Calibri" w:hAnsi="Calibri" w:cs="Calibri"/>
        </w:rPr>
      </w:pPr>
    </w:p>
    <w:p w14:paraId="0F045027" w14:textId="0F9717E1" w:rsidR="00364AC0" w:rsidRPr="009A539C" w:rsidRDefault="00F75117" w:rsidP="00A95C56">
      <w:pPr>
        <w:pStyle w:val="PargrafodaLista"/>
        <w:numPr>
          <w:ilvl w:val="0"/>
          <w:numId w:val="11"/>
        </w:numPr>
        <w:spacing w:line="360" w:lineRule="auto"/>
        <w:ind w:left="0" w:right="-1" w:firstLine="284"/>
        <w:jc w:val="both"/>
        <w:rPr>
          <w:rFonts w:cstheme="minorHAnsi"/>
          <w:color w:val="000000" w:themeColor="text1"/>
          <w:lang w:eastAsia="pt-PT"/>
        </w:rPr>
      </w:pPr>
      <w:bookmarkStart w:id="341" w:name="_Toc42511639"/>
      <w:bookmarkStart w:id="342" w:name="_Toc42514403"/>
      <w:r w:rsidRPr="009A539C">
        <w:rPr>
          <w:rFonts w:cstheme="minorHAnsi"/>
          <w:lang w:eastAsia="pt-PT"/>
        </w:rPr>
        <w:t>Em edições anteriores</w:t>
      </w:r>
      <w:r w:rsidR="00806CD6" w:rsidRPr="009A539C">
        <w:rPr>
          <w:rFonts w:cstheme="minorHAnsi"/>
          <w:lang w:eastAsia="pt-PT"/>
        </w:rPr>
        <w:t>,</w:t>
      </w:r>
      <w:r w:rsidRPr="009A539C">
        <w:rPr>
          <w:rFonts w:cstheme="minorHAnsi"/>
          <w:lang w:eastAsia="pt-PT"/>
        </w:rPr>
        <w:t xml:space="preserve"> procedeu-se a um enquadramento </w:t>
      </w:r>
      <w:r w:rsidR="00806CD6" w:rsidRPr="009A539C">
        <w:rPr>
          <w:rFonts w:cstheme="minorHAnsi"/>
          <w:lang w:eastAsia="pt-PT"/>
        </w:rPr>
        <w:t>do tema</w:t>
      </w:r>
      <w:r w:rsidRPr="009A539C">
        <w:rPr>
          <w:rFonts w:cstheme="minorHAnsi"/>
          <w:lang w:eastAsia="pt-PT"/>
        </w:rPr>
        <w:t xml:space="preserve"> através da análise parcelar desta realidade centrada no setor público empresarial. Neste relatório procede-se a uma ampliação do âmbito, passando </w:t>
      </w:r>
      <w:r w:rsidR="00806CD6" w:rsidRPr="009A539C">
        <w:rPr>
          <w:rFonts w:cstheme="minorHAnsi"/>
          <w:lang w:eastAsia="pt-PT"/>
        </w:rPr>
        <w:t xml:space="preserve">nele </w:t>
      </w:r>
      <w:r w:rsidRPr="009A539C">
        <w:rPr>
          <w:rFonts w:cstheme="minorHAnsi"/>
          <w:lang w:eastAsia="pt-PT"/>
        </w:rPr>
        <w:t xml:space="preserve">a incluir todos os empregadores públicos que podem celebrar convenções coletivas ao abrigo do Código do Trabalho e que estão abrangidos pela Lei n.º 104/2019, de 6 de </w:t>
      </w:r>
      <w:r w:rsidR="002233CC" w:rsidRPr="009A539C">
        <w:rPr>
          <w:rFonts w:cstheme="minorHAnsi"/>
          <w:lang w:eastAsia="pt-PT"/>
        </w:rPr>
        <w:t>Setembro</w:t>
      </w:r>
      <w:r w:rsidR="00AA5AC0" w:rsidRPr="009A539C">
        <w:rPr>
          <w:rFonts w:cstheme="minorHAnsi"/>
          <w:lang w:eastAsia="pt-PT"/>
        </w:rPr>
        <w:t xml:space="preserve">, </w:t>
      </w:r>
      <w:r w:rsidRPr="009A539C">
        <w:rPr>
          <w:rFonts w:cstheme="minorHAnsi"/>
          <w:lang w:eastAsia="pt-PT"/>
        </w:rPr>
        <w:t>que procedeu à ampliação e reformulação do Sistema de Informação e Reorganização do Estado</w:t>
      </w:r>
      <w:r w:rsidR="00806CD6" w:rsidRPr="009A539C">
        <w:rPr>
          <w:rFonts w:cstheme="minorHAnsi"/>
          <w:lang w:eastAsia="pt-PT"/>
        </w:rPr>
        <w:t xml:space="preserve"> (SIOE)</w:t>
      </w:r>
      <w:r w:rsidRPr="009A539C">
        <w:rPr>
          <w:rFonts w:cstheme="minorHAnsi"/>
          <w:lang w:eastAsia="pt-PT"/>
        </w:rPr>
        <w:t>. Para este diploma são empregadores públicos “</w:t>
      </w:r>
      <w:r w:rsidRPr="009A539C">
        <w:rPr>
          <w:rFonts w:cstheme="minorHAnsi"/>
          <w:i/>
          <w:lang w:eastAsia="pt-PT"/>
        </w:rPr>
        <w:t>os órgãos de soberania e respetivos órgãos e serviços de apoio</w:t>
      </w:r>
      <w:r w:rsidRPr="009A539C">
        <w:rPr>
          <w:rFonts w:cstheme="minorHAnsi"/>
          <w:i/>
          <w:color w:val="000000" w:themeColor="text1"/>
          <w:lang w:eastAsia="pt-PT"/>
        </w:rPr>
        <w:t>, aos órgãos e serviços da administração direta, indireta e autónoma, às demais entidades das regiões autónomas e das autarquias locais, às entidades intermunicipais, às empresas do setor empresarial do Estado e dos setores empresariais regionais, municipais e intermunicipais, ao Banco de Portugal, às entidades administrativas independentes e a outras entidades que integrem o universo das administrações públicas em contas nacionais, às sociedades não financeiras e financeiras públicas bem como às demais pessoas coletivas públicas e outras entidades que integrem ou venham a integrar o setor público</w:t>
      </w:r>
      <w:r w:rsidRPr="009A539C">
        <w:rPr>
          <w:rFonts w:cstheme="minorHAnsi"/>
          <w:color w:val="000000" w:themeColor="text1"/>
          <w:lang w:eastAsia="pt-PT"/>
        </w:rPr>
        <w:t xml:space="preserve">”. </w:t>
      </w:r>
      <w:r w:rsidR="00806CD6" w:rsidRPr="009A539C">
        <w:rPr>
          <w:rFonts w:cstheme="minorHAnsi"/>
          <w:color w:val="000000" w:themeColor="text1"/>
          <w:lang w:eastAsia="pt-PT"/>
        </w:rPr>
        <w:t xml:space="preserve">As </w:t>
      </w:r>
      <w:r w:rsidRPr="009A539C">
        <w:rPr>
          <w:rFonts w:cstheme="minorHAnsi"/>
          <w:color w:val="000000" w:themeColor="text1"/>
          <w:lang w:eastAsia="pt-PT"/>
        </w:rPr>
        <w:t>entidades</w:t>
      </w:r>
      <w:r w:rsidR="00806CD6" w:rsidRPr="009A539C">
        <w:rPr>
          <w:rFonts w:cstheme="minorHAnsi"/>
          <w:color w:val="000000" w:themeColor="text1"/>
          <w:lang w:eastAsia="pt-PT"/>
        </w:rPr>
        <w:t xml:space="preserve"> indicadas,</w:t>
      </w:r>
      <w:r w:rsidRPr="009A539C">
        <w:rPr>
          <w:rFonts w:cstheme="minorHAnsi"/>
          <w:color w:val="000000" w:themeColor="text1"/>
          <w:lang w:eastAsia="pt-PT"/>
        </w:rPr>
        <w:t xml:space="preserve"> quando regulem as suas relações de trabalho pelo Código do Trabalho</w:t>
      </w:r>
      <w:r w:rsidR="00806CD6" w:rsidRPr="009A539C">
        <w:rPr>
          <w:rFonts w:cstheme="minorHAnsi"/>
          <w:color w:val="000000" w:themeColor="text1"/>
          <w:lang w:eastAsia="pt-PT"/>
        </w:rPr>
        <w:t>,</w:t>
      </w:r>
      <w:r w:rsidRPr="009A539C">
        <w:rPr>
          <w:rFonts w:cstheme="minorHAnsi"/>
          <w:color w:val="000000" w:themeColor="text1"/>
          <w:lang w:eastAsia="pt-PT"/>
        </w:rPr>
        <w:t xml:space="preserve"> passam a estar sujeitas a um regime especial de enquadramento das suas relações coletivas</w:t>
      </w:r>
      <w:r w:rsidR="00806CD6" w:rsidRPr="009A539C">
        <w:rPr>
          <w:rFonts w:cstheme="minorHAnsi"/>
          <w:color w:val="000000" w:themeColor="text1"/>
          <w:lang w:eastAsia="pt-PT"/>
        </w:rPr>
        <w:t xml:space="preserve">, </w:t>
      </w:r>
      <w:r w:rsidRPr="009A539C">
        <w:rPr>
          <w:rFonts w:cstheme="minorHAnsi"/>
          <w:color w:val="000000" w:themeColor="text1"/>
          <w:lang w:eastAsia="pt-PT"/>
        </w:rPr>
        <w:t>como decorreu das Leis do Orçamento dos últimos anos que afetaram não só o setor público tradicional como aquele sujeito ao regime laboral comum.</w:t>
      </w:r>
      <w:bookmarkEnd w:id="341"/>
      <w:bookmarkEnd w:id="342"/>
    </w:p>
    <w:p w14:paraId="33838EE8" w14:textId="77777777" w:rsidR="00364AC0" w:rsidRPr="009A539C" w:rsidRDefault="00364AC0" w:rsidP="00034087">
      <w:pPr>
        <w:pStyle w:val="PargrafodaLista"/>
        <w:spacing w:line="360" w:lineRule="auto"/>
        <w:ind w:left="284" w:right="-1"/>
        <w:jc w:val="both"/>
        <w:rPr>
          <w:rFonts w:cstheme="minorHAnsi"/>
          <w:color w:val="000000" w:themeColor="text1"/>
          <w:lang w:eastAsia="pt-PT"/>
        </w:rPr>
      </w:pPr>
    </w:p>
    <w:p w14:paraId="590E3099" w14:textId="77813A79" w:rsidR="00707220" w:rsidRPr="009A539C" w:rsidRDefault="00364AC0" w:rsidP="00A95C56">
      <w:pPr>
        <w:pStyle w:val="PargrafodaLista"/>
        <w:numPr>
          <w:ilvl w:val="0"/>
          <w:numId w:val="11"/>
        </w:numPr>
        <w:spacing w:line="360" w:lineRule="auto"/>
        <w:ind w:left="0" w:right="-1" w:firstLine="284"/>
        <w:jc w:val="both"/>
        <w:rPr>
          <w:rFonts w:cstheme="minorHAnsi"/>
          <w:color w:val="000000" w:themeColor="text1"/>
          <w:lang w:eastAsia="pt-PT"/>
        </w:rPr>
      </w:pPr>
      <w:r w:rsidRPr="009A539C">
        <w:rPr>
          <w:rFonts w:cstheme="minorHAnsi"/>
          <w:color w:val="000000" w:themeColor="text1"/>
          <w:lang w:eastAsia="pt-PT"/>
        </w:rPr>
        <w:t xml:space="preserve"> </w:t>
      </w:r>
      <w:r w:rsidR="00F75117" w:rsidRPr="009A539C">
        <w:rPr>
          <w:rFonts w:cstheme="minorHAnsi"/>
          <w:color w:val="000000" w:themeColor="text1"/>
          <w:lang w:eastAsia="pt-PT"/>
        </w:rPr>
        <w:t>Com as Leis do Orçamento de 2018 e 2019 procedeu-se a um levantamento dos constrangimentos existentes sobre a contratação coletiva dos empregadores públicos sujeitos ao Código do Trabalho</w:t>
      </w:r>
      <w:r w:rsidR="00511AA5" w:rsidRPr="009A539C">
        <w:rPr>
          <w:rFonts w:cstheme="minorHAnsi"/>
          <w:color w:val="000000" w:themeColor="text1"/>
          <w:lang w:eastAsia="pt-PT"/>
        </w:rPr>
        <w:t>, permitindo-lhe recuperar a margem de liberdade negocial concedida às partes no âmbito da autonomia coletiva</w:t>
      </w:r>
      <w:r w:rsidR="00F75117" w:rsidRPr="009A539C">
        <w:rPr>
          <w:rFonts w:cstheme="minorHAnsi"/>
          <w:color w:val="000000" w:themeColor="text1"/>
          <w:lang w:eastAsia="pt-PT"/>
        </w:rPr>
        <w:t>.</w:t>
      </w:r>
    </w:p>
    <w:p w14:paraId="106B4104" w14:textId="77777777" w:rsidR="0034035A" w:rsidRPr="009A539C" w:rsidRDefault="0034035A" w:rsidP="00034087">
      <w:pPr>
        <w:pStyle w:val="PargrafodaLista"/>
        <w:keepNext/>
        <w:keepLines/>
        <w:spacing w:before="240" w:line="360" w:lineRule="auto"/>
        <w:ind w:left="0" w:right="-1" w:firstLine="284"/>
        <w:jc w:val="both"/>
        <w:rPr>
          <w:rFonts w:cstheme="minorHAnsi"/>
          <w:color w:val="000000" w:themeColor="text1"/>
          <w:lang w:eastAsia="pt-PT"/>
        </w:rPr>
      </w:pPr>
    </w:p>
    <w:p w14:paraId="7DA9EB59" w14:textId="77777777" w:rsidR="00F75117" w:rsidRPr="009A539C" w:rsidRDefault="00F75117" w:rsidP="00A95C56">
      <w:pPr>
        <w:pStyle w:val="PargrafodaLista"/>
        <w:keepNext/>
        <w:keepLines/>
        <w:numPr>
          <w:ilvl w:val="0"/>
          <w:numId w:val="11"/>
        </w:numPr>
        <w:spacing w:before="240" w:line="360" w:lineRule="auto"/>
        <w:ind w:left="0" w:right="-1" w:firstLine="284"/>
        <w:jc w:val="both"/>
        <w:rPr>
          <w:rFonts w:cstheme="minorHAnsi"/>
          <w:color w:val="000000" w:themeColor="text1"/>
          <w:lang w:eastAsia="pt-PT"/>
        </w:rPr>
      </w:pPr>
      <w:r w:rsidRPr="009A539C">
        <w:rPr>
          <w:rFonts w:cstheme="minorHAnsi"/>
          <w:color w:val="000000" w:themeColor="text1"/>
          <w:lang w:eastAsia="pt-PT"/>
        </w:rPr>
        <w:t xml:space="preserve">A contratação coletiva do setor público sujeita ao Código do Trabalho é mais expressiva no âmbito do setor público empresarial. Por essa razão procede-se a uma análise das empresas que outorgaram convenções coletivas publicadas no BTE em 2019, confrontando a informação sobre a listagem de empresas do setor público empresarial (SPE) constante de duas fontes administrativas: </w:t>
      </w:r>
    </w:p>
    <w:p w14:paraId="2B30A63B" w14:textId="77777777" w:rsidR="00683E26" w:rsidRPr="009A539C" w:rsidRDefault="00683E26" w:rsidP="00683E26">
      <w:pPr>
        <w:pStyle w:val="PargrafodaLista"/>
        <w:rPr>
          <w:rFonts w:cstheme="minorHAnsi"/>
          <w:color w:val="000000" w:themeColor="text1"/>
          <w:lang w:eastAsia="pt-PT"/>
        </w:rPr>
      </w:pPr>
    </w:p>
    <w:p w14:paraId="7AB6BEAC" w14:textId="4E0AED13" w:rsidR="00F75117" w:rsidRPr="009A539C" w:rsidRDefault="00F75117" w:rsidP="00A95C56">
      <w:pPr>
        <w:numPr>
          <w:ilvl w:val="0"/>
          <w:numId w:val="9"/>
        </w:numPr>
        <w:spacing w:before="240" w:after="0" w:line="360" w:lineRule="auto"/>
        <w:ind w:left="567" w:right="-1" w:hanging="283"/>
        <w:jc w:val="both"/>
        <w:rPr>
          <w:rFonts w:eastAsia="Calibri" w:cstheme="minorHAnsi"/>
          <w:color w:val="000000" w:themeColor="text1"/>
        </w:rPr>
      </w:pPr>
      <w:r w:rsidRPr="009A539C">
        <w:rPr>
          <w:rFonts w:eastAsia="Calibri" w:cstheme="minorHAnsi"/>
          <w:color w:val="000000" w:themeColor="text1"/>
        </w:rPr>
        <w:t>a listagem “Participações do Estado - Carteira Principal” da Direção-Geral do Tesouro e Finanças (DGTF)</w:t>
      </w:r>
      <w:r w:rsidRPr="009A539C">
        <w:rPr>
          <w:rFonts w:eastAsia="Calibri" w:cstheme="minorHAnsi"/>
          <w:color w:val="000000" w:themeColor="text1"/>
          <w:vertAlign w:val="superscript"/>
        </w:rPr>
        <w:footnoteReference w:id="51"/>
      </w:r>
      <w:r w:rsidR="00680F6A" w:rsidRPr="009A539C">
        <w:rPr>
          <w:rFonts w:eastAsia="Calibri" w:cstheme="minorHAnsi"/>
          <w:color w:val="000000" w:themeColor="text1"/>
        </w:rPr>
        <w:t xml:space="preserve">, </w:t>
      </w:r>
      <w:r w:rsidRPr="009A539C">
        <w:rPr>
          <w:rFonts w:eastAsia="Calibri" w:cstheme="minorHAnsi"/>
          <w:color w:val="000000" w:themeColor="text1"/>
        </w:rPr>
        <w:t>conside</w:t>
      </w:r>
      <w:r w:rsidR="006C3123" w:rsidRPr="009A539C">
        <w:rPr>
          <w:rFonts w:eastAsia="Calibri" w:cstheme="minorHAnsi"/>
          <w:color w:val="000000" w:themeColor="text1"/>
        </w:rPr>
        <w:t xml:space="preserve">rando </w:t>
      </w:r>
      <w:r w:rsidRPr="009A539C">
        <w:rPr>
          <w:rFonts w:eastAsia="Calibri" w:cstheme="minorHAnsi"/>
          <w:color w:val="000000" w:themeColor="text1"/>
        </w:rPr>
        <w:t>as empresas do setor empresarial do Estado, com participação pública igual ou superior a 40%</w:t>
      </w:r>
      <w:r w:rsidR="00891501" w:rsidRPr="009A539C">
        <w:rPr>
          <w:rFonts w:eastAsia="Calibri" w:cstheme="minorHAnsi"/>
          <w:color w:val="000000" w:themeColor="text1"/>
        </w:rPr>
        <w:t xml:space="preserve"> (</w:t>
      </w:r>
      <w:r w:rsidR="00891501" w:rsidRPr="009A539C">
        <w:rPr>
          <w:rFonts w:cstheme="minorHAnsi"/>
          <w:i/>
          <w:color w:val="000000" w:themeColor="text1"/>
          <w:lang w:eastAsia="pt-PT"/>
        </w:rPr>
        <w:t>31 -12-201</w:t>
      </w:r>
      <w:r w:rsidR="00E57449" w:rsidRPr="009A539C">
        <w:rPr>
          <w:rFonts w:cstheme="minorHAnsi"/>
          <w:i/>
          <w:color w:val="000000" w:themeColor="text1"/>
          <w:lang w:eastAsia="pt-PT"/>
        </w:rPr>
        <w:t>9</w:t>
      </w:r>
      <w:r w:rsidR="00891501" w:rsidRPr="009A539C">
        <w:rPr>
          <w:rFonts w:cstheme="minorHAnsi"/>
          <w:i/>
          <w:color w:val="000000" w:themeColor="text1"/>
          <w:lang w:eastAsia="pt-PT"/>
        </w:rPr>
        <w:t>)</w:t>
      </w:r>
      <w:r w:rsidRPr="009A539C">
        <w:rPr>
          <w:rFonts w:eastAsia="Calibri" w:cstheme="minorHAnsi"/>
          <w:color w:val="000000" w:themeColor="text1"/>
        </w:rPr>
        <w:t>;</w:t>
      </w:r>
    </w:p>
    <w:p w14:paraId="4FBDCABD" w14:textId="77777777" w:rsidR="00F75117" w:rsidRPr="009A539C" w:rsidRDefault="00F75117" w:rsidP="00A95C56">
      <w:pPr>
        <w:numPr>
          <w:ilvl w:val="0"/>
          <w:numId w:val="9"/>
        </w:numPr>
        <w:spacing w:before="240" w:after="0" w:line="360" w:lineRule="auto"/>
        <w:ind w:left="567" w:right="-1" w:hanging="283"/>
        <w:jc w:val="both"/>
        <w:rPr>
          <w:rFonts w:eastAsia="Calibri" w:cstheme="minorHAnsi"/>
          <w:color w:val="000000" w:themeColor="text1"/>
        </w:rPr>
      </w:pPr>
      <w:r w:rsidRPr="009A539C">
        <w:rPr>
          <w:rFonts w:eastAsia="Calibri" w:cstheme="minorHAnsi"/>
          <w:color w:val="000000" w:themeColor="text1"/>
        </w:rPr>
        <w:t>o Sistema de Informação da Organização do Estado (SIOE), gerido pela Direção-Geral da Administração e do Emprego Público (DGAEP)</w:t>
      </w:r>
      <w:r w:rsidRPr="009A539C">
        <w:rPr>
          <w:rFonts w:eastAsia="Calibri" w:cstheme="minorHAnsi"/>
          <w:color w:val="000000" w:themeColor="text1"/>
          <w:vertAlign w:val="superscript"/>
        </w:rPr>
        <w:footnoteReference w:id="52"/>
      </w:r>
      <w:r w:rsidR="00680F6A" w:rsidRPr="009A539C">
        <w:rPr>
          <w:rFonts w:eastAsia="Calibri" w:cstheme="minorHAnsi"/>
          <w:color w:val="000000" w:themeColor="text1"/>
        </w:rPr>
        <w:t xml:space="preserve">, considerando </w:t>
      </w:r>
      <w:r w:rsidRPr="009A539C">
        <w:rPr>
          <w:rFonts w:eastAsia="Calibri" w:cstheme="minorHAnsi"/>
          <w:color w:val="000000" w:themeColor="text1"/>
        </w:rPr>
        <w:t>as empresas do setor público empresarial (SP</w:t>
      </w:r>
      <w:r w:rsidR="00806CD6" w:rsidRPr="009A539C">
        <w:rPr>
          <w:rFonts w:eastAsia="Calibri" w:cstheme="minorHAnsi"/>
          <w:color w:val="000000" w:themeColor="text1"/>
        </w:rPr>
        <w:t>E</w:t>
      </w:r>
      <w:r w:rsidRPr="009A539C">
        <w:rPr>
          <w:rFonts w:eastAsia="Calibri" w:cstheme="minorHAnsi"/>
          <w:color w:val="000000" w:themeColor="text1"/>
        </w:rPr>
        <w:t>) – Setor empresarial do Estado (SEE) e Setor empresarial local (SEL) – que detenham a maioria do capital público (+ de 50% de participação)</w:t>
      </w:r>
      <w:r w:rsidR="00891501" w:rsidRPr="009A539C">
        <w:rPr>
          <w:rFonts w:cstheme="minorHAnsi"/>
          <w:color w:val="000000" w:themeColor="text1"/>
          <w:lang w:eastAsia="pt-PT"/>
        </w:rPr>
        <w:t xml:space="preserve"> , </w:t>
      </w:r>
      <w:r w:rsidR="00891501" w:rsidRPr="009A539C">
        <w:rPr>
          <w:rFonts w:cstheme="minorHAnsi"/>
          <w:i/>
          <w:color w:val="000000" w:themeColor="text1"/>
          <w:lang w:eastAsia="pt-PT"/>
        </w:rPr>
        <w:t>a 31 de dezembro de 2019</w:t>
      </w:r>
      <w:r w:rsidRPr="009A539C">
        <w:rPr>
          <w:rFonts w:eastAsia="Calibri" w:cstheme="minorHAnsi"/>
          <w:color w:val="000000" w:themeColor="text1"/>
        </w:rPr>
        <w:t xml:space="preserve">. </w:t>
      </w:r>
    </w:p>
    <w:p w14:paraId="3F17910C" w14:textId="77777777" w:rsidR="00707220" w:rsidRPr="009A539C" w:rsidRDefault="00707220" w:rsidP="00034087">
      <w:pPr>
        <w:tabs>
          <w:tab w:val="left" w:pos="851"/>
        </w:tabs>
        <w:spacing w:line="360" w:lineRule="auto"/>
        <w:ind w:right="-1"/>
        <w:jc w:val="both"/>
        <w:rPr>
          <w:rFonts w:ascii="Calibri" w:eastAsia="Calibri" w:hAnsi="Calibri"/>
          <w:color w:val="000000" w:themeColor="text1"/>
        </w:rPr>
      </w:pPr>
    </w:p>
    <w:p w14:paraId="062451C7" w14:textId="1834B49A" w:rsidR="00F75117" w:rsidRPr="009A539C" w:rsidRDefault="00F75117" w:rsidP="00683E26">
      <w:pPr>
        <w:pStyle w:val="PargrafodaLista"/>
        <w:keepNext/>
        <w:keepLines/>
        <w:numPr>
          <w:ilvl w:val="0"/>
          <w:numId w:val="11"/>
        </w:numPr>
        <w:spacing w:before="240" w:line="360" w:lineRule="auto"/>
        <w:ind w:left="0" w:right="-1" w:firstLine="284"/>
        <w:jc w:val="both"/>
        <w:rPr>
          <w:rFonts w:cstheme="minorHAnsi"/>
          <w:color w:val="000000" w:themeColor="text1"/>
          <w:lang w:eastAsia="pt-PT"/>
        </w:rPr>
      </w:pPr>
      <w:r w:rsidRPr="009A539C">
        <w:rPr>
          <w:rFonts w:cstheme="minorHAnsi"/>
          <w:color w:val="000000" w:themeColor="text1"/>
          <w:lang w:eastAsia="pt-PT"/>
        </w:rPr>
        <w:t>A listagem de empresas do SPE com contratação coletiva em 2019, comparativamente à listagem de 2018 – ambas obtidas a partir da conjugação das duas fontes já referidas –, dá conta do crescimento do número de IRCT publicados no ano em análise, embora sem repercussões no número de empresas envolvidas. Em bom rigor, a redução do número de empresas abrangidas em 2019 deveu-se ao menor número de AC, face ao ano anterior, cujo âm</w:t>
      </w:r>
      <w:r w:rsidR="005B2CAE" w:rsidRPr="009A539C">
        <w:rPr>
          <w:rFonts w:cstheme="minorHAnsi"/>
          <w:color w:val="000000" w:themeColor="text1"/>
          <w:lang w:eastAsia="pt-PT"/>
        </w:rPr>
        <w:t xml:space="preserve">bito subjetivo, como é sabido, </w:t>
      </w:r>
      <w:r w:rsidRPr="009A539C">
        <w:rPr>
          <w:rFonts w:cstheme="minorHAnsi"/>
          <w:color w:val="000000" w:themeColor="text1"/>
          <w:lang w:eastAsia="pt-PT"/>
        </w:rPr>
        <w:t>abrange mais do que uma empresa</w:t>
      </w:r>
      <w:r w:rsidRPr="009A539C">
        <w:rPr>
          <w:vertAlign w:val="superscript"/>
          <w:lang w:eastAsia="pt-PT"/>
        </w:rPr>
        <w:footnoteReference w:id="53"/>
      </w:r>
      <w:r w:rsidRPr="009A539C">
        <w:rPr>
          <w:rFonts w:cstheme="minorHAnsi"/>
          <w:color w:val="000000" w:themeColor="text1"/>
          <w:lang w:eastAsia="pt-PT"/>
        </w:rPr>
        <w:t xml:space="preserve">.  </w:t>
      </w:r>
    </w:p>
    <w:p w14:paraId="5C99AAFE" w14:textId="0AEB282D" w:rsidR="006F729C" w:rsidRPr="009A539C" w:rsidRDefault="00F75117" w:rsidP="00683E26">
      <w:pPr>
        <w:keepNext/>
        <w:keepLines/>
        <w:spacing w:before="240" w:line="360" w:lineRule="auto"/>
        <w:ind w:right="-1" w:firstLine="709"/>
        <w:jc w:val="both"/>
        <w:rPr>
          <w:rFonts w:cstheme="minorHAnsi"/>
          <w:lang w:eastAsia="pt-PT"/>
        </w:rPr>
      </w:pPr>
      <w:r w:rsidRPr="009A539C">
        <w:rPr>
          <w:rFonts w:cstheme="minorHAnsi"/>
          <w:lang w:eastAsia="pt-PT"/>
        </w:rPr>
        <w:t>O quadro seguinte permite também perceber que a evolução positiva de 2019, por comparação com 2018, se deve ao maior número de duas modalidades de IRCT</w:t>
      </w:r>
      <w:r w:rsidR="005B2CAE" w:rsidRPr="009A539C">
        <w:rPr>
          <w:rFonts w:cstheme="minorHAnsi"/>
          <w:lang w:eastAsia="pt-PT"/>
        </w:rPr>
        <w:t xml:space="preserve"> negociais: AA (10) e AE (21). </w:t>
      </w:r>
      <w:r w:rsidRPr="009A539C">
        <w:rPr>
          <w:rFonts w:cstheme="minorHAnsi"/>
          <w:lang w:eastAsia="pt-PT"/>
        </w:rPr>
        <w:t xml:space="preserve">No que respeita ao primeiro grupo, existem 7 acordos de adesão, do setor portuário, que ampliam, a outras associações sindicais, a eficácia </w:t>
      </w:r>
      <w:r w:rsidR="00F75546" w:rsidRPr="009A539C">
        <w:rPr>
          <w:rFonts w:cstheme="minorHAnsi"/>
          <w:lang w:eastAsia="pt-PT"/>
        </w:rPr>
        <w:t xml:space="preserve">do AC </w:t>
      </w:r>
      <w:r w:rsidRPr="009A539C">
        <w:rPr>
          <w:rFonts w:cstheme="minorHAnsi"/>
          <w:lang w:eastAsia="pt-PT"/>
        </w:rPr>
        <w:t>celebrado entre 6 administrações portuárias e um sindicato, em 2018</w:t>
      </w:r>
      <w:r w:rsidRPr="009A539C">
        <w:footnoteReference w:id="54"/>
      </w:r>
      <w:r w:rsidR="00F75546" w:rsidRPr="009A539C">
        <w:rPr>
          <w:rFonts w:cstheme="minorHAnsi"/>
          <w:lang w:eastAsia="pt-PT"/>
        </w:rPr>
        <w:t xml:space="preserve">. </w:t>
      </w:r>
      <w:r w:rsidRPr="009A539C">
        <w:rPr>
          <w:rFonts w:cstheme="minorHAnsi"/>
          <w:lang w:eastAsia="pt-PT"/>
        </w:rPr>
        <w:t xml:space="preserve">Os restantes três acordos de adesão respeitam um ao setor dos transportes, outro </w:t>
      </w:r>
      <w:r w:rsidR="00F75546" w:rsidRPr="009A539C">
        <w:rPr>
          <w:rFonts w:cstheme="minorHAnsi"/>
          <w:lang w:eastAsia="pt-PT"/>
        </w:rPr>
        <w:t xml:space="preserve">a </w:t>
      </w:r>
      <w:r w:rsidRPr="009A539C">
        <w:rPr>
          <w:rFonts w:cstheme="minorHAnsi"/>
          <w:lang w:eastAsia="pt-PT"/>
        </w:rPr>
        <w:t>ele</w:t>
      </w:r>
      <w:r w:rsidR="00707220" w:rsidRPr="009A539C">
        <w:rPr>
          <w:rFonts w:cstheme="minorHAnsi"/>
          <w:lang w:eastAsia="pt-PT"/>
        </w:rPr>
        <w:t xml:space="preserve">tricidade, gás, vapor e água </w:t>
      </w:r>
      <w:r w:rsidRPr="009A539C">
        <w:rPr>
          <w:rFonts w:cstheme="minorHAnsi"/>
          <w:lang w:eastAsia="pt-PT"/>
        </w:rPr>
        <w:t>e o terceiro respeita</w:t>
      </w:r>
      <w:r w:rsidR="00707220" w:rsidRPr="009A539C">
        <w:rPr>
          <w:rFonts w:cstheme="minorHAnsi"/>
          <w:lang w:eastAsia="pt-PT"/>
        </w:rPr>
        <w:t xml:space="preserve"> a atividades </w:t>
      </w:r>
      <w:r w:rsidR="006F729C" w:rsidRPr="009A539C">
        <w:rPr>
          <w:rFonts w:cstheme="minorHAnsi"/>
          <w:lang w:eastAsia="pt-PT"/>
        </w:rPr>
        <w:t>de informação e comunicação.</w:t>
      </w:r>
    </w:p>
    <w:p w14:paraId="0E41BFBF" w14:textId="5E3DA204" w:rsidR="006F729C" w:rsidRPr="009A539C" w:rsidRDefault="006F729C" w:rsidP="00034087">
      <w:pPr>
        <w:keepNext/>
        <w:keepLines/>
        <w:spacing w:before="240" w:line="360" w:lineRule="auto"/>
        <w:ind w:right="-1"/>
        <w:jc w:val="both"/>
        <w:rPr>
          <w:rFonts w:cstheme="minorHAnsi"/>
          <w:color w:val="000000" w:themeColor="text1"/>
          <w:lang w:eastAsia="pt-PT"/>
        </w:rPr>
      </w:pPr>
    </w:p>
    <w:p w14:paraId="7EC47351" w14:textId="77777777" w:rsidR="0087143A" w:rsidRPr="009A539C" w:rsidRDefault="0087143A" w:rsidP="00034087">
      <w:pPr>
        <w:pStyle w:val="Legenda"/>
        <w:ind w:right="-1"/>
        <w:jc w:val="center"/>
        <w:rPr>
          <w:color w:val="365F91" w:themeColor="accent1" w:themeShade="BF"/>
          <w:sz w:val="22"/>
          <w:szCs w:val="22"/>
        </w:rPr>
      </w:pPr>
      <w:bookmarkStart w:id="343" w:name="_Toc15654965"/>
    </w:p>
    <w:p w14:paraId="0B65C454" w14:textId="1D0D55FB" w:rsidR="00F75117" w:rsidRPr="009A539C" w:rsidRDefault="002B051C" w:rsidP="00081D1B">
      <w:pPr>
        <w:pStyle w:val="Legenda"/>
        <w:jc w:val="center"/>
        <w:rPr>
          <w:sz w:val="22"/>
          <w:szCs w:val="22"/>
        </w:rPr>
      </w:pPr>
      <w:bookmarkStart w:id="344" w:name="_Toc45716648"/>
      <w:r w:rsidRPr="009A539C">
        <w:rPr>
          <w:sz w:val="22"/>
          <w:szCs w:val="22"/>
        </w:rPr>
        <w:t xml:space="preserve">Quadro </w:t>
      </w:r>
      <w:r w:rsidR="00256F15" w:rsidRPr="009A539C">
        <w:rPr>
          <w:sz w:val="22"/>
          <w:szCs w:val="22"/>
        </w:rPr>
        <w:fldChar w:fldCharType="begin"/>
      </w:r>
      <w:r w:rsidR="00256F15" w:rsidRPr="009A539C">
        <w:rPr>
          <w:sz w:val="22"/>
          <w:szCs w:val="22"/>
        </w:rPr>
        <w:instrText xml:space="preserve"> SEQ Quadro \* ARABIC </w:instrText>
      </w:r>
      <w:r w:rsidR="00256F15" w:rsidRPr="009A539C">
        <w:rPr>
          <w:sz w:val="22"/>
          <w:szCs w:val="22"/>
        </w:rPr>
        <w:fldChar w:fldCharType="separate"/>
      </w:r>
      <w:r w:rsidR="00D821DE">
        <w:rPr>
          <w:noProof/>
          <w:sz w:val="22"/>
          <w:szCs w:val="22"/>
        </w:rPr>
        <w:t>27</w:t>
      </w:r>
      <w:r w:rsidR="00256F15" w:rsidRPr="009A539C">
        <w:rPr>
          <w:noProof/>
          <w:sz w:val="22"/>
          <w:szCs w:val="22"/>
        </w:rPr>
        <w:fldChar w:fldCharType="end"/>
      </w:r>
      <w:r w:rsidR="00F75117" w:rsidRPr="009A539C">
        <w:rPr>
          <w:sz w:val="22"/>
          <w:szCs w:val="22"/>
        </w:rPr>
        <w:t xml:space="preserve"> - Setor Público Empresarial - IRCT publicados em 2019 e 2018</w:t>
      </w:r>
      <w:bookmarkEnd w:id="343"/>
      <w:r w:rsidR="00F75117" w:rsidRPr="009A539C">
        <w:rPr>
          <w:rStyle w:val="Refdenotaderodap"/>
          <w:sz w:val="22"/>
          <w:szCs w:val="22"/>
        </w:rPr>
        <w:footnoteReference w:id="55"/>
      </w:r>
      <w:bookmarkEnd w:id="344"/>
    </w:p>
    <w:p w14:paraId="5A2977FF" w14:textId="77777777" w:rsidR="00F75117" w:rsidRPr="009A539C" w:rsidRDefault="00F75117" w:rsidP="00034087">
      <w:pPr>
        <w:ind w:right="-1"/>
        <w:jc w:val="center"/>
      </w:pPr>
      <w:r w:rsidRPr="009A539C">
        <w:rPr>
          <w:noProof/>
          <w:lang w:eastAsia="pt-PT"/>
        </w:rPr>
        <w:drawing>
          <wp:inline distT="0" distB="0" distL="0" distR="0" wp14:anchorId="56722701" wp14:editId="744F27A4">
            <wp:extent cx="5023263" cy="1660869"/>
            <wp:effectExtent l="0" t="0" r="635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29098" cy="1662798"/>
                    </a:xfrm>
                    <a:prstGeom prst="rect">
                      <a:avLst/>
                    </a:prstGeom>
                    <a:noFill/>
                    <a:ln>
                      <a:noFill/>
                    </a:ln>
                  </pic:spPr>
                </pic:pic>
              </a:graphicData>
            </a:graphic>
          </wp:inline>
        </w:drawing>
      </w:r>
    </w:p>
    <w:p w14:paraId="03ED554C" w14:textId="77777777" w:rsidR="00A30411" w:rsidRPr="009A539C" w:rsidRDefault="00A30411" w:rsidP="00034087">
      <w:pPr>
        <w:ind w:right="-1"/>
      </w:pPr>
    </w:p>
    <w:p w14:paraId="42EDE80D" w14:textId="77777777" w:rsidR="00F75117" w:rsidRPr="009A539C" w:rsidRDefault="00F75117" w:rsidP="00A95C56">
      <w:pPr>
        <w:pStyle w:val="PargrafodaLista"/>
        <w:keepNext/>
        <w:keepLines/>
        <w:numPr>
          <w:ilvl w:val="0"/>
          <w:numId w:val="11"/>
        </w:numPr>
        <w:spacing w:before="240" w:line="360" w:lineRule="auto"/>
        <w:ind w:left="0" w:right="-1" w:firstLine="284"/>
        <w:jc w:val="both"/>
        <w:rPr>
          <w:rFonts w:cstheme="minorHAnsi"/>
          <w:color w:val="000000" w:themeColor="text1"/>
          <w:lang w:eastAsia="pt-PT"/>
        </w:rPr>
      </w:pPr>
      <w:r w:rsidRPr="009A539C">
        <w:rPr>
          <w:rFonts w:cstheme="minorHAnsi"/>
          <w:color w:val="000000" w:themeColor="text1"/>
          <w:lang w:eastAsia="pt-PT"/>
        </w:rPr>
        <w:t>Na</w:t>
      </w:r>
      <w:r w:rsidR="00F75546" w:rsidRPr="009A539C">
        <w:rPr>
          <w:rFonts w:cstheme="minorHAnsi"/>
          <w:color w:val="000000" w:themeColor="text1"/>
          <w:lang w:eastAsia="pt-PT"/>
        </w:rPr>
        <w:t xml:space="preserve"> generalidade, a fisionomia da </w:t>
      </w:r>
      <w:r w:rsidRPr="009A539C">
        <w:rPr>
          <w:rFonts w:cstheme="minorHAnsi"/>
          <w:color w:val="000000" w:themeColor="text1"/>
          <w:lang w:eastAsia="pt-PT"/>
        </w:rPr>
        <w:t>negociação coletiva ao nível da empresa segue o recorte de anos anteriores. Tal si</w:t>
      </w:r>
      <w:r w:rsidR="00F75546" w:rsidRPr="009A539C">
        <w:rPr>
          <w:rFonts w:cstheme="minorHAnsi"/>
          <w:color w:val="000000" w:themeColor="text1"/>
          <w:lang w:eastAsia="pt-PT"/>
        </w:rPr>
        <w:t xml:space="preserve">gnifica que se mantém a </w:t>
      </w:r>
      <w:r w:rsidRPr="009A539C">
        <w:rPr>
          <w:rFonts w:cstheme="minorHAnsi"/>
          <w:color w:val="000000" w:themeColor="text1"/>
          <w:lang w:eastAsia="pt-PT"/>
        </w:rPr>
        <w:t>discrepância ent</w:t>
      </w:r>
      <w:r w:rsidR="00F75546" w:rsidRPr="009A539C">
        <w:rPr>
          <w:rFonts w:cstheme="minorHAnsi"/>
          <w:color w:val="000000" w:themeColor="text1"/>
          <w:lang w:eastAsia="pt-PT"/>
        </w:rPr>
        <w:t xml:space="preserve">re o número de empresas (12) e de </w:t>
      </w:r>
      <w:r w:rsidRPr="009A539C">
        <w:rPr>
          <w:rFonts w:cstheme="minorHAnsi"/>
          <w:color w:val="000000" w:themeColor="text1"/>
          <w:lang w:eastAsia="pt-PT"/>
        </w:rPr>
        <w:t>acordos de empr</w:t>
      </w:r>
      <w:r w:rsidR="00F75546" w:rsidRPr="009A539C">
        <w:rPr>
          <w:rFonts w:cstheme="minorHAnsi"/>
          <w:color w:val="000000" w:themeColor="text1"/>
          <w:lang w:eastAsia="pt-PT"/>
        </w:rPr>
        <w:t xml:space="preserve">esa por estas celebrados (21), </w:t>
      </w:r>
      <w:r w:rsidRPr="009A539C">
        <w:rPr>
          <w:rFonts w:cstheme="minorHAnsi"/>
          <w:color w:val="000000" w:themeColor="text1"/>
          <w:lang w:eastAsia="pt-PT"/>
        </w:rPr>
        <w:t>motivada pela celebração de vár</w:t>
      </w:r>
      <w:r w:rsidR="00F75546" w:rsidRPr="009A539C">
        <w:rPr>
          <w:rFonts w:cstheme="minorHAnsi"/>
          <w:color w:val="000000" w:themeColor="text1"/>
          <w:lang w:eastAsia="pt-PT"/>
        </w:rPr>
        <w:t xml:space="preserve">ias convenções (paralelas) por uma </w:t>
      </w:r>
      <w:r w:rsidRPr="009A539C">
        <w:rPr>
          <w:rFonts w:cstheme="minorHAnsi"/>
          <w:color w:val="000000" w:themeColor="text1"/>
          <w:lang w:eastAsia="pt-PT"/>
        </w:rPr>
        <w:t>mesma empr</w:t>
      </w:r>
      <w:r w:rsidR="00F75546" w:rsidRPr="009A539C">
        <w:rPr>
          <w:rFonts w:cstheme="minorHAnsi"/>
          <w:color w:val="000000" w:themeColor="text1"/>
          <w:lang w:eastAsia="pt-PT"/>
        </w:rPr>
        <w:t>esa. Assim sucede em 4 empresas</w:t>
      </w:r>
      <w:r w:rsidRPr="009A539C">
        <w:rPr>
          <w:rFonts w:cstheme="minorHAnsi"/>
          <w:color w:val="000000" w:themeColor="text1"/>
          <w:lang w:eastAsia="pt-PT"/>
        </w:rPr>
        <w:t xml:space="preserve"> que, em conjunto, outorgaram 13 convenções, </w:t>
      </w:r>
      <w:r w:rsidR="00A02B5F" w:rsidRPr="009A539C">
        <w:rPr>
          <w:rFonts w:cstheme="minorHAnsi"/>
          <w:color w:val="000000" w:themeColor="text1"/>
          <w:lang w:eastAsia="pt-PT"/>
        </w:rPr>
        <w:t>com particular destaque para o</w:t>
      </w:r>
      <w:r w:rsidRPr="009A539C">
        <w:rPr>
          <w:rFonts w:cstheme="minorHAnsi"/>
          <w:color w:val="000000" w:themeColor="text1"/>
          <w:lang w:eastAsia="pt-PT"/>
        </w:rPr>
        <w:t xml:space="preserve"> setor dos transportes. Por outro lado, registam</w:t>
      </w:r>
      <w:r w:rsidR="00F75546" w:rsidRPr="009A539C">
        <w:rPr>
          <w:rFonts w:cstheme="minorHAnsi"/>
          <w:color w:val="000000" w:themeColor="text1"/>
          <w:lang w:eastAsia="pt-PT"/>
        </w:rPr>
        <w:t>-se 6 primeiras convenções e 19</w:t>
      </w:r>
      <w:r w:rsidRPr="009A539C">
        <w:rPr>
          <w:rFonts w:cstheme="minorHAnsi"/>
          <w:color w:val="000000" w:themeColor="text1"/>
          <w:lang w:eastAsia="pt-PT"/>
        </w:rPr>
        <w:t xml:space="preserve"> revisões parciais</w:t>
      </w:r>
      <w:r w:rsidRPr="009A539C">
        <w:rPr>
          <w:vertAlign w:val="superscript"/>
        </w:rPr>
        <w:footnoteReference w:id="56"/>
      </w:r>
      <w:r w:rsidRPr="009A539C">
        <w:rPr>
          <w:rFonts w:cstheme="minorHAnsi"/>
          <w:color w:val="000000" w:themeColor="text1"/>
          <w:lang w:eastAsia="pt-PT"/>
        </w:rPr>
        <w:t xml:space="preserve"> .</w:t>
      </w:r>
    </w:p>
    <w:p w14:paraId="3BEC1157" w14:textId="77777777" w:rsidR="00F75117" w:rsidRPr="009A539C" w:rsidRDefault="00F75546" w:rsidP="00034087">
      <w:pPr>
        <w:tabs>
          <w:tab w:val="left" w:pos="851"/>
        </w:tabs>
        <w:spacing w:after="0" w:line="360" w:lineRule="auto"/>
        <w:ind w:right="-1"/>
        <w:jc w:val="both"/>
        <w:rPr>
          <w:rFonts w:eastAsia="Calibri" w:cstheme="minorHAnsi"/>
          <w:color w:val="000000" w:themeColor="text1"/>
        </w:rPr>
      </w:pPr>
      <w:r w:rsidRPr="009A539C">
        <w:rPr>
          <w:rFonts w:eastAsia="Calibri" w:cstheme="minorHAnsi"/>
          <w:color w:val="000000" w:themeColor="text1"/>
        </w:rPr>
        <w:t>Pelo prisma</w:t>
      </w:r>
      <w:r w:rsidR="00F75117" w:rsidRPr="009A539C">
        <w:rPr>
          <w:rFonts w:eastAsia="Calibri" w:cstheme="minorHAnsi"/>
          <w:color w:val="000000" w:themeColor="text1"/>
        </w:rPr>
        <w:t xml:space="preserve"> do período de eficácia, a contratação coletiva publicada em 2019 pode segmentar-se em três grupos: </w:t>
      </w:r>
    </w:p>
    <w:p w14:paraId="6A620F8B" w14:textId="77777777" w:rsidR="00F75117" w:rsidRPr="009A539C" w:rsidRDefault="00F75117" w:rsidP="00A95C56">
      <w:pPr>
        <w:numPr>
          <w:ilvl w:val="0"/>
          <w:numId w:val="10"/>
        </w:numPr>
        <w:autoSpaceDE w:val="0"/>
        <w:autoSpaceDN w:val="0"/>
        <w:adjustRightInd w:val="0"/>
        <w:spacing w:after="0" w:line="360" w:lineRule="auto"/>
        <w:ind w:left="709" w:right="-1" w:hanging="283"/>
        <w:jc w:val="both"/>
        <w:rPr>
          <w:rFonts w:eastAsia="Calibri" w:cstheme="minorHAnsi"/>
          <w:color w:val="000000" w:themeColor="text1"/>
        </w:rPr>
      </w:pPr>
      <w:r w:rsidRPr="009A539C">
        <w:rPr>
          <w:rFonts w:eastAsia="Calibri" w:cstheme="minorHAnsi"/>
          <w:color w:val="000000" w:themeColor="text1"/>
        </w:rPr>
        <w:t>seis primeiras convenções;</w:t>
      </w:r>
    </w:p>
    <w:p w14:paraId="4EFB38A3" w14:textId="77777777" w:rsidR="00F75117" w:rsidRPr="009A539C" w:rsidRDefault="00F75117" w:rsidP="00A95C56">
      <w:pPr>
        <w:numPr>
          <w:ilvl w:val="0"/>
          <w:numId w:val="10"/>
        </w:numPr>
        <w:autoSpaceDE w:val="0"/>
        <w:autoSpaceDN w:val="0"/>
        <w:adjustRightInd w:val="0"/>
        <w:spacing w:after="0" w:line="360" w:lineRule="auto"/>
        <w:ind w:left="709" w:right="-1" w:hanging="283"/>
        <w:jc w:val="both"/>
        <w:rPr>
          <w:rFonts w:eastAsia="Calibri" w:cstheme="minorHAnsi"/>
          <w:color w:val="000000" w:themeColor="text1"/>
        </w:rPr>
      </w:pPr>
      <w:r w:rsidRPr="009A539C">
        <w:rPr>
          <w:rFonts w:eastAsia="Calibri" w:cstheme="minorHAnsi"/>
          <w:color w:val="000000" w:themeColor="text1"/>
        </w:rPr>
        <w:t xml:space="preserve">uma revisão  global, cujo período de eficácia é de 101meses (8  anos e 5 meses); </w:t>
      </w:r>
    </w:p>
    <w:p w14:paraId="16B8A9B2" w14:textId="77777777" w:rsidR="004630D8" w:rsidRPr="009A539C" w:rsidRDefault="00F75117" w:rsidP="00A95C56">
      <w:pPr>
        <w:numPr>
          <w:ilvl w:val="0"/>
          <w:numId w:val="10"/>
        </w:numPr>
        <w:autoSpaceDE w:val="0"/>
        <w:autoSpaceDN w:val="0"/>
        <w:adjustRightInd w:val="0"/>
        <w:spacing w:after="0" w:line="360" w:lineRule="auto"/>
        <w:ind w:left="709" w:right="-1" w:hanging="283"/>
        <w:jc w:val="both"/>
        <w:rPr>
          <w:rFonts w:eastAsia="Calibri" w:cstheme="minorHAnsi"/>
          <w:color w:val="000000" w:themeColor="text1"/>
        </w:rPr>
      </w:pPr>
      <w:r w:rsidRPr="009A539C">
        <w:rPr>
          <w:rFonts w:eastAsia="Calibri" w:cstheme="minorHAnsi"/>
          <w:color w:val="000000" w:themeColor="text1"/>
        </w:rPr>
        <w:t>19 revisões parciais, com  períodos de eficácia de amplitudes muito d</w:t>
      </w:r>
      <w:r w:rsidR="00F75546" w:rsidRPr="009A539C">
        <w:rPr>
          <w:rFonts w:eastAsia="Calibri" w:cstheme="minorHAnsi"/>
          <w:color w:val="000000" w:themeColor="text1"/>
        </w:rPr>
        <w:t>íspares: entre 3 e 186 meses (</w:t>
      </w:r>
      <w:r w:rsidRPr="009A539C">
        <w:rPr>
          <w:rFonts w:eastAsia="Calibri" w:cstheme="minorHAnsi"/>
          <w:color w:val="000000" w:themeColor="text1"/>
        </w:rPr>
        <w:t>duas delas não eram revistas há mais de 10 anos)</w:t>
      </w:r>
      <w:r w:rsidR="00F75546" w:rsidRPr="009A539C">
        <w:rPr>
          <w:rFonts w:eastAsia="Calibri" w:cstheme="minorHAnsi"/>
          <w:color w:val="000000" w:themeColor="text1"/>
        </w:rPr>
        <w:t>.</w:t>
      </w:r>
      <w:r w:rsidRPr="009A539C">
        <w:rPr>
          <w:rFonts w:eastAsia="Calibri" w:cstheme="minorHAnsi"/>
          <w:color w:val="000000" w:themeColor="text1"/>
        </w:rPr>
        <w:t xml:space="preserve"> </w:t>
      </w:r>
    </w:p>
    <w:p w14:paraId="4552DB65" w14:textId="77777777" w:rsidR="00820152" w:rsidRPr="009A539C" w:rsidRDefault="00820152" w:rsidP="00034087">
      <w:pPr>
        <w:autoSpaceDE w:val="0"/>
        <w:autoSpaceDN w:val="0"/>
        <w:adjustRightInd w:val="0"/>
        <w:spacing w:after="0" w:line="360" w:lineRule="auto"/>
        <w:ind w:left="709" w:right="-1"/>
        <w:jc w:val="both"/>
        <w:rPr>
          <w:rFonts w:eastAsia="Calibri" w:cstheme="minorHAnsi"/>
          <w:color w:val="000000" w:themeColor="text1"/>
        </w:rPr>
      </w:pPr>
    </w:p>
    <w:p w14:paraId="16B78158" w14:textId="210AD7CD" w:rsidR="00EB0CBC" w:rsidRPr="009A539C" w:rsidRDefault="00EB0CBC" w:rsidP="00A95C56">
      <w:pPr>
        <w:pStyle w:val="PargrafodaLista"/>
        <w:numPr>
          <w:ilvl w:val="0"/>
          <w:numId w:val="11"/>
        </w:numPr>
        <w:autoSpaceDE w:val="0"/>
        <w:autoSpaceDN w:val="0"/>
        <w:adjustRightInd w:val="0"/>
        <w:spacing w:after="0" w:line="360" w:lineRule="auto"/>
        <w:ind w:left="0" w:right="-1" w:firstLine="709"/>
        <w:jc w:val="both"/>
        <w:rPr>
          <w:rFonts w:eastAsia="Calibri" w:cstheme="minorHAnsi"/>
          <w:color w:val="000000" w:themeColor="text1"/>
        </w:rPr>
      </w:pPr>
      <w:r w:rsidRPr="009A539C">
        <w:rPr>
          <w:rFonts w:cstheme="minorHAnsi"/>
          <w:color w:val="000000" w:themeColor="text1"/>
          <w:lang w:eastAsia="pt-PT"/>
        </w:rPr>
        <w:t>A análise dos conteúdos é feita no próximo capítulo, integrada na abordagem que incide sobre a generalidade da contratação coletiva. Isto porque</w:t>
      </w:r>
      <w:r w:rsidR="00877577" w:rsidRPr="009A539C">
        <w:rPr>
          <w:rFonts w:cstheme="minorHAnsi"/>
          <w:color w:val="000000" w:themeColor="text1"/>
          <w:lang w:eastAsia="pt-PT"/>
        </w:rPr>
        <w:t xml:space="preserve">, ao desaparecerem as restrições constantes de anterior legislação orçamental, </w:t>
      </w:r>
      <w:r w:rsidRPr="009A539C">
        <w:rPr>
          <w:rFonts w:cstheme="minorHAnsi"/>
          <w:color w:val="000000" w:themeColor="text1"/>
          <w:lang w:eastAsia="pt-PT"/>
        </w:rPr>
        <w:t>as convenções coletivas do setor empresarial retomaram a sua plena aplicabilidade</w:t>
      </w:r>
      <w:r w:rsidR="00877577" w:rsidRPr="009A539C">
        <w:rPr>
          <w:rFonts w:cstheme="minorHAnsi"/>
          <w:color w:val="000000" w:themeColor="text1"/>
          <w:lang w:eastAsia="pt-PT"/>
        </w:rPr>
        <w:t xml:space="preserve"> e </w:t>
      </w:r>
      <w:r w:rsidRPr="009A539C">
        <w:rPr>
          <w:rFonts w:cstheme="minorHAnsi"/>
          <w:color w:val="000000" w:themeColor="text1"/>
          <w:lang w:eastAsia="pt-PT"/>
        </w:rPr>
        <w:t>a liberdade</w:t>
      </w:r>
      <w:r w:rsidR="00877577" w:rsidRPr="009A539C">
        <w:rPr>
          <w:rFonts w:cstheme="minorHAnsi"/>
          <w:color w:val="000000" w:themeColor="text1"/>
          <w:lang w:eastAsia="pt-PT"/>
        </w:rPr>
        <w:t xml:space="preserve"> de negociação coletiva,  na sua plenitude</w:t>
      </w:r>
      <w:r w:rsidRPr="009A539C">
        <w:rPr>
          <w:rFonts w:cstheme="minorHAnsi"/>
          <w:color w:val="000000" w:themeColor="text1"/>
          <w:lang w:eastAsia="pt-PT"/>
        </w:rPr>
        <w:t>.</w:t>
      </w:r>
    </w:p>
    <w:p w14:paraId="18E9C3AB" w14:textId="77777777" w:rsidR="00EB0CBC" w:rsidRPr="009A539C" w:rsidRDefault="00EB0CBC" w:rsidP="00034087">
      <w:pPr>
        <w:autoSpaceDE w:val="0"/>
        <w:autoSpaceDN w:val="0"/>
        <w:adjustRightInd w:val="0"/>
        <w:spacing w:after="0" w:line="360" w:lineRule="auto"/>
        <w:ind w:left="6" w:right="-1"/>
        <w:jc w:val="both"/>
        <w:rPr>
          <w:rFonts w:eastAsia="Calibri" w:cstheme="minorHAnsi"/>
          <w:color w:val="000000" w:themeColor="text1"/>
        </w:rPr>
      </w:pPr>
    </w:p>
    <w:p w14:paraId="5B044186" w14:textId="77777777" w:rsidR="0051737A" w:rsidRPr="009A539C" w:rsidRDefault="0051737A" w:rsidP="00034087">
      <w:pPr>
        <w:rPr>
          <w:rFonts w:eastAsia="Calibri" w:cstheme="minorHAnsi"/>
          <w:color w:val="000000" w:themeColor="text1"/>
        </w:rPr>
      </w:pPr>
      <w:r w:rsidRPr="009A539C">
        <w:rPr>
          <w:rFonts w:eastAsia="Calibri" w:cstheme="minorHAnsi"/>
          <w:color w:val="000000" w:themeColor="text1"/>
        </w:rPr>
        <w:br w:type="page"/>
      </w:r>
    </w:p>
    <w:p w14:paraId="4D5299AE" w14:textId="45C4D1AC" w:rsidR="00F75117" w:rsidRPr="009A539C" w:rsidRDefault="002B051C" w:rsidP="00081D1B">
      <w:pPr>
        <w:pStyle w:val="Legenda"/>
        <w:jc w:val="center"/>
        <w:rPr>
          <w:rStyle w:val="ListLabel2"/>
          <w:rFonts w:ascii="Calibri" w:eastAsia="Calibri" w:hAnsi="Calibri" w:cs="Arial-BoldMT"/>
          <w:bCs w:val="0"/>
          <w:color w:val="auto"/>
          <w:sz w:val="22"/>
          <w:szCs w:val="22"/>
        </w:rPr>
      </w:pPr>
      <w:bookmarkStart w:id="345" w:name="_Toc45716649"/>
      <w:r w:rsidRPr="009A539C">
        <w:rPr>
          <w:sz w:val="22"/>
          <w:szCs w:val="22"/>
        </w:rPr>
        <w:t xml:space="preserve">Quadro </w:t>
      </w:r>
      <w:r w:rsidR="00256F15" w:rsidRPr="009A539C">
        <w:rPr>
          <w:sz w:val="22"/>
          <w:szCs w:val="22"/>
        </w:rPr>
        <w:fldChar w:fldCharType="begin"/>
      </w:r>
      <w:r w:rsidR="00256F15" w:rsidRPr="009A539C">
        <w:rPr>
          <w:sz w:val="22"/>
          <w:szCs w:val="22"/>
        </w:rPr>
        <w:instrText xml:space="preserve"> SEQ Quadro \* ARABIC </w:instrText>
      </w:r>
      <w:r w:rsidR="00256F15" w:rsidRPr="009A539C">
        <w:rPr>
          <w:sz w:val="22"/>
          <w:szCs w:val="22"/>
        </w:rPr>
        <w:fldChar w:fldCharType="separate"/>
      </w:r>
      <w:r w:rsidR="00D821DE">
        <w:rPr>
          <w:noProof/>
          <w:sz w:val="22"/>
          <w:szCs w:val="22"/>
        </w:rPr>
        <w:t>28</w:t>
      </w:r>
      <w:r w:rsidR="00256F15" w:rsidRPr="009A539C">
        <w:rPr>
          <w:noProof/>
          <w:sz w:val="22"/>
          <w:szCs w:val="22"/>
        </w:rPr>
        <w:fldChar w:fldCharType="end"/>
      </w:r>
      <w:r w:rsidR="00F75117" w:rsidRPr="009A539C">
        <w:rPr>
          <w:sz w:val="22"/>
          <w:szCs w:val="22"/>
        </w:rPr>
        <w:t xml:space="preserve"> - Convenções Coletivas no âmbito do Setor Público </w:t>
      </w:r>
      <w:bookmarkStart w:id="346" w:name="_Toc6499370"/>
      <w:bookmarkStart w:id="347" w:name="_Toc7017683"/>
      <w:r w:rsidR="0084650B" w:rsidRPr="009A539C">
        <w:rPr>
          <w:sz w:val="22"/>
          <w:szCs w:val="22"/>
        </w:rPr>
        <w:t xml:space="preserve">Empresarial </w:t>
      </w:r>
      <w:r w:rsidR="002E1E50">
        <w:rPr>
          <w:sz w:val="22"/>
          <w:szCs w:val="22"/>
        </w:rPr>
        <w:t>(</w:t>
      </w:r>
      <w:r w:rsidR="0084650B" w:rsidRPr="009A539C">
        <w:rPr>
          <w:sz w:val="22"/>
          <w:szCs w:val="22"/>
        </w:rPr>
        <w:t>2019</w:t>
      </w:r>
      <w:r w:rsidR="002E1E50">
        <w:rPr>
          <w:sz w:val="22"/>
          <w:szCs w:val="22"/>
        </w:rPr>
        <w:t>)</w:t>
      </w:r>
      <w:bookmarkEnd w:id="345"/>
    </w:p>
    <w:p w14:paraId="74DE868B" w14:textId="77777777" w:rsidR="00DC46B6" w:rsidRPr="009A539C" w:rsidRDefault="00F75117" w:rsidP="00034087">
      <w:pPr>
        <w:spacing w:line="360" w:lineRule="auto"/>
        <w:ind w:left="6" w:right="-1"/>
        <w:jc w:val="center"/>
        <w:rPr>
          <w:rFonts w:ascii="Calibri" w:hAnsi="Calibri" w:cs="Calibri"/>
        </w:rPr>
      </w:pPr>
      <w:bookmarkStart w:id="348" w:name="_Toc42511640"/>
      <w:bookmarkStart w:id="349" w:name="_Toc42514404"/>
      <w:bookmarkEnd w:id="346"/>
      <w:bookmarkEnd w:id="347"/>
      <w:r w:rsidRPr="009A539C">
        <w:rPr>
          <w:noProof/>
          <w:lang w:eastAsia="pt-PT"/>
        </w:rPr>
        <w:drawing>
          <wp:inline distT="0" distB="0" distL="0" distR="0" wp14:anchorId="1BB0B1AC" wp14:editId="649CC6F5">
            <wp:extent cx="5490845" cy="7820350"/>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90845" cy="7820350"/>
                    </a:xfrm>
                    <a:prstGeom prst="rect">
                      <a:avLst/>
                    </a:prstGeom>
                    <a:noFill/>
                    <a:ln>
                      <a:noFill/>
                    </a:ln>
                  </pic:spPr>
                </pic:pic>
              </a:graphicData>
            </a:graphic>
          </wp:inline>
        </w:drawing>
      </w:r>
      <w:bookmarkEnd w:id="348"/>
      <w:bookmarkEnd w:id="349"/>
      <w:r w:rsidR="00DC46B6" w:rsidRPr="009A539C">
        <w:rPr>
          <w:rFonts w:ascii="Calibri" w:hAnsi="Calibri" w:cs="Calibri"/>
        </w:rPr>
        <w:br w:type="page"/>
      </w:r>
    </w:p>
    <w:p w14:paraId="17DC76A3" w14:textId="77777777" w:rsidR="000F0BA3" w:rsidRPr="009A539C" w:rsidRDefault="000F0BA3" w:rsidP="00B20462">
      <w:pPr>
        <w:pStyle w:val="PargrafodaLista"/>
        <w:numPr>
          <w:ilvl w:val="1"/>
          <w:numId w:val="1"/>
        </w:numPr>
        <w:spacing w:line="360" w:lineRule="auto"/>
        <w:ind w:left="426" w:right="-1"/>
        <w:outlineLvl w:val="1"/>
        <w:rPr>
          <w:rFonts w:ascii="Calibri" w:hAnsi="Calibri" w:cs="Calibri"/>
          <w:b/>
          <w:sz w:val="24"/>
          <w:szCs w:val="24"/>
        </w:rPr>
      </w:pPr>
      <w:bookmarkStart w:id="350" w:name="_Toc45535696"/>
      <w:r w:rsidRPr="009A539C">
        <w:rPr>
          <w:rFonts w:ascii="Calibri" w:hAnsi="Calibri" w:cs="Calibri"/>
          <w:b/>
          <w:sz w:val="24"/>
          <w:szCs w:val="24"/>
        </w:rPr>
        <w:t>Conteúdo das convenções coletiva</w:t>
      </w:r>
      <w:r w:rsidR="005E260B" w:rsidRPr="009A539C">
        <w:rPr>
          <w:rFonts w:ascii="Calibri" w:hAnsi="Calibri" w:cs="Calibri"/>
          <w:b/>
          <w:sz w:val="24"/>
          <w:szCs w:val="24"/>
        </w:rPr>
        <w:t>s publicadas em 2019</w:t>
      </w:r>
      <w:bookmarkEnd w:id="350"/>
    </w:p>
    <w:p w14:paraId="7FC013AB" w14:textId="77777777" w:rsidR="00B92575" w:rsidRPr="009A539C" w:rsidRDefault="00B92575" w:rsidP="00B20462">
      <w:pPr>
        <w:pStyle w:val="PargrafodaLista"/>
        <w:numPr>
          <w:ilvl w:val="2"/>
          <w:numId w:val="1"/>
        </w:numPr>
        <w:spacing w:line="360" w:lineRule="auto"/>
        <w:ind w:left="851" w:right="-1"/>
        <w:outlineLvl w:val="2"/>
        <w:rPr>
          <w:rFonts w:ascii="Calibri" w:hAnsi="Calibri" w:cs="Calibri"/>
          <w:b/>
        </w:rPr>
      </w:pPr>
      <w:bookmarkStart w:id="351" w:name="_Toc45535697"/>
      <w:r w:rsidRPr="009A539C">
        <w:rPr>
          <w:rFonts w:ascii="Calibri" w:hAnsi="Calibri" w:cs="Calibri"/>
          <w:b/>
        </w:rPr>
        <w:t>Introdução</w:t>
      </w:r>
      <w:bookmarkEnd w:id="351"/>
      <w:r w:rsidRPr="009A539C">
        <w:rPr>
          <w:rFonts w:ascii="Calibri" w:hAnsi="Calibri" w:cs="Calibri"/>
          <w:b/>
        </w:rPr>
        <w:t> </w:t>
      </w:r>
    </w:p>
    <w:p w14:paraId="06BF79C4" w14:textId="6EFF9EE1" w:rsidR="00BB594D" w:rsidRPr="009A539C" w:rsidRDefault="00BB594D" w:rsidP="00B90788">
      <w:pPr>
        <w:tabs>
          <w:tab w:val="left" w:pos="851"/>
        </w:tabs>
        <w:spacing w:before="120" w:line="360" w:lineRule="auto"/>
        <w:ind w:right="-1" w:firstLine="414"/>
        <w:jc w:val="both"/>
        <w:rPr>
          <w:rFonts w:eastAsia="Calibri" w:cstheme="minorHAnsi"/>
        </w:rPr>
      </w:pPr>
      <w:r w:rsidRPr="009A539C">
        <w:rPr>
          <w:rFonts w:eastAsia="Calibri" w:cstheme="minorHAnsi"/>
        </w:rPr>
        <w:t>Neste ano, é dedicado um capítulo específico ao direito à proteção de dados pessoais e a sua conexão com os direitos de personalidade, assim como o conju</w:t>
      </w:r>
      <w:r w:rsidR="0098353D" w:rsidRPr="009A539C">
        <w:rPr>
          <w:rFonts w:eastAsia="Calibri" w:cstheme="minorHAnsi"/>
        </w:rPr>
        <w:t xml:space="preserve">nto de desafios colocados pela </w:t>
      </w:r>
      <w:r w:rsidRPr="009A539C">
        <w:rPr>
          <w:rFonts w:eastAsia="Calibri" w:cstheme="minorHAnsi"/>
        </w:rPr>
        <w:t xml:space="preserve">tecnologia </w:t>
      </w:r>
      <w:r w:rsidR="0098353D" w:rsidRPr="009A539C">
        <w:rPr>
          <w:rFonts w:eastAsia="Calibri" w:cstheme="minorHAnsi"/>
        </w:rPr>
        <w:t xml:space="preserve">e </w:t>
      </w:r>
      <w:r w:rsidRPr="009A539C">
        <w:rPr>
          <w:rFonts w:eastAsia="Calibri" w:cstheme="minorHAnsi"/>
        </w:rPr>
        <w:t>a digitalização das relações laborais. Na realidade, trata-se de matérias já afloradas em relatórios anteriores, mas cuja centralidade c</w:t>
      </w:r>
      <w:r w:rsidR="0098353D" w:rsidRPr="009A539C">
        <w:rPr>
          <w:rFonts w:eastAsia="Calibri" w:cstheme="minorHAnsi"/>
        </w:rPr>
        <w:t xml:space="preserve">rescente nas relações laborais </w:t>
      </w:r>
      <w:r w:rsidRPr="009A539C">
        <w:rPr>
          <w:rFonts w:eastAsia="Calibri" w:cstheme="minorHAnsi"/>
        </w:rPr>
        <w:t xml:space="preserve">aconselha maior detalhe de análise, o que </w:t>
      </w:r>
      <w:r w:rsidR="00DB2D1A" w:rsidRPr="009A539C">
        <w:rPr>
          <w:rFonts w:eastAsia="Calibri" w:cstheme="minorHAnsi"/>
        </w:rPr>
        <w:t xml:space="preserve">é </w:t>
      </w:r>
      <w:r w:rsidRPr="009A539C">
        <w:rPr>
          <w:rFonts w:eastAsia="Calibri" w:cstheme="minorHAnsi"/>
        </w:rPr>
        <w:t xml:space="preserve">feito no ponto 4.4.9. </w:t>
      </w:r>
    </w:p>
    <w:p w14:paraId="7AAF0461" w14:textId="77777777" w:rsidR="00BB594D" w:rsidRPr="009A539C" w:rsidRDefault="00BB594D" w:rsidP="00B90788">
      <w:pPr>
        <w:tabs>
          <w:tab w:val="left" w:pos="851"/>
        </w:tabs>
        <w:spacing w:before="120" w:line="360" w:lineRule="auto"/>
        <w:ind w:right="-1" w:firstLine="414"/>
        <w:jc w:val="both"/>
        <w:rPr>
          <w:rStyle w:val="ListLabel3"/>
          <w:rFonts w:eastAsia="Calibri" w:cstheme="minorHAnsi"/>
          <w:i/>
        </w:rPr>
      </w:pPr>
      <w:r w:rsidRPr="009A539C">
        <w:rPr>
          <w:rFonts w:eastAsia="Calibri" w:cstheme="minorHAnsi"/>
        </w:rPr>
        <w:t>Na perspetiva do binómio aplicativo lei/convenção coletiva, procura fazer-se o cotejo dos conteúdos versados nos textos convencionais à luz da legislação laboral, incluindo as recentes alterações legais decorrentes da Lei n.º 93/2019, de 4 de setembro, por forma a dissociar os conteúdos que reproduzem a lei daqueles que vão para além do texto legal, desenvolvendo-o ou densificando-o em alguns pontos. Quando viável, tenta-se perceber a coerência interna de algumas soluções no equilíbrio de cada convenção, manifestada, designadamente, na articulação entre as formas de flexibilização do tempo de trabalho e o regime do trabalho suplementar; assim como a evolução percorrida por alguns regimes jurídicos ao longo das sucessivas versões da convenção. Por fim, e a propósito de algumas das matérias analisadas nos pontos seguintes, procede-se à comparação dos conteúdos convencionados em 2019 com a versão anterior da mesma convenção, para identificar a renovação dos conteúdos negociados no ano em apreço</w:t>
      </w:r>
      <w:r w:rsidRPr="009A539C">
        <w:rPr>
          <w:rStyle w:val="Refdenotaderodap"/>
          <w:rFonts w:eastAsia="Calibri" w:cstheme="minorHAnsi"/>
          <w:i/>
        </w:rPr>
        <w:footnoteReference w:id="57"/>
      </w:r>
      <w:r w:rsidRPr="009A539C">
        <w:rPr>
          <w:rFonts w:eastAsia="Calibri" w:cstheme="minorHAnsi"/>
          <w:i/>
        </w:rPr>
        <w:t>.</w:t>
      </w:r>
    </w:p>
    <w:p w14:paraId="2747F593" w14:textId="77777777" w:rsidR="0098353D" w:rsidRPr="009A539C" w:rsidRDefault="0098353D" w:rsidP="00B90788">
      <w:pPr>
        <w:pStyle w:val="PargrafodaLista"/>
        <w:spacing w:line="360" w:lineRule="auto"/>
        <w:ind w:left="851" w:right="-1"/>
        <w:outlineLvl w:val="2"/>
        <w:rPr>
          <w:rFonts w:ascii="Calibri" w:hAnsi="Calibri" w:cs="Calibri"/>
        </w:rPr>
      </w:pPr>
    </w:p>
    <w:p w14:paraId="0EA4D774" w14:textId="77777777" w:rsidR="000F0BA3" w:rsidRPr="009A539C" w:rsidRDefault="00BB594D" w:rsidP="00B20462">
      <w:pPr>
        <w:pStyle w:val="PargrafodaLista"/>
        <w:numPr>
          <w:ilvl w:val="2"/>
          <w:numId w:val="1"/>
        </w:numPr>
        <w:spacing w:line="360" w:lineRule="auto"/>
        <w:ind w:left="851" w:right="-1"/>
        <w:outlineLvl w:val="2"/>
        <w:rPr>
          <w:rFonts w:ascii="Calibri" w:hAnsi="Calibri" w:cs="Calibri"/>
          <w:b/>
        </w:rPr>
      </w:pPr>
      <w:bookmarkStart w:id="352" w:name="_Toc45535698"/>
      <w:r w:rsidRPr="009A539C">
        <w:rPr>
          <w:rFonts w:ascii="Calibri" w:hAnsi="Calibri" w:cs="Calibri"/>
          <w:b/>
        </w:rPr>
        <w:t xml:space="preserve">Análise geral  </w:t>
      </w:r>
      <w:r w:rsidR="000F0BA3" w:rsidRPr="009A539C">
        <w:rPr>
          <w:rFonts w:ascii="Calibri" w:hAnsi="Calibri" w:cs="Calibri"/>
          <w:b/>
        </w:rPr>
        <w:t>2019</w:t>
      </w:r>
      <w:bookmarkEnd w:id="352"/>
    </w:p>
    <w:p w14:paraId="64EA48D1" w14:textId="77777777" w:rsidR="00BB594D" w:rsidRPr="009A539C" w:rsidRDefault="00BB594D" w:rsidP="00B90788">
      <w:pPr>
        <w:spacing w:after="160" w:line="360" w:lineRule="auto"/>
        <w:ind w:right="-1" w:firstLine="426"/>
        <w:jc w:val="both"/>
        <w:rPr>
          <w:rFonts w:ascii="Calibri" w:eastAsia="Calibri" w:hAnsi="Calibri"/>
        </w:rPr>
      </w:pPr>
      <w:r w:rsidRPr="009A539C">
        <w:rPr>
          <w:rFonts w:ascii="Calibri" w:eastAsia="Calibri" w:hAnsi="Calibri"/>
          <w:b/>
        </w:rPr>
        <w:t>I</w:t>
      </w:r>
      <w:r w:rsidRPr="009A539C">
        <w:rPr>
          <w:rFonts w:ascii="Calibri" w:eastAsia="Calibri" w:hAnsi="Calibri"/>
        </w:rPr>
        <w:t xml:space="preserve">. </w:t>
      </w:r>
      <w:r w:rsidRPr="009A539C">
        <w:rPr>
          <w:rFonts w:eastAsia="Calibri" w:cstheme="minorHAnsi"/>
        </w:rPr>
        <w:t>A caraterização da contratação coletiva em 2019, apresentada no ponto anterior</w:t>
      </w:r>
      <w:r w:rsidRPr="009A539C">
        <w:rPr>
          <w:rFonts w:ascii="Calibri" w:eastAsia="Calibri" w:hAnsi="Calibri"/>
        </w:rPr>
        <w:t xml:space="preserve"> (4.1), ganha densidade ao ser complementada com a análise global dos conteúdos convencionados no mesmo período, apurados, como habitualmente, nos quadros </w:t>
      </w:r>
      <w:r w:rsidR="00FB4780" w:rsidRPr="009A539C">
        <w:rPr>
          <w:rFonts w:ascii="Calibri" w:eastAsia="Calibri" w:hAnsi="Calibri"/>
        </w:rPr>
        <w:t>29 e 30</w:t>
      </w:r>
      <w:r w:rsidRPr="009A539C">
        <w:rPr>
          <w:rFonts w:ascii="Calibri" w:eastAsia="Calibri" w:hAnsi="Calibri"/>
        </w:rPr>
        <w:t>. Este mapeamento, embora não exaustivo, permite percecionar os conteúdos dominantes, quando se observam as convenções por tipo e subtipo.</w:t>
      </w:r>
      <w:r w:rsidR="0098353D" w:rsidRPr="009A539C">
        <w:rPr>
          <w:rFonts w:eastAsia="Calibri" w:cstheme="minorHAnsi"/>
        </w:rPr>
        <w:t xml:space="preserve"> Por outro lado, </w:t>
      </w:r>
      <w:r w:rsidRPr="009A539C">
        <w:rPr>
          <w:rFonts w:eastAsia="Calibri" w:cstheme="minorHAnsi"/>
        </w:rPr>
        <w:t>permite perceber as grandes tendências da negociação coletiva do ano e as principais diferenças face aos anos anteriores</w:t>
      </w:r>
      <w:r w:rsidRPr="009A539C">
        <w:rPr>
          <w:rStyle w:val="Refdenotaderodap"/>
          <w:rFonts w:ascii="Calibri" w:eastAsia="Calibri" w:hAnsi="Calibri"/>
        </w:rPr>
        <w:footnoteReference w:id="58"/>
      </w:r>
      <w:r w:rsidRPr="009A539C">
        <w:rPr>
          <w:rFonts w:eastAsia="Calibri" w:cstheme="minorHAnsi"/>
        </w:rPr>
        <w:t xml:space="preserve">.  </w:t>
      </w:r>
    </w:p>
    <w:p w14:paraId="0AF8654D" w14:textId="77777777" w:rsidR="00BB594D" w:rsidRPr="009A539C" w:rsidRDefault="00BB594D" w:rsidP="00B90788">
      <w:pPr>
        <w:spacing w:after="160" w:line="360" w:lineRule="auto"/>
        <w:ind w:right="-1" w:firstLine="426"/>
        <w:jc w:val="both"/>
        <w:rPr>
          <w:rFonts w:ascii="Calibri" w:eastAsia="Calibri" w:hAnsi="Calibri"/>
        </w:rPr>
      </w:pPr>
      <w:r w:rsidRPr="009A539C">
        <w:rPr>
          <w:rFonts w:ascii="Calibri" w:eastAsia="Calibri" w:hAnsi="Calibri"/>
        </w:rPr>
        <w:t xml:space="preserve">A seleção de temas elencados tem vindo a ser atualizada pelos autores do Relatório, por forma a dar destaque, por um lado, às matérias que tradicionalmente integram o conteúdo fundamental das convenções coletivas e, por outro, dar conta de outros temas que assumem relevo crescente nos textos convencionais. </w:t>
      </w:r>
    </w:p>
    <w:p w14:paraId="7652F99C" w14:textId="77777777" w:rsidR="00BB594D" w:rsidRPr="009A539C" w:rsidRDefault="00BB594D" w:rsidP="00B90788">
      <w:pPr>
        <w:spacing w:after="160" w:line="360" w:lineRule="auto"/>
        <w:ind w:right="-1" w:firstLine="426"/>
        <w:jc w:val="both"/>
        <w:rPr>
          <w:rFonts w:ascii="Calibri" w:eastAsia="Calibri" w:hAnsi="Calibri"/>
        </w:rPr>
      </w:pPr>
      <w:r w:rsidRPr="009A539C">
        <w:rPr>
          <w:rFonts w:ascii="Calibri" w:eastAsia="Calibri" w:hAnsi="Calibri"/>
        </w:rPr>
        <w:t xml:space="preserve">No segundo grupo cabem conteúdos, como a previsão de regras sobre a adesão individual, bem como a disciplina de matérias não tratadas na lei, como sucede no caso do regime de prevenção ou disponibilidade, dos horários flexíveis e do direito à desconexão. Figuram, também, neste grupo temas que legalmente devem ser tratados apenas na negociação coletiva, como o estabelecimento de regimes previdenciais complementares. </w:t>
      </w:r>
    </w:p>
    <w:p w14:paraId="683ED02D" w14:textId="77777777" w:rsidR="00BB594D" w:rsidRPr="009A539C" w:rsidRDefault="00BB594D" w:rsidP="00B90788">
      <w:pPr>
        <w:spacing w:after="160" w:line="360" w:lineRule="auto"/>
        <w:ind w:right="-1" w:firstLine="284"/>
        <w:jc w:val="both"/>
        <w:rPr>
          <w:rFonts w:eastAsia="Calibri" w:cstheme="minorHAnsi"/>
        </w:rPr>
      </w:pPr>
      <w:r w:rsidRPr="009A539C">
        <w:rPr>
          <w:rFonts w:eastAsia="Calibri" w:cstheme="minorHAnsi"/>
        </w:rPr>
        <w:t>O elenco dos temas referencia todas as menções encontradas, quer as que configuram uma disciplina global dos diferentes institutos jurídicos, quer as que traduzem meros ajustamentos, resultantes de revisões parciais, através de nova redação ou aditamento de novo número em cláusulas já existentes. Por esta razão, se apresenta o conjunto de situações de regulação parcial e integral.</w:t>
      </w:r>
    </w:p>
    <w:p w14:paraId="4CC54DF3" w14:textId="77777777" w:rsidR="00BB594D" w:rsidRPr="009A539C" w:rsidRDefault="00BB594D" w:rsidP="00B90788">
      <w:pPr>
        <w:spacing w:after="160" w:line="360" w:lineRule="auto"/>
        <w:ind w:right="-1" w:firstLine="426"/>
        <w:jc w:val="both"/>
        <w:rPr>
          <w:rFonts w:eastAsia="Calibri"/>
          <w:color w:val="943634" w:themeColor="accent2" w:themeShade="BF"/>
          <w:sz w:val="23"/>
          <w:szCs w:val="23"/>
        </w:rPr>
      </w:pPr>
      <w:r w:rsidRPr="009A539C">
        <w:rPr>
          <w:rFonts w:eastAsia="Calibri" w:cstheme="minorHAnsi"/>
          <w:b/>
        </w:rPr>
        <w:t>II</w:t>
      </w:r>
      <w:r w:rsidRPr="009A539C">
        <w:rPr>
          <w:rFonts w:eastAsia="Calibri" w:cstheme="minorHAnsi"/>
        </w:rPr>
        <w:t xml:space="preserve">. Em termos gerais, há uma apreciável similitude face à situação observada no ano anterior. Existe uma continuidade em particular nos seguintes pontos: </w:t>
      </w:r>
    </w:p>
    <w:p w14:paraId="484C49EE" w14:textId="77777777" w:rsidR="00BB594D" w:rsidRPr="009A539C" w:rsidRDefault="00BB594D" w:rsidP="00AF188D">
      <w:pPr>
        <w:pStyle w:val="PargrafodaLista"/>
        <w:numPr>
          <w:ilvl w:val="0"/>
          <w:numId w:val="34"/>
        </w:numPr>
        <w:spacing w:after="160" w:line="360" w:lineRule="auto"/>
        <w:ind w:left="709" w:right="-1" w:hanging="283"/>
        <w:contextualSpacing w:val="0"/>
        <w:jc w:val="both"/>
        <w:rPr>
          <w:rFonts w:eastAsia="Calibri" w:cstheme="minorHAnsi"/>
        </w:rPr>
      </w:pPr>
      <w:r w:rsidRPr="009A539C">
        <w:rPr>
          <w:rFonts w:eastAsia="Calibri" w:cstheme="minorHAnsi"/>
        </w:rPr>
        <w:t>a regulamentação das condições salariais e outras prestações pecuniárias</w:t>
      </w:r>
      <w:r w:rsidR="00D25FCE" w:rsidRPr="009A539C">
        <w:rPr>
          <w:rStyle w:val="Refdenotaderodap"/>
          <w:rFonts w:eastAsia="Calibri" w:cstheme="minorHAnsi"/>
        </w:rPr>
        <w:footnoteReference w:id="59"/>
      </w:r>
      <w:r w:rsidRPr="009A539C">
        <w:rPr>
          <w:rFonts w:eastAsia="Calibri" w:cstheme="minorHAnsi"/>
        </w:rPr>
        <w:t xml:space="preserve"> e o regime de vigência mantém-se preponderante, seguindo-se o âmbito geográfico da convenção. </w:t>
      </w:r>
      <w:r w:rsidRPr="009A539C">
        <w:rPr>
          <w:rFonts w:eastAsia="Calibri" w:cstheme="minorHAnsi"/>
          <w:strike/>
        </w:rPr>
        <w:t xml:space="preserve"> </w:t>
      </w:r>
      <w:r w:rsidRPr="009A539C">
        <w:rPr>
          <w:rFonts w:eastAsia="Calibri" w:cstheme="minorHAnsi"/>
        </w:rPr>
        <w:t xml:space="preserve"> </w:t>
      </w:r>
    </w:p>
    <w:p w14:paraId="31BD0375" w14:textId="77777777" w:rsidR="00BB594D" w:rsidRPr="009A539C" w:rsidRDefault="00BB594D" w:rsidP="00AF188D">
      <w:pPr>
        <w:pStyle w:val="PargrafodaLista"/>
        <w:numPr>
          <w:ilvl w:val="0"/>
          <w:numId w:val="34"/>
        </w:numPr>
        <w:spacing w:after="160" w:line="360" w:lineRule="auto"/>
        <w:ind w:right="-1"/>
        <w:contextualSpacing w:val="0"/>
        <w:jc w:val="both"/>
        <w:rPr>
          <w:rFonts w:eastAsia="Calibri" w:cstheme="minorHAnsi"/>
        </w:rPr>
      </w:pPr>
      <w:r w:rsidRPr="009A539C">
        <w:rPr>
          <w:rFonts w:eastAsia="Calibri" w:cstheme="minorHAnsi"/>
        </w:rPr>
        <w:t xml:space="preserve">há matérias reguladas essencialmente nas situações de negociação global, surgindo nas primeiras convenções e revisões globais (admissão; direitos de personalidade, adaptabilidade, banco de horas, horários concentrados, comissão de serviço, trabalho intermitente, licenças, encerramento temporário do estabelecimento ou diminuição de laboração, transmissão de empresa ou estabelecimento, resolução de conflitos, greve); </w:t>
      </w:r>
    </w:p>
    <w:p w14:paraId="3B3A6ABC" w14:textId="77777777" w:rsidR="00BB594D" w:rsidRPr="009A539C" w:rsidRDefault="00BB594D" w:rsidP="00AF188D">
      <w:pPr>
        <w:pStyle w:val="PargrafodaLista"/>
        <w:numPr>
          <w:ilvl w:val="0"/>
          <w:numId w:val="34"/>
        </w:numPr>
        <w:spacing w:after="160" w:line="360" w:lineRule="auto"/>
        <w:ind w:left="709" w:right="-1" w:hanging="283"/>
        <w:contextualSpacing w:val="0"/>
        <w:jc w:val="both"/>
        <w:rPr>
          <w:rFonts w:eastAsia="Calibri" w:cstheme="minorHAnsi"/>
        </w:rPr>
      </w:pPr>
      <w:r w:rsidRPr="009A539C">
        <w:rPr>
          <w:rFonts w:eastAsia="Calibri" w:cstheme="minorHAnsi"/>
        </w:rPr>
        <w:t xml:space="preserve">outras matérias aparecem maioritariamente nesses subtipos, ainda que surjam esporadicamente nas revisões parciais (categorias e carreiras; contratação a termo; direitos, deveres e garantias das partes; local de trabalho; comissões paritárias; atividade sindical ); </w:t>
      </w:r>
    </w:p>
    <w:p w14:paraId="4B1D6FDC" w14:textId="77777777" w:rsidR="00BB594D" w:rsidRPr="009A539C" w:rsidRDefault="00BB594D" w:rsidP="00AF188D">
      <w:pPr>
        <w:pStyle w:val="PargrafodaLista"/>
        <w:numPr>
          <w:ilvl w:val="0"/>
          <w:numId w:val="34"/>
        </w:numPr>
        <w:spacing w:after="160" w:line="360" w:lineRule="auto"/>
        <w:ind w:left="709" w:right="-1" w:hanging="283"/>
        <w:contextualSpacing w:val="0"/>
        <w:jc w:val="both"/>
        <w:rPr>
          <w:rFonts w:eastAsia="Calibri" w:cstheme="minorHAnsi"/>
        </w:rPr>
      </w:pPr>
      <w:r w:rsidRPr="009A539C">
        <w:rPr>
          <w:rFonts w:eastAsia="Calibri" w:cstheme="minorHAnsi"/>
        </w:rPr>
        <w:t>encontram-se também temas essencialmente regulados em AE (adesão individual, assédio moral, disponibilidade, prestações sociais complementares, Horários flexíveis, trabalho suplementar e   por turnos, avaliação de desempenho e evolução profissional; contratação a termo</w:t>
      </w:r>
      <w:r w:rsidRPr="009A539C">
        <w:rPr>
          <w:rFonts w:cstheme="minorHAnsi"/>
        </w:rPr>
        <w:t xml:space="preserve">; </w:t>
      </w:r>
      <w:r w:rsidRPr="009A539C">
        <w:rPr>
          <w:rFonts w:eastAsia="Calibri" w:cstheme="minorHAnsi"/>
        </w:rPr>
        <w:t>igualdade e não discriminação; segurança e saúde; clausulas de articulação  e regimes transitórios ).</w:t>
      </w:r>
    </w:p>
    <w:p w14:paraId="4359224A" w14:textId="77777777" w:rsidR="00D25FCE" w:rsidRPr="009A539C" w:rsidRDefault="00D25FCE" w:rsidP="00B90788">
      <w:pPr>
        <w:ind w:right="-1" w:firstLine="708"/>
        <w:jc w:val="both"/>
        <w:rPr>
          <w:rFonts w:cstheme="minorHAnsi"/>
        </w:rPr>
      </w:pPr>
    </w:p>
    <w:p w14:paraId="4D8542C7" w14:textId="4003F80F" w:rsidR="00BB594D" w:rsidRPr="009A539C" w:rsidRDefault="00BB594D" w:rsidP="00B90788">
      <w:pPr>
        <w:spacing w:after="160" w:line="360" w:lineRule="auto"/>
        <w:ind w:right="-1" w:firstLine="426"/>
        <w:jc w:val="both"/>
        <w:rPr>
          <w:rFonts w:ascii="Calibri" w:eastAsia="Calibri" w:hAnsi="Calibri" w:cstheme="minorHAnsi"/>
        </w:rPr>
      </w:pPr>
      <w:r w:rsidRPr="009A539C">
        <w:rPr>
          <w:rFonts w:ascii="Calibri" w:eastAsia="Calibri" w:hAnsi="Calibri" w:cstheme="minorHAnsi"/>
        </w:rPr>
        <w:t>Constata-se, no entanto, uma ligeira retração do peso relativo de determinados conteúdos (por exemplo, a regulação d</w:t>
      </w:r>
      <w:r w:rsidR="00D25FCE" w:rsidRPr="009A539C">
        <w:rPr>
          <w:rFonts w:ascii="Calibri" w:eastAsia="Calibri" w:hAnsi="Calibri" w:cstheme="minorHAnsi"/>
        </w:rPr>
        <w:t>e algumas modalidades de organização d</w:t>
      </w:r>
      <w:r w:rsidRPr="009A539C">
        <w:rPr>
          <w:rFonts w:ascii="Calibri" w:eastAsia="Calibri" w:hAnsi="Calibri" w:cstheme="minorHAnsi"/>
        </w:rPr>
        <w:t>os tempos de trabalho</w:t>
      </w:r>
      <w:r w:rsidR="00DB723D" w:rsidRPr="009A539C">
        <w:rPr>
          <w:rFonts w:ascii="Calibri" w:eastAsia="Calibri" w:hAnsi="Calibri" w:cstheme="minorHAnsi"/>
        </w:rPr>
        <w:t xml:space="preserve"> </w:t>
      </w:r>
      <w:r w:rsidRPr="009A539C">
        <w:rPr>
          <w:rFonts w:ascii="Calibri" w:eastAsia="Calibri" w:hAnsi="Calibri" w:cstheme="minorHAnsi"/>
        </w:rPr>
        <w:t xml:space="preserve">ou os regimes de parentalidade), </w:t>
      </w:r>
      <w:r w:rsidR="00FB4780" w:rsidRPr="009A539C">
        <w:rPr>
          <w:rFonts w:ascii="Calibri" w:eastAsia="Calibri" w:hAnsi="Calibri" w:cstheme="minorHAnsi"/>
        </w:rPr>
        <w:t xml:space="preserve">para o qual contribuiu, pelo menos em parte, o </w:t>
      </w:r>
      <w:r w:rsidRPr="009A539C">
        <w:rPr>
          <w:rFonts w:ascii="Calibri" w:eastAsia="Calibri" w:hAnsi="Calibri" w:cstheme="minorHAnsi"/>
        </w:rPr>
        <w:t>aumento do número de revisões parciais</w:t>
      </w:r>
      <w:r w:rsidR="00DB723D" w:rsidRPr="009A539C">
        <w:rPr>
          <w:rStyle w:val="Refdenotaderodap"/>
          <w:rFonts w:ascii="Calibri" w:eastAsia="Calibri" w:hAnsi="Calibri" w:cstheme="minorHAnsi"/>
        </w:rPr>
        <w:footnoteReference w:id="60"/>
      </w:r>
      <w:r w:rsidR="00D25FCE" w:rsidRPr="009A539C">
        <w:rPr>
          <w:rFonts w:ascii="Calibri" w:eastAsia="Calibri" w:hAnsi="Calibri" w:cstheme="minorHAnsi"/>
        </w:rPr>
        <w:t>. Este subtipo versa essencialmente</w:t>
      </w:r>
      <w:r w:rsidRPr="009A539C">
        <w:rPr>
          <w:rFonts w:ascii="Calibri" w:eastAsia="Calibri" w:hAnsi="Calibri" w:cstheme="minorHAnsi"/>
        </w:rPr>
        <w:t xml:space="preserve"> três tópicos: revisão da matéria salarial e institutos diretamente associados a condições retributivas, incluindo deslocações, subsidio de turnos; prestações sociais complementares (revisões parciais: 14 em 2018; e 2</w:t>
      </w:r>
      <w:r w:rsidR="00875937" w:rsidRPr="009A539C">
        <w:rPr>
          <w:rFonts w:ascii="Calibri" w:eastAsia="Calibri" w:hAnsi="Calibri" w:cstheme="minorHAnsi"/>
        </w:rPr>
        <w:t>6</w:t>
      </w:r>
      <w:r w:rsidRPr="009A539C">
        <w:rPr>
          <w:rFonts w:ascii="Calibri" w:eastAsia="Calibri" w:hAnsi="Calibri" w:cstheme="minorHAnsi"/>
        </w:rPr>
        <w:t xml:space="preserve"> em 2019), e definição dos períodos de vigência da convenção ou da tabela salarial.</w:t>
      </w:r>
    </w:p>
    <w:p w14:paraId="0C5FBA97" w14:textId="77777777" w:rsidR="00BB594D" w:rsidRPr="009A539C" w:rsidRDefault="00BB594D" w:rsidP="00B90788">
      <w:pPr>
        <w:spacing w:after="160" w:line="360" w:lineRule="auto"/>
        <w:ind w:right="-1" w:firstLine="426"/>
        <w:jc w:val="both"/>
        <w:rPr>
          <w:rFonts w:ascii="Calibri" w:eastAsia="Calibri" w:hAnsi="Calibri" w:cstheme="minorHAnsi"/>
        </w:rPr>
      </w:pPr>
      <w:r w:rsidRPr="009A539C">
        <w:rPr>
          <w:rFonts w:ascii="Calibri" w:eastAsia="Calibri" w:hAnsi="Calibri" w:cstheme="minorHAnsi"/>
        </w:rPr>
        <w:t>Em contrapartida, aumenta a presença de cláusulas no domínio da regulação de greves cláu</w:t>
      </w:r>
      <w:r w:rsidR="00EB0CBC" w:rsidRPr="009A539C">
        <w:rPr>
          <w:rFonts w:ascii="Calibri" w:eastAsia="Calibri" w:hAnsi="Calibri" w:cstheme="minorHAnsi"/>
        </w:rPr>
        <w:t>sulas de articulação</w:t>
      </w:r>
      <w:r w:rsidR="00DA143D" w:rsidRPr="009A539C">
        <w:rPr>
          <w:rFonts w:ascii="Calibri" w:eastAsia="Calibri" w:hAnsi="Calibri" w:cstheme="minorHAnsi"/>
        </w:rPr>
        <w:t>,</w:t>
      </w:r>
      <w:r w:rsidR="00EB0CBC" w:rsidRPr="009A539C">
        <w:rPr>
          <w:rFonts w:ascii="Calibri" w:eastAsia="Calibri" w:hAnsi="Calibri" w:cstheme="minorHAnsi"/>
        </w:rPr>
        <w:t xml:space="preserve"> regimes </w:t>
      </w:r>
      <w:r w:rsidRPr="009A539C">
        <w:rPr>
          <w:rFonts w:ascii="Calibri" w:eastAsia="Calibri" w:hAnsi="Calibri" w:cstheme="minorHAnsi"/>
        </w:rPr>
        <w:t>transitórios e regalias anteriores; assédio moral; poder disciplinar;</w:t>
      </w:r>
      <w:r w:rsidRPr="009A539C">
        <w:t xml:space="preserve"> </w:t>
      </w:r>
      <w:r w:rsidRPr="009A539C">
        <w:rPr>
          <w:rFonts w:ascii="Calibri" w:eastAsia="Calibri" w:hAnsi="Calibri" w:cstheme="minorHAnsi"/>
        </w:rPr>
        <w:t>prestações sociais complementares; resolução de conflitos / comissões paritárias; retribuição e outras prestações pecuniárias</w:t>
      </w:r>
      <w:r w:rsidR="00D7435F" w:rsidRPr="009A539C">
        <w:rPr>
          <w:rFonts w:ascii="Calibri" w:eastAsia="Calibri" w:hAnsi="Calibri" w:cstheme="minorHAnsi"/>
        </w:rPr>
        <w:t>, contratos em regime de teletrabalho</w:t>
      </w:r>
      <w:r w:rsidRPr="009A539C">
        <w:rPr>
          <w:rFonts w:ascii="Calibri" w:eastAsia="Calibri" w:hAnsi="Calibri" w:cstheme="minorHAnsi"/>
        </w:rPr>
        <w:t>.</w:t>
      </w:r>
    </w:p>
    <w:p w14:paraId="4F85F4B8" w14:textId="77777777" w:rsidR="00BB594D" w:rsidRPr="009A539C" w:rsidRDefault="00BB594D" w:rsidP="00B90788">
      <w:pPr>
        <w:spacing w:line="360" w:lineRule="auto"/>
        <w:ind w:right="-1" w:firstLine="708"/>
        <w:jc w:val="both"/>
        <w:rPr>
          <w:rFonts w:cstheme="minorHAnsi"/>
        </w:rPr>
      </w:pPr>
    </w:p>
    <w:p w14:paraId="610A03B8" w14:textId="77777777" w:rsidR="00BB594D" w:rsidRPr="009A539C" w:rsidRDefault="00BB594D" w:rsidP="00B90788">
      <w:pPr>
        <w:ind w:right="-1"/>
      </w:pPr>
      <w:bookmarkStart w:id="353" w:name="_Toc15654968"/>
    </w:p>
    <w:p w14:paraId="583D919E" w14:textId="77777777" w:rsidR="00BB594D" w:rsidRPr="009A539C" w:rsidRDefault="00BB594D" w:rsidP="00B90788">
      <w:pPr>
        <w:ind w:right="-1"/>
      </w:pPr>
    </w:p>
    <w:p w14:paraId="4D084A31" w14:textId="77777777" w:rsidR="00BB594D" w:rsidRPr="009A539C" w:rsidRDefault="00BB594D" w:rsidP="00B90788">
      <w:pPr>
        <w:ind w:right="-1"/>
      </w:pPr>
    </w:p>
    <w:p w14:paraId="521313F0" w14:textId="77777777" w:rsidR="00BB594D" w:rsidRPr="009A539C" w:rsidRDefault="00BB594D" w:rsidP="00B90788">
      <w:pPr>
        <w:ind w:right="-1"/>
      </w:pPr>
    </w:p>
    <w:p w14:paraId="40F0CBBC" w14:textId="77777777" w:rsidR="00BB594D" w:rsidRPr="009A539C" w:rsidRDefault="00BB594D" w:rsidP="00B90788">
      <w:pPr>
        <w:ind w:right="-1"/>
      </w:pPr>
    </w:p>
    <w:p w14:paraId="70C4B433" w14:textId="77777777" w:rsidR="006E6E8A" w:rsidRPr="009A539C" w:rsidRDefault="006E6E8A" w:rsidP="00B90788">
      <w:pPr>
        <w:ind w:right="-1"/>
      </w:pPr>
    </w:p>
    <w:p w14:paraId="4541FE9D" w14:textId="77777777" w:rsidR="0077604B" w:rsidRPr="009A539C" w:rsidRDefault="0077604B">
      <w:pPr>
        <w:rPr>
          <w:rFonts w:cs="Times New Roman"/>
          <w:b/>
          <w:bCs/>
          <w:color w:val="4F81BD" w:themeColor="accent1"/>
          <w:sz w:val="18"/>
          <w:szCs w:val="18"/>
        </w:rPr>
      </w:pPr>
      <w:r w:rsidRPr="009A539C">
        <w:br w:type="page"/>
      </w:r>
    </w:p>
    <w:p w14:paraId="0FD1B111" w14:textId="0E11BCA0" w:rsidR="00BB594D" w:rsidRPr="009A539C" w:rsidRDefault="002B051C" w:rsidP="006F512F">
      <w:pPr>
        <w:pStyle w:val="Legenda"/>
        <w:jc w:val="center"/>
        <w:rPr>
          <w:sz w:val="22"/>
          <w:szCs w:val="22"/>
        </w:rPr>
      </w:pPr>
      <w:bookmarkStart w:id="354" w:name="_Toc45716650"/>
      <w:r w:rsidRPr="009A539C">
        <w:rPr>
          <w:sz w:val="22"/>
          <w:szCs w:val="22"/>
        </w:rPr>
        <w:t xml:space="preserve">Quadro </w:t>
      </w:r>
      <w:r w:rsidR="00256F15" w:rsidRPr="009A539C">
        <w:rPr>
          <w:sz w:val="22"/>
          <w:szCs w:val="22"/>
        </w:rPr>
        <w:fldChar w:fldCharType="begin"/>
      </w:r>
      <w:r w:rsidR="00256F15" w:rsidRPr="009A539C">
        <w:rPr>
          <w:sz w:val="22"/>
          <w:szCs w:val="22"/>
        </w:rPr>
        <w:instrText xml:space="preserve"> SEQ Quadro \* ARABIC </w:instrText>
      </w:r>
      <w:r w:rsidR="00256F15" w:rsidRPr="009A539C">
        <w:rPr>
          <w:sz w:val="22"/>
          <w:szCs w:val="22"/>
        </w:rPr>
        <w:fldChar w:fldCharType="separate"/>
      </w:r>
      <w:r w:rsidR="00D821DE">
        <w:rPr>
          <w:noProof/>
          <w:sz w:val="22"/>
          <w:szCs w:val="22"/>
        </w:rPr>
        <w:t>29</w:t>
      </w:r>
      <w:r w:rsidR="00256F15" w:rsidRPr="009A539C">
        <w:rPr>
          <w:noProof/>
          <w:sz w:val="22"/>
          <w:szCs w:val="22"/>
        </w:rPr>
        <w:fldChar w:fldCharType="end"/>
      </w:r>
      <w:r w:rsidR="00BB594D" w:rsidRPr="009A539C">
        <w:rPr>
          <w:sz w:val="22"/>
          <w:szCs w:val="22"/>
        </w:rPr>
        <w:t xml:space="preserve"> - Temas identifi</w:t>
      </w:r>
      <w:r w:rsidR="00F42BB2">
        <w:rPr>
          <w:sz w:val="22"/>
          <w:szCs w:val="22"/>
        </w:rPr>
        <w:t xml:space="preserve">cados em Convenções publicadas </w:t>
      </w:r>
      <w:r w:rsidR="00BB594D" w:rsidRPr="009A539C">
        <w:rPr>
          <w:sz w:val="22"/>
          <w:szCs w:val="22"/>
        </w:rPr>
        <w:t>(por tipo)</w:t>
      </w:r>
      <w:bookmarkStart w:id="355" w:name="_Toc15654969"/>
      <w:bookmarkEnd w:id="353"/>
      <w:r w:rsidR="00F42BB2">
        <w:rPr>
          <w:sz w:val="22"/>
          <w:szCs w:val="22"/>
        </w:rPr>
        <w:t xml:space="preserve"> (</w:t>
      </w:r>
      <w:r w:rsidR="00F42BB2" w:rsidRPr="009A539C">
        <w:rPr>
          <w:sz w:val="22"/>
          <w:szCs w:val="22"/>
        </w:rPr>
        <w:t>2019</w:t>
      </w:r>
      <w:r w:rsidR="00F42BB2">
        <w:rPr>
          <w:sz w:val="22"/>
          <w:szCs w:val="22"/>
        </w:rPr>
        <w:t>)</w:t>
      </w:r>
      <w:bookmarkEnd w:id="354"/>
    </w:p>
    <w:p w14:paraId="5369E8A8" w14:textId="4D8B0A7F" w:rsidR="004A7773" w:rsidRPr="009A539C" w:rsidRDefault="006F512F" w:rsidP="004A7773">
      <w:pPr>
        <w:jc w:val="center"/>
      </w:pPr>
      <w:r w:rsidRPr="009A539C">
        <w:rPr>
          <w:noProof/>
          <w:lang w:eastAsia="pt-PT"/>
        </w:rPr>
        <w:drawing>
          <wp:inline distT="0" distB="0" distL="0" distR="0" wp14:anchorId="50A68441" wp14:editId="54F20311">
            <wp:extent cx="4695527" cy="8096250"/>
            <wp:effectExtent l="0" t="0" r="0" b="0"/>
            <wp:docPr id="1202" name="Imagem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96076" cy="8097196"/>
                    </a:xfrm>
                    <a:prstGeom prst="rect">
                      <a:avLst/>
                    </a:prstGeom>
                    <a:noFill/>
                    <a:ln>
                      <a:noFill/>
                    </a:ln>
                  </pic:spPr>
                </pic:pic>
              </a:graphicData>
            </a:graphic>
          </wp:inline>
        </w:drawing>
      </w:r>
    </w:p>
    <w:p w14:paraId="073AC445" w14:textId="77777777" w:rsidR="0039661D" w:rsidRPr="009A539C" w:rsidRDefault="0039661D" w:rsidP="006F512F">
      <w:pPr>
        <w:pStyle w:val="Legenda"/>
        <w:jc w:val="center"/>
      </w:pPr>
    </w:p>
    <w:p w14:paraId="002C33E2" w14:textId="53894800" w:rsidR="00BB594D" w:rsidRPr="009A539C" w:rsidRDefault="002B051C" w:rsidP="006F512F">
      <w:pPr>
        <w:pStyle w:val="Legenda"/>
        <w:jc w:val="center"/>
        <w:rPr>
          <w:sz w:val="22"/>
          <w:szCs w:val="22"/>
        </w:rPr>
      </w:pPr>
      <w:bookmarkStart w:id="356" w:name="_Toc45716651"/>
      <w:r w:rsidRPr="009A539C">
        <w:rPr>
          <w:sz w:val="22"/>
          <w:szCs w:val="22"/>
        </w:rPr>
        <w:t xml:space="preserve">Quadro </w:t>
      </w:r>
      <w:r w:rsidR="00256F15" w:rsidRPr="009A539C">
        <w:rPr>
          <w:sz w:val="22"/>
          <w:szCs w:val="22"/>
        </w:rPr>
        <w:fldChar w:fldCharType="begin"/>
      </w:r>
      <w:r w:rsidR="00256F15" w:rsidRPr="009A539C">
        <w:rPr>
          <w:sz w:val="22"/>
          <w:szCs w:val="22"/>
        </w:rPr>
        <w:instrText xml:space="preserve"> SEQ Quadro \* ARABIC </w:instrText>
      </w:r>
      <w:r w:rsidR="00256F15" w:rsidRPr="009A539C">
        <w:rPr>
          <w:sz w:val="22"/>
          <w:szCs w:val="22"/>
        </w:rPr>
        <w:fldChar w:fldCharType="separate"/>
      </w:r>
      <w:r w:rsidR="00D821DE">
        <w:rPr>
          <w:noProof/>
          <w:sz w:val="22"/>
          <w:szCs w:val="22"/>
        </w:rPr>
        <w:t>30</w:t>
      </w:r>
      <w:r w:rsidR="00256F15" w:rsidRPr="009A539C">
        <w:rPr>
          <w:noProof/>
          <w:sz w:val="22"/>
          <w:szCs w:val="22"/>
        </w:rPr>
        <w:fldChar w:fldCharType="end"/>
      </w:r>
      <w:r w:rsidR="00BB594D" w:rsidRPr="009A539C">
        <w:rPr>
          <w:sz w:val="22"/>
          <w:szCs w:val="22"/>
        </w:rPr>
        <w:t xml:space="preserve"> - Temas identificados em Convenções publicadas </w:t>
      </w:r>
      <w:bookmarkEnd w:id="355"/>
      <w:r w:rsidR="00F42BB2" w:rsidRPr="009A539C">
        <w:rPr>
          <w:sz w:val="22"/>
          <w:szCs w:val="22"/>
        </w:rPr>
        <w:t xml:space="preserve">(por </w:t>
      </w:r>
      <w:r w:rsidR="00F42BB2">
        <w:rPr>
          <w:sz w:val="22"/>
          <w:szCs w:val="22"/>
        </w:rPr>
        <w:t>sub</w:t>
      </w:r>
      <w:r w:rsidR="00F42BB2" w:rsidRPr="009A539C">
        <w:rPr>
          <w:sz w:val="22"/>
          <w:szCs w:val="22"/>
        </w:rPr>
        <w:t>tipo)</w:t>
      </w:r>
      <w:r w:rsidR="00F42BB2">
        <w:rPr>
          <w:sz w:val="22"/>
          <w:szCs w:val="22"/>
        </w:rPr>
        <w:t xml:space="preserve"> (</w:t>
      </w:r>
      <w:r w:rsidR="00F42BB2" w:rsidRPr="009A539C">
        <w:rPr>
          <w:sz w:val="22"/>
          <w:szCs w:val="22"/>
        </w:rPr>
        <w:t>2019</w:t>
      </w:r>
      <w:r w:rsidR="00F42BB2">
        <w:rPr>
          <w:sz w:val="22"/>
          <w:szCs w:val="22"/>
        </w:rPr>
        <w:t>)</w:t>
      </w:r>
      <w:bookmarkEnd w:id="356"/>
    </w:p>
    <w:p w14:paraId="0712A3EB" w14:textId="46674970" w:rsidR="004A7773" w:rsidRPr="009A539C" w:rsidRDefault="006F512F" w:rsidP="00EC7F5C">
      <w:pPr>
        <w:jc w:val="center"/>
      </w:pPr>
      <w:r w:rsidRPr="009A539C">
        <w:rPr>
          <w:noProof/>
          <w:lang w:eastAsia="pt-PT"/>
        </w:rPr>
        <w:drawing>
          <wp:inline distT="0" distB="0" distL="0" distR="0" wp14:anchorId="172FED21" wp14:editId="58BD31F2">
            <wp:extent cx="4572000" cy="8108830"/>
            <wp:effectExtent l="0" t="0" r="0" b="6985"/>
            <wp:docPr id="1207" name="Imagem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72000" cy="8108830"/>
                    </a:xfrm>
                    <a:prstGeom prst="rect">
                      <a:avLst/>
                    </a:prstGeom>
                    <a:noFill/>
                    <a:ln>
                      <a:noFill/>
                    </a:ln>
                  </pic:spPr>
                </pic:pic>
              </a:graphicData>
            </a:graphic>
          </wp:inline>
        </w:drawing>
      </w:r>
      <w:r w:rsidR="00EC7F5C" w:rsidRPr="009A539C">
        <w:br w:type="page"/>
      </w:r>
    </w:p>
    <w:p w14:paraId="3ACF19A0" w14:textId="480813E9" w:rsidR="00BB594D" w:rsidRPr="009A539C" w:rsidRDefault="00BB594D" w:rsidP="00B90788">
      <w:pPr>
        <w:ind w:right="-1"/>
        <w:jc w:val="center"/>
      </w:pPr>
    </w:p>
    <w:p w14:paraId="3616F5A1" w14:textId="77777777" w:rsidR="0032160B" w:rsidRPr="009A539C" w:rsidRDefault="000F0BA3" w:rsidP="00B20462">
      <w:pPr>
        <w:pStyle w:val="PargrafodaLista"/>
        <w:numPr>
          <w:ilvl w:val="2"/>
          <w:numId w:val="1"/>
        </w:numPr>
        <w:spacing w:line="360" w:lineRule="auto"/>
        <w:ind w:left="851" w:right="-1"/>
        <w:outlineLvl w:val="2"/>
        <w:rPr>
          <w:rFonts w:ascii="Calibri" w:hAnsi="Calibri" w:cs="Calibri"/>
          <w:b/>
        </w:rPr>
      </w:pPr>
      <w:bookmarkStart w:id="357" w:name="_Toc45535699"/>
      <w:r w:rsidRPr="009A539C">
        <w:rPr>
          <w:rFonts w:ascii="Calibri" w:hAnsi="Calibri" w:cs="Calibri"/>
          <w:b/>
        </w:rPr>
        <w:t>Conteúdos da convenção coletiva recomendados pelo artigo 492.º do Código do Trabalho</w:t>
      </w:r>
      <w:bookmarkEnd w:id="357"/>
      <w:r w:rsidR="005E7447" w:rsidRPr="009A539C">
        <w:rPr>
          <w:rFonts w:ascii="Calibri" w:hAnsi="Calibri" w:cs="Calibri"/>
          <w:b/>
        </w:rPr>
        <w:t xml:space="preserve"> </w:t>
      </w:r>
    </w:p>
    <w:p w14:paraId="29D9F5EF" w14:textId="77777777" w:rsidR="006E6E8A" w:rsidRPr="009A539C" w:rsidRDefault="006E6E8A" w:rsidP="00B90788">
      <w:pPr>
        <w:pStyle w:val="PargrafodaLista"/>
        <w:spacing w:line="360" w:lineRule="auto"/>
        <w:ind w:left="851" w:right="-1"/>
        <w:outlineLvl w:val="2"/>
        <w:rPr>
          <w:rFonts w:ascii="Calibri" w:hAnsi="Calibri" w:cs="Calibri"/>
          <w:b/>
        </w:rPr>
      </w:pPr>
    </w:p>
    <w:p w14:paraId="44661DB3" w14:textId="6B28A5CE" w:rsidR="001E4931" w:rsidRPr="009A539C" w:rsidRDefault="000F0BA3" w:rsidP="00B20462">
      <w:pPr>
        <w:pStyle w:val="PargrafodaLista"/>
        <w:numPr>
          <w:ilvl w:val="3"/>
          <w:numId w:val="1"/>
        </w:numPr>
        <w:spacing w:line="360" w:lineRule="auto"/>
        <w:ind w:left="1418" w:right="-1"/>
        <w:outlineLvl w:val="3"/>
        <w:rPr>
          <w:rFonts w:ascii="Calibri" w:hAnsi="Calibri" w:cs="Calibri"/>
        </w:rPr>
      </w:pPr>
      <w:bookmarkStart w:id="358" w:name="_Toc45535700"/>
      <w:r w:rsidRPr="009A539C">
        <w:rPr>
          <w:rFonts w:ascii="Calibri" w:hAnsi="Calibri" w:cs="Calibri"/>
        </w:rPr>
        <w:t>Introdução</w:t>
      </w:r>
      <w:bookmarkEnd w:id="358"/>
    </w:p>
    <w:p w14:paraId="116DB1FF" w14:textId="77777777" w:rsidR="005458BC" w:rsidRPr="009A539C" w:rsidRDefault="005458BC" w:rsidP="005458BC">
      <w:pPr>
        <w:pStyle w:val="PargrafodaLista"/>
        <w:spacing w:line="360" w:lineRule="auto"/>
        <w:ind w:left="1418" w:right="-1"/>
        <w:outlineLvl w:val="3"/>
        <w:rPr>
          <w:rFonts w:ascii="Calibri" w:hAnsi="Calibri" w:cs="Calibri"/>
        </w:rPr>
      </w:pPr>
    </w:p>
    <w:p w14:paraId="1C8E35A5" w14:textId="11F49536" w:rsidR="001E4931" w:rsidRPr="009A539C" w:rsidRDefault="001E4931" w:rsidP="00922B44">
      <w:pPr>
        <w:pStyle w:val="PargrafodaLista"/>
        <w:numPr>
          <w:ilvl w:val="0"/>
          <w:numId w:val="83"/>
        </w:numPr>
        <w:spacing w:line="360" w:lineRule="auto"/>
        <w:ind w:left="0" w:firstLine="709"/>
        <w:jc w:val="both"/>
        <w:rPr>
          <w:rFonts w:ascii="Calibri" w:hAnsi="Calibri" w:cs="Calibri"/>
        </w:rPr>
      </w:pPr>
      <w:bookmarkStart w:id="359" w:name="_Toc42511646"/>
      <w:bookmarkStart w:id="360" w:name="_Toc42514410"/>
      <w:r w:rsidRPr="009A539C">
        <w:rPr>
          <w:rFonts w:ascii="Calibri" w:hAnsi="Calibri" w:cs="Calibri"/>
        </w:rPr>
        <w:t>O presente capítulo tem por objetivo analisar em que medida o artigo 492.º do CT conforma o conteúdo essencial das convenções coletivas. Aquela disposição legal, para além de estabelecer, no n.º 1, o conjunto de requisitos de ordem formal de que depende o depósito da convenção</w:t>
      </w:r>
      <w:r w:rsidRPr="009A539C">
        <w:rPr>
          <w:vertAlign w:val="superscript"/>
        </w:rPr>
        <w:footnoteReference w:id="61"/>
      </w:r>
      <w:r w:rsidRPr="009A539C">
        <w:rPr>
          <w:rFonts w:ascii="Calibri" w:hAnsi="Calibri" w:cs="Calibri"/>
        </w:rPr>
        <w:t xml:space="preserve">, recomenda que a negociação inclua um conjunto de matérias, indicadas nas suas alíneas do n.º 2, às quais acresce a mencionada no n.º 3. Por outro lado, o n.º 4 do mesmo preceito habilita os outorgantes da convenção a fixarem um montante a pagar às associações sindicais a título de comparticipação nos encargos da negociação, quando se verifique a adesão individual à convenção aplicável (arts. 492.º, 4 e 497º, do CT) </w:t>
      </w:r>
      <w:r w:rsidRPr="009A539C">
        <w:rPr>
          <w:vertAlign w:val="superscript"/>
        </w:rPr>
        <w:footnoteReference w:id="62"/>
      </w:r>
      <w:r w:rsidRPr="009A539C">
        <w:rPr>
          <w:rFonts w:ascii="Calibri" w:hAnsi="Calibri" w:cs="Calibri"/>
        </w:rPr>
        <w:t>.</w:t>
      </w:r>
      <w:bookmarkEnd w:id="359"/>
      <w:bookmarkEnd w:id="360"/>
    </w:p>
    <w:p w14:paraId="16ACB7B6" w14:textId="77777777" w:rsidR="001E4931" w:rsidRPr="009A539C" w:rsidRDefault="001E4931" w:rsidP="00F364BB">
      <w:pPr>
        <w:spacing w:line="360" w:lineRule="auto"/>
        <w:jc w:val="both"/>
        <w:rPr>
          <w:rFonts w:ascii="Calibri" w:hAnsi="Calibri" w:cs="Calibri"/>
        </w:rPr>
      </w:pPr>
      <w:bookmarkStart w:id="361" w:name="_Toc42511647"/>
      <w:bookmarkStart w:id="362" w:name="_Toc42514411"/>
      <w:r w:rsidRPr="009A539C">
        <w:rPr>
          <w:rFonts w:ascii="Calibri" w:hAnsi="Calibri" w:cs="Calibri"/>
        </w:rPr>
        <w:t>Deste modo, o estudo dos conteúdos d</w:t>
      </w:r>
      <w:r w:rsidR="000725C8" w:rsidRPr="009A539C">
        <w:rPr>
          <w:rFonts w:ascii="Calibri" w:hAnsi="Calibri" w:cs="Calibri"/>
        </w:rPr>
        <w:t xml:space="preserve">as convenções coletivas, à luz </w:t>
      </w:r>
      <w:r w:rsidRPr="009A539C">
        <w:rPr>
          <w:rFonts w:ascii="Calibri" w:hAnsi="Calibri" w:cs="Calibri"/>
        </w:rPr>
        <w:t>do referido preceito, procura apurar em que medida as convenções coletivas acolhem as recomendações da lei (art. 492.º, 2 e 3,CT) no que toca ao conteúdo material da convenção.</w:t>
      </w:r>
      <w:bookmarkEnd w:id="361"/>
      <w:bookmarkEnd w:id="362"/>
      <w:r w:rsidRPr="009A539C">
        <w:rPr>
          <w:rFonts w:ascii="Calibri" w:hAnsi="Calibri" w:cs="Calibri"/>
        </w:rPr>
        <w:t xml:space="preserve">  </w:t>
      </w:r>
    </w:p>
    <w:p w14:paraId="7B108081" w14:textId="36977610" w:rsidR="001E4931" w:rsidRPr="009A539C" w:rsidRDefault="001E4931" w:rsidP="00922B44">
      <w:pPr>
        <w:pStyle w:val="PargrafodaLista"/>
        <w:numPr>
          <w:ilvl w:val="0"/>
          <w:numId w:val="83"/>
        </w:numPr>
        <w:spacing w:line="360" w:lineRule="auto"/>
        <w:ind w:left="0" w:firstLine="709"/>
        <w:jc w:val="both"/>
        <w:rPr>
          <w:rFonts w:ascii="Calibri" w:hAnsi="Calibri" w:cs="Calibri"/>
        </w:rPr>
      </w:pPr>
      <w:bookmarkStart w:id="363" w:name="_Toc42511648"/>
      <w:bookmarkStart w:id="364" w:name="_Toc42514412"/>
      <w:r w:rsidRPr="009A539C">
        <w:rPr>
          <w:rFonts w:ascii="Calibri" w:hAnsi="Calibri" w:cs="Calibri"/>
        </w:rPr>
        <w:t>Na abordagem deste capítulo, preservam-se quer a metodologia quer os pressupostos adotados nas edições anteriores. Neste sentido:</w:t>
      </w:r>
      <w:bookmarkEnd w:id="363"/>
      <w:bookmarkEnd w:id="364"/>
    </w:p>
    <w:p w14:paraId="08FD91FF" w14:textId="77777777" w:rsidR="00F364BB" w:rsidRPr="009A539C" w:rsidRDefault="00F364BB" w:rsidP="00F364BB">
      <w:pPr>
        <w:pStyle w:val="PargrafodaLista"/>
        <w:spacing w:line="360" w:lineRule="auto"/>
        <w:ind w:left="709"/>
        <w:jc w:val="both"/>
        <w:rPr>
          <w:rFonts w:ascii="Calibri" w:hAnsi="Calibri" w:cs="Calibri"/>
        </w:rPr>
      </w:pPr>
    </w:p>
    <w:p w14:paraId="431EC854" w14:textId="77777777" w:rsidR="001E4931" w:rsidRPr="009A539C" w:rsidRDefault="001E4931" w:rsidP="00922B44">
      <w:pPr>
        <w:pStyle w:val="PargrafodaLista"/>
        <w:numPr>
          <w:ilvl w:val="0"/>
          <w:numId w:val="84"/>
        </w:numPr>
        <w:spacing w:line="360" w:lineRule="auto"/>
        <w:jc w:val="both"/>
        <w:rPr>
          <w:rFonts w:ascii="Calibri" w:hAnsi="Calibri" w:cs="Calibri"/>
        </w:rPr>
      </w:pPr>
      <w:bookmarkStart w:id="365" w:name="_Toc42511649"/>
      <w:bookmarkStart w:id="366" w:name="_Toc42514413"/>
      <w:r w:rsidRPr="009A539C">
        <w:rPr>
          <w:rFonts w:ascii="Calibri" w:hAnsi="Calibri" w:cs="Calibri"/>
        </w:rPr>
        <w:t>a análise centra-se nas primeiras convenções e nas revisões globais, abrangendo 79 (46 e  33, respetivamente) de um universo de 240 convenções coletivas (AE, AC, CC) publicadas em 2019;</w:t>
      </w:r>
      <w:bookmarkEnd w:id="365"/>
      <w:bookmarkEnd w:id="366"/>
    </w:p>
    <w:p w14:paraId="02D6958B" w14:textId="77777777" w:rsidR="00F364BB" w:rsidRPr="009A539C" w:rsidRDefault="00F364BB" w:rsidP="00F364BB">
      <w:pPr>
        <w:pStyle w:val="PargrafodaLista"/>
        <w:spacing w:line="360" w:lineRule="auto"/>
        <w:jc w:val="both"/>
        <w:rPr>
          <w:rFonts w:ascii="Calibri" w:hAnsi="Calibri" w:cs="Calibri"/>
        </w:rPr>
      </w:pPr>
    </w:p>
    <w:p w14:paraId="0EF814E9" w14:textId="2664FCD3" w:rsidR="001E4931" w:rsidRPr="009A539C" w:rsidRDefault="001E4931" w:rsidP="00922B44">
      <w:pPr>
        <w:pStyle w:val="PargrafodaLista"/>
        <w:numPr>
          <w:ilvl w:val="0"/>
          <w:numId w:val="84"/>
        </w:numPr>
        <w:spacing w:line="360" w:lineRule="auto"/>
        <w:jc w:val="both"/>
        <w:rPr>
          <w:rFonts w:ascii="Calibri" w:hAnsi="Calibri" w:cs="Calibri"/>
        </w:rPr>
      </w:pPr>
      <w:bookmarkStart w:id="367" w:name="_Toc42511650"/>
      <w:bookmarkStart w:id="368" w:name="_Toc42514414"/>
      <w:r w:rsidRPr="009A539C">
        <w:rPr>
          <w:rFonts w:ascii="Calibri" w:hAnsi="Calibri" w:cs="Calibri"/>
        </w:rPr>
        <w:t>considerando que os tópicos consagrados no art. 492.º, 2 e 3, do CT se devem conjugar com a regulação estabelecida no Código do Trabalho para cada instituto jurídico, partiu-se do entendimento de que a lei definiu o respetivo recorte e sugere às partes, através das referidas disposições (programáticas) dos n.ºs 2 e 3 do art. 492.º, do CT, que as concretizem de forma mais ajustada às especificidades de cada convenção</w:t>
      </w:r>
      <w:r w:rsidRPr="009A539C">
        <w:rPr>
          <w:vertAlign w:val="superscript"/>
        </w:rPr>
        <w:footnoteReference w:id="63"/>
      </w:r>
      <w:r w:rsidRPr="009A539C">
        <w:rPr>
          <w:rFonts w:ascii="Calibri" w:hAnsi="Calibri" w:cs="Calibri"/>
        </w:rPr>
        <w:t>;</w:t>
      </w:r>
      <w:bookmarkEnd w:id="367"/>
      <w:bookmarkEnd w:id="368"/>
    </w:p>
    <w:p w14:paraId="4A33D58B" w14:textId="77777777" w:rsidR="00F364BB" w:rsidRPr="009A539C" w:rsidRDefault="00F364BB" w:rsidP="00F364BB">
      <w:pPr>
        <w:pStyle w:val="PargrafodaLista"/>
        <w:rPr>
          <w:rFonts w:ascii="Calibri" w:hAnsi="Calibri" w:cs="Calibri"/>
        </w:rPr>
      </w:pPr>
    </w:p>
    <w:p w14:paraId="0B43FC54" w14:textId="77777777" w:rsidR="00F364BB" w:rsidRPr="009A539C" w:rsidRDefault="00F364BB" w:rsidP="00F364BB">
      <w:pPr>
        <w:pStyle w:val="PargrafodaLista"/>
        <w:spacing w:line="360" w:lineRule="auto"/>
        <w:jc w:val="both"/>
        <w:rPr>
          <w:rFonts w:ascii="Calibri" w:hAnsi="Calibri" w:cs="Calibri"/>
        </w:rPr>
      </w:pPr>
    </w:p>
    <w:p w14:paraId="5E46F2AE" w14:textId="41BDEBF1" w:rsidR="001E4931" w:rsidRPr="009A539C" w:rsidRDefault="00F364BB" w:rsidP="00922B44">
      <w:pPr>
        <w:pStyle w:val="PargrafodaLista"/>
        <w:numPr>
          <w:ilvl w:val="0"/>
          <w:numId w:val="84"/>
        </w:numPr>
        <w:spacing w:line="360" w:lineRule="auto"/>
        <w:jc w:val="both"/>
        <w:rPr>
          <w:rFonts w:ascii="Calibri" w:hAnsi="Calibri" w:cs="Calibri"/>
        </w:rPr>
      </w:pPr>
      <w:bookmarkStart w:id="369" w:name="_Toc42511651"/>
      <w:bookmarkStart w:id="370" w:name="_Toc42514415"/>
      <w:r w:rsidRPr="009A539C">
        <w:rPr>
          <w:rFonts w:ascii="Calibri" w:hAnsi="Calibri" w:cs="Calibri"/>
        </w:rPr>
        <w:t>n</w:t>
      </w:r>
      <w:r w:rsidR="001E4931" w:rsidRPr="009A539C">
        <w:rPr>
          <w:rFonts w:ascii="Calibri" w:hAnsi="Calibri" w:cs="Calibri"/>
        </w:rPr>
        <w:t>o apuramento do conjunto de matérias tratadas nas convenções, que correspondem a cada uma das alíneas do preceito em análise, optou-se por contabilizá-las apenas uma vez, independentemente do número de situações em que é versada na mesma convenção</w:t>
      </w:r>
      <w:r w:rsidR="001E4931" w:rsidRPr="009A539C">
        <w:rPr>
          <w:vertAlign w:val="superscript"/>
        </w:rPr>
        <w:footnoteReference w:id="64"/>
      </w:r>
      <w:r w:rsidR="001E4931" w:rsidRPr="009A539C">
        <w:rPr>
          <w:rFonts w:ascii="Calibri" w:hAnsi="Calibri" w:cs="Calibri"/>
        </w:rPr>
        <w:t>. Tal significa que o número máximo contabilizado na coluna dos subtotais corresponderá ao universo de convenções analisadas (isto é, um total de 79 convenções).</w:t>
      </w:r>
      <w:bookmarkEnd w:id="369"/>
      <w:bookmarkEnd w:id="370"/>
      <w:r w:rsidR="001E4931" w:rsidRPr="009A539C">
        <w:rPr>
          <w:rFonts w:ascii="Calibri" w:hAnsi="Calibri" w:cs="Calibri"/>
        </w:rPr>
        <w:t xml:space="preserve"> </w:t>
      </w:r>
    </w:p>
    <w:p w14:paraId="426E1314" w14:textId="77777777" w:rsidR="00565062" w:rsidRPr="009A539C" w:rsidRDefault="00565062" w:rsidP="00F364BB">
      <w:pPr>
        <w:spacing w:line="360" w:lineRule="auto"/>
        <w:ind w:right="-1"/>
        <w:rPr>
          <w:rFonts w:ascii="Calibri" w:hAnsi="Calibri" w:cs="Calibri"/>
        </w:rPr>
      </w:pPr>
    </w:p>
    <w:p w14:paraId="3357640D" w14:textId="6A0E0696" w:rsidR="000F0BA3" w:rsidRPr="009A539C" w:rsidRDefault="000F0BA3" w:rsidP="00F364BB">
      <w:pPr>
        <w:pStyle w:val="PargrafodaLista"/>
        <w:numPr>
          <w:ilvl w:val="3"/>
          <w:numId w:val="1"/>
        </w:numPr>
        <w:spacing w:line="360" w:lineRule="auto"/>
        <w:ind w:right="-1"/>
        <w:outlineLvl w:val="3"/>
        <w:rPr>
          <w:rFonts w:ascii="Calibri" w:hAnsi="Calibri" w:cs="Calibri"/>
        </w:rPr>
      </w:pPr>
      <w:bookmarkStart w:id="371" w:name="_Toc45535701"/>
      <w:r w:rsidRPr="009A539C">
        <w:rPr>
          <w:rFonts w:ascii="Calibri" w:hAnsi="Calibri" w:cs="Calibri"/>
        </w:rPr>
        <w:t>Matérias recomendadas pelo artigo 492.º, n.ºs 2 e 3</w:t>
      </w:r>
      <w:r w:rsidR="00565062" w:rsidRPr="009A539C">
        <w:rPr>
          <w:rFonts w:ascii="Calibri" w:hAnsi="Calibri" w:cs="Calibri"/>
        </w:rPr>
        <w:t>, CP</w:t>
      </w:r>
      <w:bookmarkEnd w:id="371"/>
    </w:p>
    <w:p w14:paraId="125AB627" w14:textId="77777777" w:rsidR="00F364BB" w:rsidRPr="009A539C" w:rsidRDefault="00F364BB" w:rsidP="00F364BB">
      <w:pPr>
        <w:pStyle w:val="PargrafodaLista"/>
        <w:spacing w:line="360" w:lineRule="auto"/>
        <w:ind w:left="1790" w:right="-1"/>
        <w:outlineLvl w:val="3"/>
        <w:rPr>
          <w:rFonts w:ascii="Calibri" w:hAnsi="Calibri" w:cs="Calibri"/>
        </w:rPr>
      </w:pPr>
    </w:p>
    <w:p w14:paraId="3AA61B05" w14:textId="6CBD910A" w:rsidR="00A54279" w:rsidRPr="009A539C" w:rsidRDefault="001E4931" w:rsidP="00922B44">
      <w:pPr>
        <w:pStyle w:val="PargrafodaLista"/>
        <w:numPr>
          <w:ilvl w:val="0"/>
          <w:numId w:val="82"/>
        </w:numPr>
        <w:spacing w:line="360" w:lineRule="auto"/>
        <w:ind w:left="0" w:firstLine="360"/>
        <w:jc w:val="both"/>
        <w:rPr>
          <w:rFonts w:ascii="Calibri" w:hAnsi="Calibri" w:cs="Calibri"/>
        </w:rPr>
      </w:pPr>
      <w:bookmarkStart w:id="372" w:name="_Toc42511653"/>
      <w:bookmarkStart w:id="373" w:name="_Toc42514417"/>
      <w:r w:rsidRPr="009A539C">
        <w:rPr>
          <w:rFonts w:ascii="Calibri" w:hAnsi="Calibri" w:cs="Calibri"/>
        </w:rPr>
        <w:t>O quadro seguinte mostra um grau de cobertura variável dos temas recomendados pela lei. A repartição relativa entre os nove tópicos cotejados neste ponto, seguem a tendência dos anos anteriores.</w:t>
      </w:r>
      <w:bookmarkEnd w:id="372"/>
      <w:bookmarkEnd w:id="373"/>
      <w:r w:rsidRPr="009A539C">
        <w:rPr>
          <w:rFonts w:ascii="Calibri" w:hAnsi="Calibri" w:cs="Calibri"/>
        </w:rPr>
        <w:t xml:space="preserve"> </w:t>
      </w:r>
    </w:p>
    <w:p w14:paraId="11674F8F" w14:textId="6DF0A034" w:rsidR="001E4931" w:rsidRPr="009A539C" w:rsidRDefault="002B051C" w:rsidP="001843FF">
      <w:pPr>
        <w:pStyle w:val="Legenda"/>
        <w:spacing w:line="360" w:lineRule="auto"/>
        <w:jc w:val="center"/>
        <w:rPr>
          <w:rFonts w:ascii="Calibri" w:hAnsi="Calibri" w:cs="Calibri"/>
          <w:b w:val="0"/>
          <w:bCs w:val="0"/>
          <w:sz w:val="20"/>
          <w:szCs w:val="20"/>
        </w:rPr>
      </w:pPr>
      <w:bookmarkStart w:id="374" w:name="_Toc15654970"/>
      <w:bookmarkStart w:id="375" w:name="_Toc42511654"/>
      <w:bookmarkStart w:id="376" w:name="_Toc42514418"/>
      <w:bookmarkStart w:id="377" w:name="_Toc45716652"/>
      <w:r w:rsidRPr="009A539C">
        <w:rPr>
          <w:sz w:val="20"/>
          <w:szCs w:val="20"/>
        </w:rPr>
        <w:t xml:space="preserve">Quadro </w:t>
      </w:r>
      <w:r w:rsidR="00256F15" w:rsidRPr="009A539C">
        <w:rPr>
          <w:sz w:val="20"/>
          <w:szCs w:val="20"/>
        </w:rPr>
        <w:fldChar w:fldCharType="begin"/>
      </w:r>
      <w:r w:rsidR="00256F15" w:rsidRPr="009A539C">
        <w:rPr>
          <w:sz w:val="20"/>
          <w:szCs w:val="20"/>
        </w:rPr>
        <w:instrText xml:space="preserve"> SEQ Quadro \* ARABIC </w:instrText>
      </w:r>
      <w:r w:rsidR="00256F15" w:rsidRPr="009A539C">
        <w:rPr>
          <w:sz w:val="20"/>
          <w:szCs w:val="20"/>
        </w:rPr>
        <w:fldChar w:fldCharType="separate"/>
      </w:r>
      <w:r w:rsidR="00D821DE">
        <w:rPr>
          <w:noProof/>
          <w:sz w:val="20"/>
          <w:szCs w:val="20"/>
        </w:rPr>
        <w:t>31</w:t>
      </w:r>
      <w:r w:rsidR="00256F15" w:rsidRPr="009A539C">
        <w:rPr>
          <w:noProof/>
          <w:sz w:val="20"/>
          <w:szCs w:val="20"/>
        </w:rPr>
        <w:fldChar w:fldCharType="end"/>
      </w:r>
      <w:r w:rsidR="001E4931" w:rsidRPr="009A539C">
        <w:rPr>
          <w:rFonts w:ascii="Calibri" w:hAnsi="Calibri" w:cs="Calibri"/>
          <w:sz w:val="20"/>
          <w:szCs w:val="20"/>
        </w:rPr>
        <w:t xml:space="preserve"> - Apuramento dos conteúdos previstos no artº 492ª do CT, em 1ªs Convenções e Revisões Globais – </w:t>
      </w:r>
      <w:bookmarkEnd w:id="374"/>
      <w:r w:rsidR="001E4931" w:rsidRPr="009A539C">
        <w:rPr>
          <w:rFonts w:ascii="Calibri" w:hAnsi="Calibri" w:cs="Calibri"/>
          <w:sz w:val="20"/>
          <w:szCs w:val="20"/>
        </w:rPr>
        <w:t>2019</w:t>
      </w:r>
      <w:bookmarkEnd w:id="375"/>
      <w:bookmarkEnd w:id="376"/>
      <w:bookmarkEnd w:id="377"/>
    </w:p>
    <w:p w14:paraId="4363D207" w14:textId="636B853D" w:rsidR="001E4931" w:rsidRPr="009A539C" w:rsidRDefault="0004452C" w:rsidP="00B45708">
      <w:pPr>
        <w:spacing w:line="360" w:lineRule="auto"/>
        <w:jc w:val="both"/>
        <w:rPr>
          <w:rFonts w:ascii="Calibri" w:hAnsi="Calibri" w:cs="Calibri"/>
        </w:rPr>
      </w:pPr>
      <w:r w:rsidRPr="009A539C">
        <w:rPr>
          <w:noProof/>
          <w:lang w:eastAsia="pt-PT"/>
        </w:rPr>
        <w:drawing>
          <wp:inline distT="0" distB="0" distL="0" distR="0" wp14:anchorId="0821ECF5" wp14:editId="77D7B462">
            <wp:extent cx="6750685" cy="3371981"/>
            <wp:effectExtent l="0" t="0" r="0" b="0"/>
            <wp:docPr id="1206" name="Imagem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50685" cy="3371981"/>
                    </a:xfrm>
                    <a:prstGeom prst="rect">
                      <a:avLst/>
                    </a:prstGeom>
                    <a:noFill/>
                    <a:ln>
                      <a:noFill/>
                    </a:ln>
                  </pic:spPr>
                </pic:pic>
              </a:graphicData>
            </a:graphic>
          </wp:inline>
        </w:drawing>
      </w:r>
    </w:p>
    <w:p w14:paraId="489092F4" w14:textId="77777777" w:rsidR="001E4931" w:rsidRPr="009A539C" w:rsidRDefault="001E4931" w:rsidP="00B45708">
      <w:pPr>
        <w:spacing w:line="360" w:lineRule="auto"/>
        <w:jc w:val="both"/>
        <w:rPr>
          <w:rFonts w:ascii="Calibri" w:hAnsi="Calibri" w:cs="Calibri"/>
        </w:rPr>
      </w:pPr>
      <w:bookmarkStart w:id="378" w:name="_Toc42511656"/>
      <w:bookmarkStart w:id="379" w:name="_Toc42514420"/>
      <w:r w:rsidRPr="009A539C">
        <w:rPr>
          <w:rFonts w:ascii="Calibri" w:hAnsi="Calibri" w:cs="Calibri"/>
        </w:rPr>
        <w:t>Com efeito, a fixação da retribuição base para profissões e categorias profissionais [art. 492.º, 2, e), do CT] integra quase todas as convenções consideradas. Seguem-se, conforme a sua predominância, a regulação de comissões paritárias (art. 492.º, 3, do CT), as matérias da segurança e saúde [art. 492.º, 2, c), do CT] e o princípio da igualdade e não discriminação [art. 492.º, 2, d), do CT]. Os demais aspetos versados nos n.ºs 2 e 3 do art. 492.º do CT têm menor expressão no cômputo total das convenções apreciadas.</w:t>
      </w:r>
      <w:bookmarkEnd w:id="378"/>
      <w:bookmarkEnd w:id="379"/>
    </w:p>
    <w:p w14:paraId="6D62833D" w14:textId="042E182F" w:rsidR="001E4931" w:rsidRPr="009A539C" w:rsidRDefault="001E4931" w:rsidP="00922B44">
      <w:pPr>
        <w:pStyle w:val="PargrafodaLista"/>
        <w:numPr>
          <w:ilvl w:val="0"/>
          <w:numId w:val="82"/>
        </w:numPr>
        <w:spacing w:line="360" w:lineRule="auto"/>
        <w:ind w:left="0" w:firstLine="567"/>
        <w:jc w:val="both"/>
        <w:rPr>
          <w:rFonts w:ascii="Calibri" w:hAnsi="Calibri" w:cs="Calibri"/>
        </w:rPr>
      </w:pPr>
      <w:bookmarkStart w:id="380" w:name="_Toc42511657"/>
      <w:bookmarkStart w:id="381" w:name="_Toc42514421"/>
      <w:r w:rsidRPr="009A539C">
        <w:rPr>
          <w:rFonts w:ascii="Calibri" w:hAnsi="Calibri" w:cs="Calibri"/>
        </w:rPr>
        <w:t>Iremos observar, de seguida, a medida em que as convenções coletivas dão acolhimento às matérias recomendadas nas alíneas do n.º 2 e no n.º 3 do art. 492.º CT, analisando-se o modo como são densificados esses conteúdos convencionais.</w:t>
      </w:r>
      <w:bookmarkEnd w:id="380"/>
      <w:bookmarkEnd w:id="381"/>
      <w:r w:rsidR="00F364BB" w:rsidRPr="009A539C">
        <w:rPr>
          <w:rFonts w:ascii="Calibri" w:hAnsi="Calibri" w:cs="Calibri"/>
        </w:rPr>
        <w:t xml:space="preserve">  </w:t>
      </w:r>
    </w:p>
    <w:p w14:paraId="7762725A" w14:textId="77777777" w:rsidR="00F364BB" w:rsidRPr="009A539C" w:rsidRDefault="00F364BB" w:rsidP="00F364BB">
      <w:pPr>
        <w:pStyle w:val="PargrafodaLista"/>
        <w:spacing w:line="360" w:lineRule="auto"/>
        <w:ind w:left="567"/>
        <w:jc w:val="both"/>
        <w:rPr>
          <w:rFonts w:ascii="Calibri" w:hAnsi="Calibri" w:cs="Calibri"/>
        </w:rPr>
      </w:pPr>
    </w:p>
    <w:p w14:paraId="7751AAE0" w14:textId="7DE13B3C" w:rsidR="001E4931" w:rsidRPr="009A539C" w:rsidRDefault="001E4931" w:rsidP="00922B44">
      <w:pPr>
        <w:pStyle w:val="PargrafodaLista"/>
        <w:numPr>
          <w:ilvl w:val="0"/>
          <w:numId w:val="73"/>
        </w:numPr>
        <w:spacing w:line="360" w:lineRule="auto"/>
        <w:ind w:left="426" w:hanging="426"/>
        <w:jc w:val="both"/>
        <w:rPr>
          <w:rFonts w:ascii="Calibri" w:hAnsi="Calibri" w:cs="Calibri"/>
        </w:rPr>
      </w:pPr>
      <w:bookmarkStart w:id="382" w:name="_Toc42511658"/>
      <w:bookmarkStart w:id="383" w:name="_Toc42514422"/>
      <w:r w:rsidRPr="009A539C">
        <w:rPr>
          <w:rFonts w:ascii="Calibri" w:hAnsi="Calibri" w:cs="Calibri"/>
          <w:b/>
        </w:rPr>
        <w:t xml:space="preserve">Relações entre os outorgantes, verificação do cumprimento da convenção e meios de resolução de conflitos coletivos decorrentes da sua aplicação ou revisão </w:t>
      </w:r>
      <w:r w:rsidRPr="009A539C">
        <w:rPr>
          <w:rFonts w:ascii="Calibri" w:hAnsi="Calibri" w:cs="Calibri"/>
        </w:rPr>
        <w:t xml:space="preserve">[art.492.º, 2, </w:t>
      </w:r>
      <w:r w:rsidRPr="009A539C">
        <w:rPr>
          <w:rFonts w:ascii="Calibri" w:hAnsi="Calibri" w:cs="Calibri"/>
          <w:i/>
        </w:rPr>
        <w:t>a</w:t>
      </w:r>
      <w:r w:rsidRPr="009A539C">
        <w:rPr>
          <w:rFonts w:ascii="Calibri" w:hAnsi="Calibri" w:cs="Calibri"/>
        </w:rPr>
        <w:t>), do CT, a articular com os arts. 501.º; 507.º, 1; 523.º, 2; e 526.º, 2].</w:t>
      </w:r>
      <w:bookmarkEnd w:id="382"/>
      <w:bookmarkEnd w:id="383"/>
    </w:p>
    <w:p w14:paraId="13154CFD" w14:textId="313D2900" w:rsidR="001E4931" w:rsidRPr="009A539C" w:rsidRDefault="001E4931" w:rsidP="00B45708">
      <w:pPr>
        <w:spacing w:line="360" w:lineRule="auto"/>
        <w:jc w:val="both"/>
        <w:rPr>
          <w:rFonts w:ascii="Calibri" w:hAnsi="Calibri" w:cs="Calibri"/>
        </w:rPr>
      </w:pPr>
      <w:bookmarkStart w:id="384" w:name="_Toc42511659"/>
      <w:bookmarkStart w:id="385" w:name="_Toc42514423"/>
      <w:r w:rsidRPr="009A539C">
        <w:rPr>
          <w:rFonts w:ascii="Calibri" w:hAnsi="Calibri" w:cs="Calibri"/>
        </w:rPr>
        <w:t>Na esteira dos anos anteriores, estes conteúdos encontram-se regulados a propósito da vigência, revisão ou denúncia da convenção coletiva, embora com menor frequência comparativamente a 2018</w:t>
      </w:r>
      <w:r w:rsidR="00254AAB" w:rsidRPr="009A539C">
        <w:rPr>
          <w:rFonts w:ascii="Calibri" w:hAnsi="Calibri" w:cs="Calibri"/>
        </w:rPr>
        <w:t xml:space="preserve"> (quadro 3</w:t>
      </w:r>
      <w:r w:rsidR="000E1B35" w:rsidRPr="009A539C">
        <w:rPr>
          <w:rFonts w:ascii="Calibri" w:hAnsi="Calibri" w:cs="Calibri"/>
        </w:rPr>
        <w:t>1</w:t>
      </w:r>
      <w:r w:rsidR="00254AAB" w:rsidRPr="009A539C">
        <w:rPr>
          <w:rFonts w:ascii="Calibri" w:hAnsi="Calibri" w:cs="Calibri"/>
        </w:rPr>
        <w:t>)</w:t>
      </w:r>
      <w:r w:rsidR="006D6217" w:rsidRPr="009A539C">
        <w:rPr>
          <w:rFonts w:ascii="Calibri" w:hAnsi="Calibri" w:cs="Calibri"/>
        </w:rPr>
        <w:t xml:space="preserve">. </w:t>
      </w:r>
      <w:r w:rsidR="00F364BB" w:rsidRPr="009A539C">
        <w:rPr>
          <w:rFonts w:ascii="Calibri" w:hAnsi="Calibri" w:cs="Calibri"/>
        </w:rPr>
        <w:t xml:space="preserve">É usual estas previsões </w:t>
      </w:r>
      <w:r w:rsidRPr="009A539C">
        <w:rPr>
          <w:rFonts w:ascii="Calibri" w:hAnsi="Calibri" w:cs="Calibri"/>
        </w:rPr>
        <w:t>figurarem nas cláusulas iniciais do texto convencional, prevendo-se no período de negociação a possibilidade de resolução dos conflitos que daí decorram através de conciliação, mediação e arbitragem voluntária</w:t>
      </w:r>
      <w:r w:rsidRPr="009A539C">
        <w:rPr>
          <w:rFonts w:ascii="Calibri" w:hAnsi="Calibri" w:cs="Calibri"/>
          <w:vertAlign w:val="superscript"/>
        </w:rPr>
        <w:footnoteReference w:id="65"/>
      </w:r>
      <w:r w:rsidRPr="009A539C">
        <w:rPr>
          <w:rFonts w:ascii="Calibri" w:hAnsi="Calibri" w:cs="Calibri"/>
        </w:rPr>
        <w:t>, ou apenas um destes mecanismos</w:t>
      </w:r>
      <w:r w:rsidRPr="009A539C">
        <w:rPr>
          <w:rFonts w:ascii="Calibri" w:hAnsi="Calibri" w:cs="Calibri"/>
          <w:vertAlign w:val="superscript"/>
        </w:rPr>
        <w:footnoteReference w:id="66"/>
      </w:r>
      <w:r w:rsidRPr="009A539C">
        <w:rPr>
          <w:rFonts w:ascii="Calibri" w:hAnsi="Calibri" w:cs="Calibri"/>
        </w:rPr>
        <w:t>.</w:t>
      </w:r>
      <w:bookmarkEnd w:id="384"/>
      <w:bookmarkEnd w:id="385"/>
      <w:r w:rsidRPr="009A539C">
        <w:rPr>
          <w:rFonts w:ascii="Calibri" w:hAnsi="Calibri" w:cs="Calibri"/>
        </w:rPr>
        <w:t xml:space="preserve"> </w:t>
      </w:r>
    </w:p>
    <w:p w14:paraId="333731E5" w14:textId="77777777" w:rsidR="001E4931" w:rsidRPr="009A539C" w:rsidRDefault="001E4931" w:rsidP="00B45708">
      <w:pPr>
        <w:spacing w:line="360" w:lineRule="auto"/>
        <w:jc w:val="both"/>
        <w:rPr>
          <w:rFonts w:ascii="Calibri" w:hAnsi="Calibri" w:cs="Calibri"/>
        </w:rPr>
      </w:pPr>
      <w:bookmarkStart w:id="386" w:name="_Toc42511660"/>
      <w:bookmarkStart w:id="387" w:name="_Toc42514424"/>
      <w:r w:rsidRPr="009A539C">
        <w:rPr>
          <w:rFonts w:ascii="Calibri" w:hAnsi="Calibri" w:cs="Calibri"/>
        </w:rPr>
        <w:t>Continua a admitir-se a resolução de conflitos sobre a revisão parcial ou global do texto convencional através de arbitragem voluntária</w:t>
      </w:r>
      <w:r w:rsidRPr="009A539C">
        <w:rPr>
          <w:rFonts w:ascii="Calibri" w:hAnsi="Calibri" w:cs="Calibri"/>
          <w:vertAlign w:val="superscript"/>
        </w:rPr>
        <w:footnoteReference w:id="67"/>
      </w:r>
      <w:r w:rsidRPr="009A539C">
        <w:rPr>
          <w:rFonts w:ascii="Calibri" w:hAnsi="Calibri" w:cs="Calibri"/>
        </w:rPr>
        <w:t>. As formulações encontradas seguem de perto as descritas nos relatórios anteriores. Umas publicam em anexo específico a “convenção de arbitragem”, a qual delimita o âmbito da arbitragem, define a composição da comissão arbitral e o seu regime de funcionamento</w:t>
      </w:r>
      <w:r w:rsidRPr="009A539C">
        <w:rPr>
          <w:rFonts w:ascii="Calibri" w:hAnsi="Calibri" w:cs="Calibri"/>
          <w:vertAlign w:val="superscript"/>
        </w:rPr>
        <w:footnoteReference w:id="68"/>
      </w:r>
      <w:r w:rsidRPr="009A539C">
        <w:rPr>
          <w:rFonts w:ascii="Calibri" w:hAnsi="Calibri" w:cs="Calibri"/>
        </w:rPr>
        <w:t>. Uma outra amplia a competência da comissão arbitral às questões emergentes da interpretação, da integração da convenção, para além da celebração ou revisão de convenção</w:t>
      </w:r>
      <w:r w:rsidRPr="009A539C">
        <w:rPr>
          <w:rFonts w:ascii="Calibri" w:hAnsi="Calibri" w:cs="Calibri"/>
          <w:vertAlign w:val="superscript"/>
        </w:rPr>
        <w:footnoteReference w:id="69"/>
      </w:r>
      <w:r w:rsidR="00977E40" w:rsidRPr="009A539C">
        <w:rPr>
          <w:rFonts w:ascii="Calibri" w:hAnsi="Calibri" w:cs="Calibri"/>
        </w:rPr>
        <w:t xml:space="preserve">. </w:t>
      </w:r>
      <w:r w:rsidR="006D6217" w:rsidRPr="009A539C">
        <w:rPr>
          <w:rFonts w:ascii="Calibri" w:hAnsi="Calibri" w:cs="Calibri"/>
        </w:rPr>
        <w:t xml:space="preserve">Existem ainda convenções que admitem a aplicação do regime </w:t>
      </w:r>
      <w:r w:rsidR="00977E40" w:rsidRPr="009A539C">
        <w:rPr>
          <w:rFonts w:ascii="Calibri" w:hAnsi="Calibri" w:cs="Calibri"/>
        </w:rPr>
        <w:t xml:space="preserve">da arbitragem voluntária </w:t>
      </w:r>
      <w:r w:rsidRPr="009A539C">
        <w:rPr>
          <w:rFonts w:ascii="Calibri" w:hAnsi="Calibri" w:cs="Calibri"/>
        </w:rPr>
        <w:t>nos termos legais, um</w:t>
      </w:r>
      <w:r w:rsidR="00977E40" w:rsidRPr="009A539C">
        <w:rPr>
          <w:rFonts w:ascii="Calibri" w:hAnsi="Calibri" w:cs="Calibri"/>
        </w:rPr>
        <w:t xml:space="preserve">a vez esgotada a possibilidade </w:t>
      </w:r>
      <w:r w:rsidRPr="009A539C">
        <w:rPr>
          <w:rFonts w:ascii="Calibri" w:hAnsi="Calibri" w:cs="Calibri"/>
        </w:rPr>
        <w:t>de conciliação e</w:t>
      </w:r>
      <w:r w:rsidR="00977E40" w:rsidRPr="009A539C">
        <w:rPr>
          <w:rFonts w:ascii="Calibri" w:hAnsi="Calibri" w:cs="Calibri"/>
        </w:rPr>
        <w:t xml:space="preserve"> </w:t>
      </w:r>
      <w:r w:rsidRPr="009A539C">
        <w:rPr>
          <w:rFonts w:ascii="Calibri" w:hAnsi="Calibri" w:cs="Calibri"/>
        </w:rPr>
        <w:t xml:space="preserve">mediação para dirimir conflitos decorrentes da celebração, revisão ou aplicação da convenção  </w:t>
      </w:r>
      <w:r w:rsidRPr="009A539C">
        <w:rPr>
          <w:rFonts w:ascii="Calibri" w:hAnsi="Calibri" w:cs="Calibri"/>
          <w:vertAlign w:val="superscript"/>
        </w:rPr>
        <w:footnoteReference w:id="70"/>
      </w:r>
      <w:r w:rsidRPr="009A539C">
        <w:rPr>
          <w:rFonts w:ascii="Calibri" w:hAnsi="Calibri" w:cs="Calibri"/>
        </w:rPr>
        <w:t>.</w:t>
      </w:r>
      <w:bookmarkEnd w:id="386"/>
      <w:bookmarkEnd w:id="387"/>
    </w:p>
    <w:p w14:paraId="7DEA5589" w14:textId="5A419274" w:rsidR="00C71C36" w:rsidRPr="009A539C" w:rsidRDefault="001E4931" w:rsidP="00B45708">
      <w:pPr>
        <w:spacing w:line="360" w:lineRule="auto"/>
        <w:jc w:val="both"/>
        <w:rPr>
          <w:rFonts w:ascii="Calibri" w:hAnsi="Calibri" w:cs="Calibri"/>
        </w:rPr>
      </w:pPr>
      <w:bookmarkStart w:id="388" w:name="_Toc42511661"/>
      <w:bookmarkStart w:id="389" w:name="_Toc42514425"/>
      <w:r w:rsidRPr="009A539C">
        <w:rPr>
          <w:rFonts w:ascii="Calibri" w:hAnsi="Calibri" w:cs="Calibri"/>
        </w:rPr>
        <w:t xml:space="preserve">Por fim, as convenções do setor aéreo, mantêm a tradição de disciplinar um programa interno de resolução de conflitos, prévio ao recurso à greve ou à via judicial, designado  “Resolução de litígios” </w:t>
      </w:r>
      <w:r w:rsidRPr="009A539C">
        <w:rPr>
          <w:rFonts w:ascii="Calibri" w:hAnsi="Calibri" w:cs="Calibri"/>
          <w:vertAlign w:val="superscript"/>
        </w:rPr>
        <w:footnoteReference w:id="71"/>
      </w:r>
      <w:r w:rsidR="00C71C36" w:rsidRPr="009A539C">
        <w:rPr>
          <w:rFonts w:ascii="Calibri" w:hAnsi="Calibri" w:cs="Calibri"/>
        </w:rPr>
        <w:t>.</w:t>
      </w:r>
      <w:bookmarkEnd w:id="388"/>
      <w:bookmarkEnd w:id="389"/>
    </w:p>
    <w:p w14:paraId="3D0A9EC8" w14:textId="77777777" w:rsidR="00F364BB" w:rsidRPr="009A539C" w:rsidRDefault="00F364BB" w:rsidP="00B45708">
      <w:pPr>
        <w:spacing w:line="360" w:lineRule="auto"/>
        <w:jc w:val="both"/>
        <w:rPr>
          <w:rFonts w:ascii="Calibri" w:hAnsi="Calibri" w:cs="Calibri"/>
        </w:rPr>
      </w:pPr>
    </w:p>
    <w:p w14:paraId="21E05E42" w14:textId="4FE85E18" w:rsidR="001E4931" w:rsidRPr="009A539C" w:rsidRDefault="001E4931" w:rsidP="00922B44">
      <w:pPr>
        <w:pStyle w:val="PargrafodaLista"/>
        <w:numPr>
          <w:ilvl w:val="0"/>
          <w:numId w:val="73"/>
        </w:numPr>
        <w:spacing w:line="360" w:lineRule="auto"/>
        <w:ind w:left="426" w:hanging="426"/>
        <w:jc w:val="both"/>
        <w:rPr>
          <w:rFonts w:ascii="Calibri" w:hAnsi="Calibri" w:cs="Calibri"/>
        </w:rPr>
      </w:pPr>
      <w:bookmarkStart w:id="390" w:name="_Toc42511662"/>
      <w:bookmarkStart w:id="391" w:name="_Toc42514426"/>
      <w:r w:rsidRPr="009A539C">
        <w:rPr>
          <w:rFonts w:ascii="Calibri" w:hAnsi="Calibri" w:cs="Calibri"/>
          <w:b/>
        </w:rPr>
        <w:t>“As ações de formação profissional</w:t>
      </w:r>
      <w:r w:rsidRPr="009A539C">
        <w:rPr>
          <w:rFonts w:ascii="Calibri" w:hAnsi="Calibri" w:cs="Calibri"/>
          <w:b/>
        </w:rPr>
        <w:footnoteReference w:id="72"/>
      </w:r>
      <w:r w:rsidRPr="009A539C">
        <w:rPr>
          <w:rFonts w:ascii="Calibri" w:hAnsi="Calibri" w:cs="Calibri"/>
          <w:b/>
        </w:rPr>
        <w:t xml:space="preserve">, tendo presentes as necessidades do trabalhador e do empregador ” </w:t>
      </w:r>
      <w:r w:rsidRPr="009A539C">
        <w:rPr>
          <w:rFonts w:ascii="Calibri" w:hAnsi="Calibri" w:cs="Calibri"/>
        </w:rPr>
        <w:t>[art.492.º, 2, b), do CT, a articular com os arts. 130.º e ss.]</w:t>
      </w:r>
      <w:bookmarkEnd w:id="390"/>
      <w:bookmarkEnd w:id="391"/>
    </w:p>
    <w:p w14:paraId="378CDCA0" w14:textId="77777777" w:rsidR="001E4931" w:rsidRPr="009A539C" w:rsidRDefault="001E4931" w:rsidP="00B45708">
      <w:pPr>
        <w:spacing w:line="360" w:lineRule="auto"/>
        <w:jc w:val="both"/>
        <w:rPr>
          <w:rFonts w:ascii="Calibri" w:hAnsi="Calibri" w:cs="Calibri"/>
        </w:rPr>
      </w:pPr>
      <w:bookmarkStart w:id="392" w:name="_Toc42511663"/>
      <w:bookmarkStart w:id="393" w:name="_Toc42514427"/>
      <w:r w:rsidRPr="009A539C">
        <w:rPr>
          <w:rFonts w:ascii="Calibri" w:hAnsi="Calibri" w:cs="Calibri"/>
        </w:rPr>
        <w:t>Atende-se, nesta matéria, à letra da norma que refere “ações de formação profissional”</w:t>
      </w:r>
      <w:r w:rsidRPr="009A539C">
        <w:rPr>
          <w:rFonts w:ascii="Calibri" w:hAnsi="Calibri" w:cs="Calibri"/>
          <w:vertAlign w:val="superscript"/>
        </w:rPr>
        <w:footnoteReference w:id="73"/>
      </w:r>
      <w:r w:rsidRPr="009A539C">
        <w:rPr>
          <w:rFonts w:ascii="Calibri" w:hAnsi="Calibri" w:cs="Calibri"/>
        </w:rPr>
        <w:t>.  Por essa razão, consideram-se apenas as situações em que o texto convencional concretiza, ainda que de modo incipiente,  a forma como a formação profissional se irá desenrolar ou a sua relevância na relação de trabalho.</w:t>
      </w:r>
      <w:bookmarkEnd w:id="392"/>
      <w:bookmarkEnd w:id="393"/>
    </w:p>
    <w:p w14:paraId="31F8A704" w14:textId="77777777" w:rsidR="001E4931" w:rsidRPr="009A539C" w:rsidRDefault="001E4931" w:rsidP="00B45708">
      <w:pPr>
        <w:spacing w:line="360" w:lineRule="auto"/>
        <w:jc w:val="both"/>
        <w:rPr>
          <w:rFonts w:ascii="Calibri" w:hAnsi="Calibri" w:cs="Calibri"/>
        </w:rPr>
      </w:pPr>
      <w:bookmarkStart w:id="394" w:name="_Toc42511664"/>
      <w:bookmarkStart w:id="395" w:name="_Toc42514428"/>
      <w:r w:rsidRPr="009A539C">
        <w:rPr>
          <w:rFonts w:ascii="Calibri" w:hAnsi="Calibri" w:cs="Calibri"/>
        </w:rPr>
        <w:t>A abordagem do tópico, por este prisma, não apresenta novidades comparativamente a edições anteriores. O número de convenções relevantes situa-se em 29 de 79 – e os conteúdos indicados traduzem-se na formação em línguas e/ou tecnologias da informação e comunicação, assim como adaptação a novas tecnologias</w:t>
      </w:r>
      <w:r w:rsidRPr="009A539C">
        <w:rPr>
          <w:rFonts w:ascii="Calibri" w:hAnsi="Calibri" w:cs="Calibri"/>
          <w:vertAlign w:val="superscript"/>
        </w:rPr>
        <w:footnoteReference w:id="74"/>
      </w:r>
      <w:r w:rsidRPr="009A539C">
        <w:rPr>
          <w:rFonts w:ascii="Calibri" w:hAnsi="Calibri" w:cs="Calibri"/>
        </w:rPr>
        <w:t xml:space="preserve"> de modo a promover a reconversão profissional; segurança e saúde no trabalho e, nalguns  casos, especificidades associadas a profissões regulamentadas</w:t>
      </w:r>
      <w:r w:rsidRPr="009A539C">
        <w:rPr>
          <w:rFonts w:ascii="Calibri" w:hAnsi="Calibri" w:cs="Calibri"/>
          <w:vertAlign w:val="superscript"/>
        </w:rPr>
        <w:footnoteReference w:id="75"/>
      </w:r>
      <w:r w:rsidRPr="009A539C">
        <w:rPr>
          <w:rFonts w:ascii="Calibri" w:hAnsi="Calibri" w:cs="Calibri"/>
        </w:rPr>
        <w:t>.</w:t>
      </w:r>
      <w:bookmarkEnd w:id="394"/>
      <w:bookmarkEnd w:id="395"/>
    </w:p>
    <w:p w14:paraId="2B2C0378" w14:textId="77777777" w:rsidR="001E4931" w:rsidRPr="009A539C" w:rsidRDefault="001E4931" w:rsidP="00B45708">
      <w:pPr>
        <w:spacing w:line="360" w:lineRule="auto"/>
        <w:jc w:val="both"/>
        <w:rPr>
          <w:rFonts w:ascii="Calibri" w:hAnsi="Calibri" w:cs="Calibri"/>
        </w:rPr>
      </w:pPr>
      <w:bookmarkStart w:id="396" w:name="_Toc42511665"/>
      <w:bookmarkStart w:id="397" w:name="_Toc42514429"/>
      <w:r w:rsidRPr="009A539C">
        <w:rPr>
          <w:rFonts w:ascii="Calibri" w:hAnsi="Calibri" w:cs="Calibri"/>
        </w:rPr>
        <w:t>Outras referências à formação profissional, nomeadamente</w:t>
      </w:r>
      <w:r w:rsidR="00A82217" w:rsidRPr="009A539C">
        <w:rPr>
          <w:rFonts w:ascii="Calibri" w:hAnsi="Calibri" w:cs="Calibri"/>
        </w:rPr>
        <w:t>,</w:t>
      </w:r>
      <w:r w:rsidRPr="009A539C">
        <w:rPr>
          <w:rFonts w:ascii="Calibri" w:hAnsi="Calibri" w:cs="Calibri"/>
        </w:rPr>
        <w:t xml:space="preserve"> a imputação à empresa do dever de garantir a formação profissional dos seus trabalhadores, a que corresponde do lado dos trabalhadores o direito à formação profissional, assim como o dever de frequentar as ações de formação promovidas pelo empregador</w:t>
      </w:r>
      <w:r w:rsidRPr="009A539C">
        <w:rPr>
          <w:rFonts w:ascii="Calibri" w:hAnsi="Calibri" w:cs="Calibri"/>
          <w:vertAlign w:val="superscript"/>
        </w:rPr>
        <w:footnoteReference w:id="76"/>
      </w:r>
      <w:r w:rsidRPr="009A539C">
        <w:rPr>
          <w:rFonts w:ascii="Calibri" w:hAnsi="Calibri" w:cs="Calibri"/>
        </w:rPr>
        <w:t>, serão desenvolvidos em capítulo próprio</w:t>
      </w:r>
      <w:r w:rsidRPr="009A539C">
        <w:rPr>
          <w:rFonts w:ascii="Calibri" w:hAnsi="Calibri" w:cs="Calibri"/>
          <w:vertAlign w:val="superscript"/>
        </w:rPr>
        <w:footnoteReference w:id="77"/>
      </w:r>
      <w:r w:rsidRPr="009A539C">
        <w:rPr>
          <w:rFonts w:ascii="Calibri" w:hAnsi="Calibri" w:cs="Calibri"/>
        </w:rPr>
        <w:t>.</w:t>
      </w:r>
      <w:bookmarkEnd w:id="396"/>
      <w:bookmarkEnd w:id="397"/>
      <w:r w:rsidRPr="009A539C">
        <w:rPr>
          <w:rFonts w:ascii="Calibri" w:hAnsi="Calibri" w:cs="Calibri"/>
        </w:rPr>
        <w:t xml:space="preserve"> </w:t>
      </w:r>
    </w:p>
    <w:p w14:paraId="528DE337" w14:textId="77777777" w:rsidR="00D45A4C" w:rsidRPr="009A539C" w:rsidRDefault="00D45A4C" w:rsidP="00B45708">
      <w:pPr>
        <w:spacing w:line="360" w:lineRule="auto"/>
        <w:jc w:val="both"/>
        <w:rPr>
          <w:rFonts w:ascii="Calibri" w:hAnsi="Calibri" w:cs="Calibri"/>
        </w:rPr>
      </w:pPr>
    </w:p>
    <w:p w14:paraId="5B7A235D" w14:textId="77777777" w:rsidR="00F364BB" w:rsidRPr="009A539C" w:rsidRDefault="00F364BB" w:rsidP="00B45708">
      <w:pPr>
        <w:spacing w:line="360" w:lineRule="auto"/>
        <w:jc w:val="both"/>
        <w:rPr>
          <w:rFonts w:ascii="Calibri" w:hAnsi="Calibri" w:cs="Calibri"/>
        </w:rPr>
      </w:pPr>
    </w:p>
    <w:p w14:paraId="28529FE8" w14:textId="740CDE1E" w:rsidR="001E4931" w:rsidRPr="009A539C" w:rsidRDefault="001E4931" w:rsidP="00922B44">
      <w:pPr>
        <w:pStyle w:val="PargrafodaLista"/>
        <w:numPr>
          <w:ilvl w:val="0"/>
          <w:numId w:val="73"/>
        </w:numPr>
        <w:spacing w:line="360" w:lineRule="auto"/>
        <w:ind w:left="426" w:hanging="426"/>
        <w:jc w:val="both"/>
        <w:rPr>
          <w:rFonts w:ascii="Calibri" w:hAnsi="Calibri" w:cs="Calibri"/>
        </w:rPr>
      </w:pPr>
      <w:bookmarkStart w:id="398" w:name="_Toc42511666"/>
      <w:bookmarkStart w:id="399" w:name="_Toc42514430"/>
      <w:r w:rsidRPr="009A539C">
        <w:rPr>
          <w:rFonts w:ascii="Calibri" w:hAnsi="Calibri" w:cs="Calibri"/>
          <w:b/>
        </w:rPr>
        <w:t xml:space="preserve">As condições de prestação do trabalho relativas à segurança e saúde </w:t>
      </w:r>
      <w:r w:rsidRPr="009A539C">
        <w:rPr>
          <w:rFonts w:ascii="Calibri" w:hAnsi="Calibri" w:cs="Calibri"/>
        </w:rPr>
        <w:t>[art.492.º, 2, c), do CT, a articular com os arts. 281.º e ss., do CT].</w:t>
      </w:r>
      <w:bookmarkEnd w:id="398"/>
      <w:bookmarkEnd w:id="399"/>
    </w:p>
    <w:p w14:paraId="04CD427B" w14:textId="77777777" w:rsidR="001E4931" w:rsidRPr="009A539C" w:rsidRDefault="001E4931" w:rsidP="00B45708">
      <w:pPr>
        <w:spacing w:line="360" w:lineRule="auto"/>
        <w:jc w:val="both"/>
        <w:rPr>
          <w:rFonts w:ascii="Calibri" w:hAnsi="Calibri" w:cs="Calibri"/>
        </w:rPr>
      </w:pPr>
      <w:bookmarkStart w:id="400" w:name="_Toc42511667"/>
      <w:bookmarkStart w:id="401" w:name="_Toc42514431"/>
      <w:r w:rsidRPr="009A539C">
        <w:rPr>
          <w:rFonts w:ascii="Calibri" w:hAnsi="Calibri" w:cs="Calibri"/>
        </w:rPr>
        <w:t>Neste tópico, e uma vez que o preceito menciona as “condições de prestação do trabalho relativas à segurança e saúde”, referencia-se um conjunto alargado de matérias atinentes à segurança e saúde dos trabalhadores.</w:t>
      </w:r>
      <w:bookmarkEnd w:id="400"/>
      <w:bookmarkEnd w:id="401"/>
      <w:r w:rsidRPr="009A539C">
        <w:rPr>
          <w:rFonts w:ascii="Calibri" w:hAnsi="Calibri" w:cs="Calibri"/>
        </w:rPr>
        <w:t xml:space="preserve"> </w:t>
      </w:r>
    </w:p>
    <w:p w14:paraId="517C08D4" w14:textId="77777777" w:rsidR="001E4931" w:rsidRPr="009A539C" w:rsidRDefault="001E4931" w:rsidP="00B45708">
      <w:pPr>
        <w:spacing w:line="360" w:lineRule="auto"/>
        <w:jc w:val="both"/>
        <w:rPr>
          <w:rFonts w:ascii="Calibri" w:hAnsi="Calibri" w:cs="Calibri"/>
        </w:rPr>
      </w:pPr>
      <w:bookmarkStart w:id="402" w:name="_Toc42511668"/>
      <w:bookmarkStart w:id="403" w:name="_Toc42514432"/>
      <w:r w:rsidRPr="009A539C">
        <w:rPr>
          <w:rFonts w:ascii="Calibri" w:hAnsi="Calibri" w:cs="Calibri"/>
        </w:rPr>
        <w:t>Em 2019, o quadro normativo manteve-se inalterável: compreende princípios e regras de ordem geral enunciados no Código do Trabalho (art. 281.º do CT), que, por sua vez, se articulam com o quadro legal da SST previsto em diplomas específicos (ao abrigo do art. 284.º do CT)</w:t>
      </w:r>
      <w:r w:rsidRPr="009A539C">
        <w:rPr>
          <w:rFonts w:ascii="Calibri" w:hAnsi="Calibri" w:cs="Calibri"/>
          <w:vertAlign w:val="superscript"/>
        </w:rPr>
        <w:footnoteReference w:id="78"/>
      </w:r>
      <w:r w:rsidRPr="009A539C">
        <w:rPr>
          <w:rFonts w:ascii="Calibri" w:hAnsi="Calibri" w:cs="Calibri"/>
        </w:rPr>
        <w:t>.</w:t>
      </w:r>
      <w:bookmarkEnd w:id="402"/>
      <w:bookmarkEnd w:id="403"/>
      <w:r w:rsidRPr="009A539C">
        <w:rPr>
          <w:rFonts w:ascii="Calibri" w:hAnsi="Calibri" w:cs="Calibri"/>
        </w:rPr>
        <w:t xml:space="preserve"> </w:t>
      </w:r>
    </w:p>
    <w:p w14:paraId="1E6B83EF" w14:textId="77777777" w:rsidR="001E4931" w:rsidRPr="009A539C" w:rsidRDefault="001E4931" w:rsidP="00B45708">
      <w:pPr>
        <w:spacing w:line="360" w:lineRule="auto"/>
        <w:jc w:val="both"/>
        <w:rPr>
          <w:rFonts w:ascii="Calibri" w:hAnsi="Calibri" w:cs="Calibri"/>
        </w:rPr>
      </w:pPr>
      <w:bookmarkStart w:id="404" w:name="_Toc42511669"/>
      <w:bookmarkStart w:id="405" w:name="_Toc42514433"/>
      <w:r w:rsidRPr="009A539C">
        <w:rPr>
          <w:rFonts w:ascii="Calibri" w:hAnsi="Calibri" w:cs="Calibri"/>
        </w:rPr>
        <w:t>Nos textos convencionais encontram-se diversas projeções da SST em primeiras convenções (34) e revisões globais (30)</w:t>
      </w:r>
      <w:r w:rsidRPr="009A539C">
        <w:rPr>
          <w:rFonts w:ascii="Calibri" w:hAnsi="Calibri" w:cs="Calibri"/>
          <w:vertAlign w:val="superscript"/>
        </w:rPr>
        <w:footnoteReference w:id="79"/>
      </w:r>
      <w:r w:rsidRPr="009A539C">
        <w:rPr>
          <w:rFonts w:ascii="Calibri" w:hAnsi="Calibri" w:cs="Calibri"/>
        </w:rPr>
        <w:t>, muitas delas reproduzindo a lei</w:t>
      </w:r>
      <w:r w:rsidRPr="009A539C">
        <w:rPr>
          <w:rFonts w:ascii="Calibri" w:hAnsi="Calibri" w:cs="Calibri"/>
          <w:vertAlign w:val="superscript"/>
        </w:rPr>
        <w:footnoteReference w:id="80"/>
      </w:r>
      <w:r w:rsidRPr="009A539C">
        <w:rPr>
          <w:rFonts w:ascii="Calibri" w:hAnsi="Calibri" w:cs="Calibri"/>
        </w:rPr>
        <w:t>. As convenções que regulam as estruturas envolvidas nesta área agrupam-se como segue</w:t>
      </w:r>
      <w:r w:rsidRPr="009A539C">
        <w:rPr>
          <w:rFonts w:ascii="Calibri" w:hAnsi="Calibri" w:cs="Calibri"/>
          <w:vertAlign w:val="superscript"/>
        </w:rPr>
        <w:footnoteReference w:id="81"/>
      </w:r>
      <w:r w:rsidRPr="009A539C">
        <w:rPr>
          <w:rFonts w:ascii="Calibri" w:hAnsi="Calibri" w:cs="Calibri"/>
        </w:rPr>
        <w:t>:</w:t>
      </w:r>
      <w:bookmarkEnd w:id="404"/>
      <w:bookmarkEnd w:id="405"/>
    </w:p>
    <w:p w14:paraId="1DB13647" w14:textId="77777777" w:rsidR="001E4931" w:rsidRPr="009A539C" w:rsidRDefault="001E4931" w:rsidP="00922B44">
      <w:pPr>
        <w:pStyle w:val="PargrafodaLista"/>
        <w:numPr>
          <w:ilvl w:val="0"/>
          <w:numId w:val="85"/>
        </w:numPr>
        <w:spacing w:line="360" w:lineRule="auto"/>
        <w:jc w:val="both"/>
        <w:rPr>
          <w:rFonts w:ascii="Calibri" w:hAnsi="Calibri" w:cs="Calibri"/>
        </w:rPr>
      </w:pPr>
      <w:bookmarkStart w:id="406" w:name="_Toc42511670"/>
      <w:bookmarkStart w:id="407" w:name="_Toc42514434"/>
      <w:r w:rsidRPr="009A539C">
        <w:rPr>
          <w:rFonts w:ascii="Calibri" w:hAnsi="Calibri" w:cs="Calibri"/>
        </w:rPr>
        <w:t>planeamento e implementação de medidas ou serviços de segurança e saúde, da responsabilidade da empresa, no âmbito das suas responsabilidades de prevenção dos riscos profissionais (43), que inclui: planos de prevenção (8)</w:t>
      </w:r>
      <w:r w:rsidRPr="009A539C">
        <w:rPr>
          <w:vertAlign w:val="superscript"/>
        </w:rPr>
        <w:footnoteReference w:id="82"/>
      </w:r>
      <w:r w:rsidRPr="009A539C">
        <w:rPr>
          <w:rFonts w:ascii="Calibri" w:hAnsi="Calibri" w:cs="Calibri"/>
        </w:rPr>
        <w:t>, previsão de equipamentos de proteção (12 ou 13)</w:t>
      </w:r>
      <w:r w:rsidRPr="009A539C">
        <w:rPr>
          <w:vertAlign w:val="superscript"/>
        </w:rPr>
        <w:footnoteReference w:id="83"/>
      </w:r>
      <w:r w:rsidRPr="009A539C">
        <w:rPr>
          <w:rFonts w:ascii="Calibri" w:hAnsi="Calibri" w:cs="Calibri"/>
        </w:rPr>
        <w:t>; formação</w:t>
      </w:r>
      <w:r w:rsidRPr="009A539C">
        <w:rPr>
          <w:vertAlign w:val="superscript"/>
        </w:rPr>
        <w:footnoteReference w:id="84"/>
      </w:r>
      <w:r w:rsidRPr="009A539C">
        <w:rPr>
          <w:rFonts w:ascii="Calibri" w:hAnsi="Calibri" w:cs="Calibri"/>
        </w:rPr>
        <w:t>, informação e consulta</w:t>
      </w:r>
      <w:r w:rsidRPr="009A539C">
        <w:rPr>
          <w:vertAlign w:val="superscript"/>
        </w:rPr>
        <w:footnoteReference w:id="85"/>
      </w:r>
      <w:r w:rsidRPr="009A539C">
        <w:rPr>
          <w:rFonts w:ascii="Calibri" w:hAnsi="Calibri" w:cs="Calibri"/>
        </w:rPr>
        <w:t xml:space="preserve"> dos trabalhadores (28)</w:t>
      </w:r>
      <w:bookmarkEnd w:id="406"/>
      <w:bookmarkEnd w:id="407"/>
      <w:r w:rsidRPr="009A539C">
        <w:rPr>
          <w:rFonts w:ascii="Calibri" w:hAnsi="Calibri" w:cs="Calibri"/>
        </w:rPr>
        <w:t xml:space="preserve"> </w:t>
      </w:r>
    </w:p>
    <w:p w14:paraId="327BFC17" w14:textId="77777777" w:rsidR="001E4931" w:rsidRPr="009A539C" w:rsidRDefault="001E4931" w:rsidP="00922B44">
      <w:pPr>
        <w:pStyle w:val="PargrafodaLista"/>
        <w:numPr>
          <w:ilvl w:val="0"/>
          <w:numId w:val="85"/>
        </w:numPr>
        <w:spacing w:line="360" w:lineRule="auto"/>
        <w:jc w:val="both"/>
        <w:rPr>
          <w:rFonts w:ascii="Calibri" w:hAnsi="Calibri" w:cs="Calibri"/>
        </w:rPr>
      </w:pPr>
      <w:bookmarkStart w:id="408" w:name="_Toc42511671"/>
      <w:bookmarkStart w:id="409" w:name="_Toc42514435"/>
      <w:r w:rsidRPr="009A539C">
        <w:rPr>
          <w:rFonts w:ascii="Calibri" w:hAnsi="Calibri" w:cs="Calibri"/>
        </w:rPr>
        <w:t>serviços de segurança e saúde no trabalho, incluindo os serviços de medicina do trabalho, onde são definidas as atribuições e as responsabilidades dos mesmos (47);</w:t>
      </w:r>
      <w:bookmarkEnd w:id="408"/>
      <w:bookmarkEnd w:id="409"/>
      <w:r w:rsidRPr="009A539C">
        <w:rPr>
          <w:rFonts w:ascii="Calibri" w:hAnsi="Calibri" w:cs="Calibri"/>
        </w:rPr>
        <w:t xml:space="preserve"> </w:t>
      </w:r>
    </w:p>
    <w:p w14:paraId="5982BDF8" w14:textId="77777777" w:rsidR="001E4931" w:rsidRPr="009A539C" w:rsidRDefault="001E4931" w:rsidP="00922B44">
      <w:pPr>
        <w:pStyle w:val="PargrafodaLista"/>
        <w:numPr>
          <w:ilvl w:val="0"/>
          <w:numId w:val="85"/>
        </w:numPr>
        <w:spacing w:line="360" w:lineRule="auto"/>
        <w:jc w:val="both"/>
        <w:rPr>
          <w:rFonts w:ascii="Calibri" w:hAnsi="Calibri" w:cs="Calibri"/>
        </w:rPr>
      </w:pPr>
      <w:bookmarkStart w:id="410" w:name="_Toc42511672"/>
      <w:bookmarkStart w:id="411" w:name="_Toc42514436"/>
      <w:r w:rsidRPr="009A539C">
        <w:rPr>
          <w:rFonts w:ascii="Calibri" w:hAnsi="Calibri" w:cs="Calibri"/>
        </w:rPr>
        <w:t>comissões de higiene, em que a convenção regula a sua constituição, funcionamento e atribuições (38);</w:t>
      </w:r>
      <w:bookmarkEnd w:id="410"/>
      <w:bookmarkEnd w:id="411"/>
    </w:p>
    <w:p w14:paraId="07BEB51B" w14:textId="77777777" w:rsidR="001E4931" w:rsidRPr="009A539C" w:rsidRDefault="001E4931" w:rsidP="00922B44">
      <w:pPr>
        <w:pStyle w:val="PargrafodaLista"/>
        <w:numPr>
          <w:ilvl w:val="0"/>
          <w:numId w:val="85"/>
        </w:numPr>
        <w:spacing w:line="360" w:lineRule="auto"/>
        <w:jc w:val="both"/>
        <w:rPr>
          <w:rFonts w:ascii="Calibri" w:hAnsi="Calibri" w:cs="Calibri"/>
        </w:rPr>
      </w:pPr>
      <w:bookmarkStart w:id="412" w:name="_Toc42511673"/>
      <w:bookmarkStart w:id="413" w:name="_Toc42514437"/>
      <w:r w:rsidRPr="009A539C">
        <w:rPr>
          <w:rFonts w:ascii="Calibri" w:hAnsi="Calibri" w:cs="Calibri"/>
        </w:rPr>
        <w:t>organização de emergência, prevendo-se equipamentos de primeiros socorros</w:t>
      </w:r>
      <w:r w:rsidRPr="009A539C">
        <w:rPr>
          <w:vertAlign w:val="superscript"/>
        </w:rPr>
        <w:footnoteReference w:id="86"/>
      </w:r>
      <w:r w:rsidRPr="009A539C">
        <w:rPr>
          <w:rFonts w:ascii="Calibri" w:hAnsi="Calibri" w:cs="Calibri"/>
        </w:rPr>
        <w:t>;</w:t>
      </w:r>
      <w:bookmarkEnd w:id="412"/>
      <w:bookmarkEnd w:id="413"/>
    </w:p>
    <w:p w14:paraId="3A367066" w14:textId="77777777" w:rsidR="001E4931" w:rsidRPr="009A539C" w:rsidRDefault="001E4931" w:rsidP="00922B44">
      <w:pPr>
        <w:pStyle w:val="PargrafodaLista"/>
        <w:numPr>
          <w:ilvl w:val="0"/>
          <w:numId w:val="85"/>
        </w:numPr>
        <w:spacing w:line="360" w:lineRule="auto"/>
        <w:jc w:val="both"/>
        <w:rPr>
          <w:rFonts w:ascii="Calibri" w:hAnsi="Calibri" w:cs="Calibri"/>
        </w:rPr>
      </w:pPr>
      <w:bookmarkStart w:id="414" w:name="_Toc42511674"/>
      <w:bookmarkStart w:id="415" w:name="_Toc42514438"/>
      <w:r w:rsidRPr="009A539C">
        <w:rPr>
          <w:rFonts w:ascii="Calibri" w:hAnsi="Calibri" w:cs="Calibri"/>
        </w:rPr>
        <w:t>medidas de avaliação de riscos específicos para proteção da trabalhadora grávida e atribuição de outras tarefas (13)</w:t>
      </w:r>
      <w:r w:rsidRPr="009A539C">
        <w:rPr>
          <w:vertAlign w:val="superscript"/>
        </w:rPr>
        <w:footnoteReference w:id="87"/>
      </w:r>
      <w:r w:rsidRPr="009A539C">
        <w:rPr>
          <w:rFonts w:ascii="Calibri" w:hAnsi="Calibri" w:cs="Calibri"/>
        </w:rPr>
        <w:t>.</w:t>
      </w:r>
      <w:bookmarkEnd w:id="414"/>
      <w:bookmarkEnd w:id="415"/>
    </w:p>
    <w:p w14:paraId="5582DD9C" w14:textId="77777777" w:rsidR="001E4931" w:rsidRPr="009A539C" w:rsidRDefault="001E4931" w:rsidP="00B45708">
      <w:pPr>
        <w:spacing w:line="360" w:lineRule="auto"/>
        <w:jc w:val="both"/>
        <w:rPr>
          <w:rFonts w:ascii="Calibri" w:hAnsi="Calibri" w:cs="Calibri"/>
        </w:rPr>
      </w:pPr>
      <w:bookmarkStart w:id="416" w:name="_Toc42511675"/>
      <w:bookmarkStart w:id="417" w:name="_Toc42514439"/>
      <w:r w:rsidRPr="009A539C">
        <w:rPr>
          <w:rFonts w:ascii="Calibri" w:hAnsi="Calibri" w:cs="Calibri"/>
        </w:rPr>
        <w:t>No âmbito dos exames médicos, surgem, cada vez mais amiúde, a referência ao bem estar físico e psíquico dos trabalhadores</w:t>
      </w:r>
      <w:r w:rsidRPr="009A539C">
        <w:rPr>
          <w:rFonts w:ascii="Calibri" w:hAnsi="Calibri" w:cs="Calibri"/>
          <w:vertAlign w:val="superscript"/>
        </w:rPr>
        <w:footnoteReference w:id="88"/>
      </w:r>
      <w:r w:rsidRPr="009A539C">
        <w:rPr>
          <w:rFonts w:ascii="Calibri" w:hAnsi="Calibri" w:cs="Calibri"/>
        </w:rPr>
        <w:t xml:space="preserve"> o que, de algum modo, é tributário das relações de trabalho da era digital e da intensificação dos riscos profissionais associados ao stress e ao assédio por meios tecnológicos </w:t>
      </w:r>
      <w:r w:rsidR="00975288" w:rsidRPr="009A539C">
        <w:rPr>
          <w:rFonts w:ascii="Calibri" w:hAnsi="Calibri" w:cs="Calibri"/>
        </w:rPr>
        <w:t>.</w:t>
      </w:r>
      <w:bookmarkEnd w:id="416"/>
      <w:bookmarkEnd w:id="417"/>
      <w:r w:rsidRPr="009A539C">
        <w:rPr>
          <w:rFonts w:ascii="Calibri" w:hAnsi="Calibri" w:cs="Calibri"/>
        </w:rPr>
        <w:t xml:space="preserve"> </w:t>
      </w:r>
    </w:p>
    <w:p w14:paraId="187C7A5F" w14:textId="77777777" w:rsidR="001E4931" w:rsidRPr="009A539C" w:rsidRDefault="001E4931" w:rsidP="00B45708">
      <w:pPr>
        <w:spacing w:line="360" w:lineRule="auto"/>
        <w:jc w:val="both"/>
        <w:rPr>
          <w:rFonts w:ascii="Calibri" w:hAnsi="Calibri" w:cs="Calibri"/>
        </w:rPr>
      </w:pPr>
      <w:bookmarkStart w:id="418" w:name="_Toc42511676"/>
      <w:bookmarkStart w:id="419" w:name="_Toc42514440"/>
      <w:r w:rsidRPr="009A539C">
        <w:rPr>
          <w:rFonts w:ascii="Calibri" w:hAnsi="Calibri" w:cs="Calibri"/>
        </w:rPr>
        <w:t>Por outro lado, e na linha do observado no relatório de 2018, o tema da segurança e saúde no trabalho surge, por vezes, no contexto de uma área de confluência com a proteção dos direitos de personalidade do trabalhador, em particular no que toca à proteção de dados pessoais. Embora ainda não de forma generalizada, as convenções coletivas continuam a refletir essas preocupações relativamente a dois aspetos:</w:t>
      </w:r>
      <w:bookmarkEnd w:id="418"/>
      <w:bookmarkEnd w:id="419"/>
    </w:p>
    <w:p w14:paraId="7A6F5A09" w14:textId="77777777" w:rsidR="001E4931" w:rsidRPr="009A539C" w:rsidRDefault="001E4931" w:rsidP="00922B44">
      <w:pPr>
        <w:pStyle w:val="PargrafodaLista"/>
        <w:numPr>
          <w:ilvl w:val="0"/>
          <w:numId w:val="86"/>
        </w:numPr>
        <w:spacing w:line="360" w:lineRule="auto"/>
        <w:jc w:val="both"/>
        <w:rPr>
          <w:rFonts w:ascii="Calibri" w:hAnsi="Calibri" w:cs="Calibri"/>
        </w:rPr>
      </w:pPr>
      <w:bookmarkStart w:id="420" w:name="_Toc42511677"/>
      <w:bookmarkStart w:id="421" w:name="_Toc42514441"/>
      <w:r w:rsidRPr="009A539C">
        <w:rPr>
          <w:rFonts w:ascii="Calibri" w:hAnsi="Calibri" w:cs="Calibri"/>
        </w:rPr>
        <w:t>no dever de confidencialidade e reserva dos dados sobre a saúde do trabalhador –  a propósito, por exemplo, da realização de exames médicos no âmbito da SST</w:t>
      </w:r>
      <w:r w:rsidRPr="009A539C">
        <w:rPr>
          <w:vertAlign w:val="superscript"/>
        </w:rPr>
        <w:footnoteReference w:id="89"/>
      </w:r>
      <w:r w:rsidRPr="009A539C">
        <w:rPr>
          <w:rFonts w:ascii="Calibri" w:hAnsi="Calibri" w:cs="Calibri"/>
        </w:rPr>
        <w:t xml:space="preserve"> sobre o estado de saúde do trabalhador</w:t>
      </w:r>
      <w:r w:rsidRPr="009A539C">
        <w:rPr>
          <w:vertAlign w:val="superscript"/>
        </w:rPr>
        <w:footnoteReference w:id="90"/>
      </w:r>
      <w:r w:rsidRPr="009A539C">
        <w:rPr>
          <w:rFonts w:ascii="Calibri" w:hAnsi="Calibri" w:cs="Calibri"/>
          <w:vertAlign w:val="superscript"/>
        </w:rPr>
        <w:t xml:space="preserve"> , </w:t>
      </w:r>
      <w:r w:rsidRPr="009A539C">
        <w:rPr>
          <w:rFonts w:ascii="Calibri" w:hAnsi="Calibri" w:cs="Calibri"/>
        </w:rPr>
        <w:t>que devem ser arquivados na medida do necessário</w:t>
      </w:r>
      <w:r w:rsidRPr="009A539C">
        <w:rPr>
          <w:vertAlign w:val="superscript"/>
        </w:rPr>
        <w:footnoteReference w:id="91"/>
      </w:r>
      <w:r w:rsidRPr="009A539C">
        <w:rPr>
          <w:rFonts w:ascii="Calibri" w:hAnsi="Calibri" w:cs="Calibri"/>
        </w:rPr>
        <w:t>, ou  de testes para  controle de alcoolemia ou de estupefacientes</w:t>
      </w:r>
      <w:r w:rsidRPr="009A539C">
        <w:rPr>
          <w:vertAlign w:val="superscript"/>
        </w:rPr>
        <w:footnoteReference w:id="92"/>
      </w:r>
      <w:r w:rsidRPr="009A539C">
        <w:rPr>
          <w:rFonts w:ascii="Calibri" w:hAnsi="Calibri" w:cs="Calibri"/>
        </w:rPr>
        <w:t>.</w:t>
      </w:r>
      <w:bookmarkEnd w:id="420"/>
      <w:bookmarkEnd w:id="421"/>
    </w:p>
    <w:p w14:paraId="1CDE0F12" w14:textId="77777777" w:rsidR="001E4931" w:rsidRPr="009A539C" w:rsidRDefault="001E4931" w:rsidP="00922B44">
      <w:pPr>
        <w:pStyle w:val="PargrafodaLista"/>
        <w:numPr>
          <w:ilvl w:val="0"/>
          <w:numId w:val="86"/>
        </w:numPr>
        <w:spacing w:line="360" w:lineRule="auto"/>
        <w:jc w:val="both"/>
        <w:rPr>
          <w:rFonts w:ascii="Calibri" w:hAnsi="Calibri" w:cs="Calibri"/>
        </w:rPr>
      </w:pPr>
      <w:bookmarkStart w:id="422" w:name="_Toc42511678"/>
      <w:bookmarkStart w:id="423" w:name="_Toc42514442"/>
      <w:r w:rsidRPr="009A539C">
        <w:rPr>
          <w:rFonts w:ascii="Calibri" w:hAnsi="Calibri" w:cs="Calibri"/>
        </w:rPr>
        <w:t>na tutela do respeito da privacidade do trabalhador, na realização de teste de alcoolemia ou de estupefacientes, em si mesmo, obrigando ao sigilo dos seus resultados  (sem prejuízo do acesso  do trabalhador e do médico da empresa) e a confidencialidade da informação a quem nele participa, a não ser na medida do necessário para a efetivar a responsabilidade disciplinar, quando for o caso</w:t>
      </w:r>
      <w:r w:rsidRPr="009A539C">
        <w:rPr>
          <w:vertAlign w:val="superscript"/>
        </w:rPr>
        <w:footnoteReference w:id="93"/>
      </w:r>
      <w:r w:rsidRPr="009A539C">
        <w:rPr>
          <w:rFonts w:ascii="Calibri" w:hAnsi="Calibri" w:cs="Calibri"/>
        </w:rPr>
        <w:t xml:space="preserve"> .</w:t>
      </w:r>
      <w:bookmarkEnd w:id="422"/>
      <w:bookmarkEnd w:id="423"/>
      <w:r w:rsidRPr="009A539C">
        <w:rPr>
          <w:rFonts w:ascii="Calibri" w:hAnsi="Calibri" w:cs="Calibri"/>
        </w:rPr>
        <w:t xml:space="preserve"> </w:t>
      </w:r>
    </w:p>
    <w:p w14:paraId="0DF4EC80" w14:textId="77777777" w:rsidR="001E4931" w:rsidRPr="009A539C" w:rsidRDefault="001E4931" w:rsidP="00B45708">
      <w:pPr>
        <w:spacing w:line="360" w:lineRule="auto"/>
        <w:jc w:val="both"/>
        <w:rPr>
          <w:rFonts w:ascii="Calibri" w:hAnsi="Calibri" w:cs="Calibri"/>
        </w:rPr>
      </w:pPr>
      <w:bookmarkStart w:id="424" w:name="_Toc42511679"/>
      <w:bookmarkStart w:id="425" w:name="_Toc42514443"/>
      <w:r w:rsidRPr="009A539C">
        <w:rPr>
          <w:rFonts w:ascii="Calibri" w:hAnsi="Calibri" w:cs="Calibri"/>
        </w:rPr>
        <w:t>No que respeita à prevenção e controle de alcoolemia ou de uso de estupefacientes, a matéria é regulada em 22 convenções</w:t>
      </w:r>
      <w:r w:rsidRPr="009A539C">
        <w:rPr>
          <w:rFonts w:ascii="Calibri" w:hAnsi="Calibri" w:cs="Calibri"/>
          <w:vertAlign w:val="superscript"/>
        </w:rPr>
        <w:footnoteReference w:id="94"/>
      </w:r>
      <w:r w:rsidRPr="009A539C">
        <w:rPr>
          <w:rFonts w:ascii="Calibri" w:hAnsi="Calibri" w:cs="Calibri"/>
        </w:rPr>
        <w:t>, maioritariamente dos setores dos transportes, comércio de combustíveis e indústria.</w:t>
      </w:r>
      <w:r w:rsidRPr="009A539C">
        <w:rPr>
          <w:rFonts w:ascii="Calibri" w:hAnsi="Calibri" w:cs="Calibri"/>
          <w:vertAlign w:val="superscript"/>
        </w:rPr>
        <w:footnoteReference w:id="95"/>
      </w:r>
      <w:r w:rsidRPr="009A539C">
        <w:rPr>
          <w:rFonts w:ascii="Calibri" w:hAnsi="Calibri" w:cs="Calibri"/>
        </w:rPr>
        <w:t xml:space="preserve"> Neste âmbito, proíbe-se a prestação de atividade sob o efeito do álcool</w:t>
      </w:r>
      <w:r w:rsidRPr="009A539C">
        <w:rPr>
          <w:rFonts w:ascii="Calibri" w:hAnsi="Calibri" w:cs="Calibri"/>
          <w:vertAlign w:val="superscript"/>
        </w:rPr>
        <w:footnoteReference w:id="96"/>
      </w:r>
      <w:r w:rsidRPr="009A539C">
        <w:rPr>
          <w:rFonts w:ascii="Calibri" w:hAnsi="Calibri" w:cs="Calibri"/>
        </w:rPr>
        <w:t>, define-se o procedimento dos testes para o seu apuramento</w:t>
      </w:r>
      <w:r w:rsidRPr="009A539C">
        <w:rPr>
          <w:rFonts w:ascii="Calibri" w:hAnsi="Calibri" w:cs="Calibri"/>
          <w:vertAlign w:val="superscript"/>
        </w:rPr>
        <w:footnoteReference w:id="97"/>
      </w:r>
      <w:r w:rsidRPr="009A539C">
        <w:rPr>
          <w:rFonts w:ascii="Calibri" w:hAnsi="Calibri" w:cs="Calibri"/>
        </w:rPr>
        <w:t xml:space="preserve"> e as consequências no caso de o teste ser positivo</w:t>
      </w:r>
      <w:r w:rsidRPr="009A539C">
        <w:rPr>
          <w:rFonts w:ascii="Calibri" w:hAnsi="Calibri" w:cs="Calibri"/>
          <w:vertAlign w:val="superscript"/>
        </w:rPr>
        <w:footnoteReference w:id="98"/>
      </w:r>
      <w:r w:rsidRPr="009A539C">
        <w:rPr>
          <w:rFonts w:ascii="Calibri" w:hAnsi="Calibri" w:cs="Calibri"/>
        </w:rPr>
        <w:t>, acautelando-se, em todo o caso, a privacidade do trabalhador.</w:t>
      </w:r>
      <w:bookmarkEnd w:id="424"/>
      <w:bookmarkEnd w:id="425"/>
      <w:r w:rsidRPr="009A539C">
        <w:rPr>
          <w:rFonts w:ascii="Calibri" w:hAnsi="Calibri" w:cs="Calibri"/>
        </w:rPr>
        <w:t xml:space="preserve">   </w:t>
      </w:r>
    </w:p>
    <w:p w14:paraId="08219E81" w14:textId="77777777" w:rsidR="001E4931" w:rsidRPr="009A539C" w:rsidRDefault="001E4931" w:rsidP="00B45708">
      <w:pPr>
        <w:spacing w:line="360" w:lineRule="auto"/>
        <w:jc w:val="both"/>
        <w:rPr>
          <w:rFonts w:ascii="Calibri" w:hAnsi="Calibri" w:cs="Calibri"/>
        </w:rPr>
      </w:pPr>
      <w:bookmarkStart w:id="426" w:name="_Toc42511680"/>
      <w:bookmarkStart w:id="427" w:name="_Toc42514444"/>
      <w:r w:rsidRPr="009A539C">
        <w:rPr>
          <w:rFonts w:ascii="Calibri" w:hAnsi="Calibri" w:cs="Calibri"/>
        </w:rPr>
        <w:t>De um modo geral, nas várias disposições sobre o tema encontra-se também subjacente o respeito do princípio da proporcionalidade entre a ilicitude da prática, a responsabilidade do trabalhador e o uso dessa informação exclusivamente com o propósito de proteção do trabalhador e de terceiros.</w:t>
      </w:r>
      <w:bookmarkEnd w:id="426"/>
      <w:bookmarkEnd w:id="427"/>
      <w:r w:rsidRPr="009A539C">
        <w:rPr>
          <w:rFonts w:ascii="Calibri" w:hAnsi="Calibri" w:cs="Calibri"/>
        </w:rPr>
        <w:t xml:space="preserve"> </w:t>
      </w:r>
    </w:p>
    <w:p w14:paraId="0CCA7097" w14:textId="77777777" w:rsidR="001E4931" w:rsidRPr="009A539C" w:rsidRDefault="001E4931" w:rsidP="00B45708">
      <w:pPr>
        <w:spacing w:line="360" w:lineRule="auto"/>
        <w:jc w:val="both"/>
        <w:rPr>
          <w:rFonts w:ascii="Calibri" w:hAnsi="Calibri" w:cs="Calibri"/>
        </w:rPr>
      </w:pPr>
      <w:bookmarkStart w:id="428" w:name="_Toc42511681"/>
      <w:bookmarkStart w:id="429" w:name="_Toc42514445"/>
      <w:r w:rsidRPr="009A539C">
        <w:rPr>
          <w:rFonts w:ascii="Calibri" w:hAnsi="Calibri" w:cs="Calibri"/>
        </w:rPr>
        <w:t>Num outro prisma de proteção do trabalhador, continuam a regular-se os conteúdos dedicados à reparação de acidentes de trabalho e de doenças profissionais</w:t>
      </w:r>
      <w:r w:rsidRPr="009A539C">
        <w:rPr>
          <w:rFonts w:ascii="Calibri" w:hAnsi="Calibri" w:cs="Calibri"/>
          <w:vertAlign w:val="superscript"/>
        </w:rPr>
        <w:footnoteReference w:id="99"/>
      </w:r>
      <w:r w:rsidRPr="009A539C">
        <w:rPr>
          <w:rFonts w:ascii="Calibri" w:hAnsi="Calibri" w:cs="Calibri"/>
        </w:rPr>
        <w:t>. Nalguns casos, destinados a proteger os trabalhadores durante o período de ausência e de tratamento, traduzidos em formas de compensação complementares aos encargos suportados pela seguradora ou pela segurança social</w:t>
      </w:r>
      <w:r w:rsidRPr="009A539C">
        <w:rPr>
          <w:rFonts w:ascii="Calibri" w:hAnsi="Calibri" w:cs="Calibri"/>
          <w:vertAlign w:val="superscript"/>
        </w:rPr>
        <w:footnoteReference w:id="100"/>
      </w:r>
      <w:r w:rsidRPr="009A539C">
        <w:rPr>
          <w:rFonts w:ascii="Calibri" w:hAnsi="Calibri" w:cs="Calibri"/>
        </w:rPr>
        <w:t>. Noutras situações, destinadas a apoiar esses trabalhadores na fase subsequente, de regresso à empresa, e quando perderam algumas das suas capacidades e competências, em virtude do acidente de trabalho sofrido ou da doença profissional contraída</w:t>
      </w:r>
      <w:r w:rsidRPr="009A539C">
        <w:rPr>
          <w:rFonts w:ascii="Calibri" w:hAnsi="Calibri" w:cs="Calibri"/>
          <w:vertAlign w:val="superscript"/>
        </w:rPr>
        <w:footnoteReference w:id="101"/>
      </w:r>
      <w:r w:rsidRPr="009A539C">
        <w:rPr>
          <w:rFonts w:ascii="Calibri" w:hAnsi="Calibri" w:cs="Calibri"/>
        </w:rPr>
        <w:t>.</w:t>
      </w:r>
      <w:bookmarkEnd w:id="428"/>
      <w:bookmarkEnd w:id="429"/>
      <w:r w:rsidRPr="009A539C">
        <w:rPr>
          <w:rFonts w:ascii="Calibri" w:hAnsi="Calibri" w:cs="Calibri"/>
        </w:rPr>
        <w:t xml:space="preserve"> </w:t>
      </w:r>
    </w:p>
    <w:p w14:paraId="4D4E0D66" w14:textId="3D2244A0" w:rsidR="001E4931" w:rsidRPr="009A539C" w:rsidRDefault="001E4931" w:rsidP="00B45708">
      <w:pPr>
        <w:spacing w:line="360" w:lineRule="auto"/>
        <w:jc w:val="both"/>
        <w:rPr>
          <w:rFonts w:ascii="Calibri" w:hAnsi="Calibri" w:cs="Calibri"/>
        </w:rPr>
      </w:pPr>
      <w:bookmarkStart w:id="430" w:name="_Toc42511682"/>
      <w:bookmarkStart w:id="431" w:name="_Toc42514446"/>
      <w:r w:rsidRPr="009A539C">
        <w:rPr>
          <w:rFonts w:ascii="Calibri" w:hAnsi="Calibri" w:cs="Calibri"/>
        </w:rPr>
        <w:t>A propósito do regresso à empresa do trabalhador nessas condições</w:t>
      </w:r>
      <w:r w:rsidR="006D6217" w:rsidRPr="009A539C">
        <w:rPr>
          <w:rFonts w:ascii="Calibri" w:hAnsi="Calibri" w:cs="Calibri"/>
        </w:rPr>
        <w:t xml:space="preserve">, encontram-se as </w:t>
      </w:r>
      <w:r w:rsidRPr="009A539C">
        <w:rPr>
          <w:rFonts w:ascii="Calibri" w:hAnsi="Calibri" w:cs="Calibri"/>
        </w:rPr>
        <w:t xml:space="preserve">previsões </w:t>
      </w:r>
      <w:r w:rsidR="006A4A91" w:rsidRPr="009A539C">
        <w:rPr>
          <w:rFonts w:ascii="Calibri" w:hAnsi="Calibri" w:cs="Calibri"/>
        </w:rPr>
        <w:t>habituais e</w:t>
      </w:r>
      <w:r w:rsidRPr="009A539C">
        <w:rPr>
          <w:rFonts w:ascii="Calibri" w:hAnsi="Calibri" w:cs="Calibri"/>
        </w:rPr>
        <w:t xml:space="preserve"> que se dedicam a dois domínios essenciais</w:t>
      </w:r>
      <w:r w:rsidRPr="009A539C">
        <w:rPr>
          <w:rFonts w:ascii="Calibri" w:hAnsi="Calibri" w:cs="Calibri"/>
          <w:vertAlign w:val="superscript"/>
        </w:rPr>
        <w:footnoteReference w:id="102"/>
      </w:r>
      <w:r w:rsidRPr="009A539C">
        <w:rPr>
          <w:rFonts w:ascii="Calibri" w:hAnsi="Calibri" w:cs="Calibri"/>
        </w:rPr>
        <w:t>:</w:t>
      </w:r>
      <w:bookmarkEnd w:id="430"/>
      <w:bookmarkEnd w:id="431"/>
    </w:p>
    <w:p w14:paraId="4664D2E7" w14:textId="77777777" w:rsidR="001E4931" w:rsidRPr="009A539C" w:rsidRDefault="001E4931" w:rsidP="00922B44">
      <w:pPr>
        <w:pStyle w:val="PargrafodaLista"/>
        <w:numPr>
          <w:ilvl w:val="0"/>
          <w:numId w:val="87"/>
        </w:numPr>
        <w:spacing w:line="360" w:lineRule="auto"/>
        <w:jc w:val="both"/>
        <w:rPr>
          <w:rFonts w:ascii="Calibri" w:hAnsi="Calibri" w:cs="Calibri"/>
        </w:rPr>
      </w:pPr>
      <w:bookmarkStart w:id="432" w:name="_Toc42511683"/>
      <w:bookmarkStart w:id="433" w:name="_Toc42514447"/>
      <w:r w:rsidRPr="009A539C">
        <w:rPr>
          <w:rFonts w:ascii="Calibri" w:hAnsi="Calibri" w:cs="Calibri"/>
        </w:rPr>
        <w:t>reconversão profissional, dando, por vezes, lugar ao reenquadramento do trabalhador num outro posto de trabalho e à frequência de formação profissional</w:t>
      </w:r>
      <w:r w:rsidRPr="009A539C">
        <w:rPr>
          <w:vertAlign w:val="superscript"/>
        </w:rPr>
        <w:footnoteReference w:id="103"/>
      </w:r>
      <w:r w:rsidRPr="009A539C">
        <w:rPr>
          <w:rFonts w:ascii="Calibri" w:hAnsi="Calibri" w:cs="Calibri"/>
        </w:rPr>
        <w:t>;</w:t>
      </w:r>
      <w:bookmarkEnd w:id="432"/>
      <w:bookmarkEnd w:id="433"/>
    </w:p>
    <w:p w14:paraId="6936A1CB" w14:textId="7D7DEAF3" w:rsidR="007A3412" w:rsidRPr="009A539C" w:rsidRDefault="001E4931" w:rsidP="00922B44">
      <w:pPr>
        <w:pStyle w:val="PargrafodaLista"/>
        <w:numPr>
          <w:ilvl w:val="0"/>
          <w:numId w:val="87"/>
        </w:numPr>
        <w:spacing w:line="360" w:lineRule="auto"/>
        <w:jc w:val="both"/>
        <w:rPr>
          <w:rFonts w:ascii="Calibri" w:hAnsi="Calibri" w:cs="Calibri"/>
        </w:rPr>
      </w:pPr>
      <w:bookmarkStart w:id="434" w:name="_Toc42511684"/>
      <w:bookmarkStart w:id="435" w:name="_Toc42514448"/>
      <w:r w:rsidRPr="009A539C">
        <w:rPr>
          <w:rFonts w:ascii="Calibri" w:hAnsi="Calibri" w:cs="Calibri"/>
        </w:rPr>
        <w:t>delimitação dos encargos suportados pelo empregador, incluindo os custos da diferença de salário, em situações em que o trabalhador é transferido para outro posto de trabalho de categoria inferior</w:t>
      </w:r>
      <w:r w:rsidRPr="009A539C">
        <w:rPr>
          <w:vertAlign w:val="superscript"/>
        </w:rPr>
        <w:footnoteReference w:id="104"/>
      </w:r>
      <w:r w:rsidR="007A3412" w:rsidRPr="009A539C">
        <w:rPr>
          <w:rFonts w:ascii="Calibri" w:hAnsi="Calibri" w:cs="Calibri"/>
          <w:vertAlign w:val="superscript"/>
        </w:rPr>
        <w:t xml:space="preserve"> </w:t>
      </w:r>
      <w:r w:rsidR="007A3412" w:rsidRPr="009A539C">
        <w:rPr>
          <w:rFonts w:ascii="Calibri" w:hAnsi="Calibri" w:cs="Calibri"/>
        </w:rPr>
        <w:t>.</w:t>
      </w:r>
      <w:bookmarkEnd w:id="434"/>
      <w:bookmarkEnd w:id="435"/>
    </w:p>
    <w:p w14:paraId="60814504" w14:textId="77777777" w:rsidR="00B45708" w:rsidRPr="009A539C" w:rsidRDefault="00B45708" w:rsidP="00B45708">
      <w:pPr>
        <w:spacing w:line="360" w:lineRule="auto"/>
        <w:jc w:val="both"/>
        <w:rPr>
          <w:rFonts w:ascii="Calibri" w:hAnsi="Calibri" w:cs="Calibri"/>
        </w:rPr>
      </w:pPr>
    </w:p>
    <w:p w14:paraId="6FE9D6BD" w14:textId="60312F93" w:rsidR="001E4931" w:rsidRPr="009A539C" w:rsidRDefault="001E4931" w:rsidP="00922B44">
      <w:pPr>
        <w:pStyle w:val="PargrafodaLista"/>
        <w:numPr>
          <w:ilvl w:val="0"/>
          <w:numId w:val="73"/>
        </w:numPr>
        <w:spacing w:line="360" w:lineRule="auto"/>
        <w:ind w:left="426" w:hanging="426"/>
        <w:jc w:val="both"/>
        <w:rPr>
          <w:rFonts w:ascii="Calibri" w:hAnsi="Calibri" w:cs="Calibri"/>
        </w:rPr>
      </w:pPr>
      <w:bookmarkStart w:id="436" w:name="_Toc42511685"/>
      <w:bookmarkStart w:id="437" w:name="_Toc42514449"/>
      <w:r w:rsidRPr="009A539C">
        <w:rPr>
          <w:rFonts w:ascii="Calibri" w:hAnsi="Calibri" w:cs="Calibri"/>
          <w:b/>
        </w:rPr>
        <w:t xml:space="preserve">Medidas que visem a efetiva aplicação do princípio da igualdade e não discriminação </w:t>
      </w:r>
      <w:r w:rsidRPr="009A539C">
        <w:rPr>
          <w:rFonts w:ascii="Calibri" w:hAnsi="Calibri" w:cs="Calibri"/>
        </w:rPr>
        <w:t>[art.492.º, 2, d), do CT a articular com os arts. 23.º a 32.º. e também com os arts. 33.º e seguintes].</w:t>
      </w:r>
      <w:bookmarkEnd w:id="436"/>
      <w:bookmarkEnd w:id="437"/>
    </w:p>
    <w:p w14:paraId="78E0035F" w14:textId="77777777" w:rsidR="001E4931" w:rsidRPr="009A539C" w:rsidRDefault="001E4931" w:rsidP="00B45708">
      <w:pPr>
        <w:spacing w:line="360" w:lineRule="auto"/>
        <w:jc w:val="both"/>
        <w:rPr>
          <w:rFonts w:ascii="Calibri" w:hAnsi="Calibri" w:cs="Calibri"/>
        </w:rPr>
      </w:pPr>
      <w:bookmarkStart w:id="438" w:name="_Toc42511686"/>
      <w:bookmarkStart w:id="439" w:name="_Toc42514450"/>
      <w:r w:rsidRPr="009A539C">
        <w:rPr>
          <w:rFonts w:ascii="Calibri" w:hAnsi="Calibri" w:cs="Calibri"/>
        </w:rPr>
        <w:t>As projeções do princípio da igualdade, que integra a matriz constitucional das relações laborais, são múltiplas e não se esgotam na igualdade de género e na conciliação da vida pessoal e laboral. O Código do Trabalho sistematiza em secções próprias a igualdade e não discriminação e a parentalidade, cuja tutela foi reforçada em 2019, com a Lei n.º 90/2019, de 4 de setembro</w:t>
      </w:r>
      <w:r w:rsidRPr="009A539C">
        <w:rPr>
          <w:rFonts w:ascii="Calibri" w:hAnsi="Calibri" w:cs="Calibri"/>
          <w:vertAlign w:val="superscript"/>
        </w:rPr>
        <w:footnoteReference w:id="105"/>
      </w:r>
      <w:r w:rsidRPr="009A539C">
        <w:rPr>
          <w:rFonts w:ascii="Calibri" w:hAnsi="Calibri" w:cs="Calibri"/>
        </w:rPr>
        <w:t>.  As fortes co</w:t>
      </w:r>
      <w:r w:rsidR="007B0226" w:rsidRPr="009A539C">
        <w:rPr>
          <w:rFonts w:ascii="Calibri" w:hAnsi="Calibri" w:cs="Calibri"/>
        </w:rPr>
        <w:t xml:space="preserve">nexões entre os dois domínios, </w:t>
      </w:r>
      <w:r w:rsidRPr="009A539C">
        <w:rPr>
          <w:rFonts w:ascii="Calibri" w:hAnsi="Calibri" w:cs="Calibri"/>
        </w:rPr>
        <w:t xml:space="preserve"> serão afloradas  no ponto 4.4.7.</w:t>
      </w:r>
      <w:bookmarkEnd w:id="438"/>
      <w:bookmarkEnd w:id="439"/>
    </w:p>
    <w:p w14:paraId="44EE5750" w14:textId="77777777" w:rsidR="001E4931" w:rsidRPr="009A539C" w:rsidRDefault="001E4931" w:rsidP="00B45708">
      <w:pPr>
        <w:spacing w:line="360" w:lineRule="auto"/>
        <w:jc w:val="both"/>
        <w:rPr>
          <w:rFonts w:ascii="Calibri" w:hAnsi="Calibri" w:cs="Calibri"/>
        </w:rPr>
      </w:pPr>
      <w:bookmarkStart w:id="440" w:name="_Toc42511687"/>
      <w:bookmarkStart w:id="441" w:name="_Toc42514451"/>
      <w:r w:rsidRPr="009A539C">
        <w:rPr>
          <w:rFonts w:ascii="Calibri" w:hAnsi="Calibri" w:cs="Calibri"/>
        </w:rPr>
        <w:t>Num entendimento alargado, incluem-se aqui temas bastante diversificados, compreendendo:</w:t>
      </w:r>
      <w:bookmarkEnd w:id="440"/>
      <w:bookmarkEnd w:id="441"/>
    </w:p>
    <w:p w14:paraId="06985F06" w14:textId="77777777" w:rsidR="001E4931" w:rsidRPr="009A539C" w:rsidRDefault="001E4931" w:rsidP="00922B44">
      <w:pPr>
        <w:pStyle w:val="PargrafodaLista"/>
        <w:numPr>
          <w:ilvl w:val="0"/>
          <w:numId w:val="68"/>
        </w:numPr>
        <w:spacing w:line="360" w:lineRule="auto"/>
        <w:jc w:val="both"/>
        <w:rPr>
          <w:rFonts w:ascii="Calibri" w:hAnsi="Calibri" w:cs="Calibri"/>
        </w:rPr>
      </w:pPr>
      <w:bookmarkStart w:id="442" w:name="_Toc42511688"/>
      <w:bookmarkStart w:id="443" w:name="_Toc42514452"/>
      <w:r w:rsidRPr="009A539C">
        <w:rPr>
          <w:rFonts w:ascii="Calibri" w:hAnsi="Calibri" w:cs="Calibri"/>
        </w:rPr>
        <w:t>parentalidade e tempos de trabalho;</w:t>
      </w:r>
      <w:bookmarkEnd w:id="442"/>
      <w:bookmarkEnd w:id="443"/>
      <w:r w:rsidRPr="009A539C">
        <w:rPr>
          <w:rFonts w:ascii="Calibri" w:hAnsi="Calibri" w:cs="Calibri"/>
        </w:rPr>
        <w:t xml:space="preserve"> </w:t>
      </w:r>
    </w:p>
    <w:p w14:paraId="1E821D2F" w14:textId="77777777" w:rsidR="001E4931" w:rsidRPr="009A539C" w:rsidRDefault="001E4931" w:rsidP="00922B44">
      <w:pPr>
        <w:pStyle w:val="PargrafodaLista"/>
        <w:numPr>
          <w:ilvl w:val="0"/>
          <w:numId w:val="68"/>
        </w:numPr>
        <w:spacing w:line="360" w:lineRule="auto"/>
        <w:jc w:val="both"/>
        <w:rPr>
          <w:rFonts w:ascii="Calibri" w:hAnsi="Calibri" w:cs="Calibri"/>
        </w:rPr>
      </w:pPr>
      <w:bookmarkStart w:id="444" w:name="_Toc42511689"/>
      <w:bookmarkStart w:id="445" w:name="_Toc42514453"/>
      <w:r w:rsidRPr="009A539C">
        <w:rPr>
          <w:rFonts w:ascii="Calibri" w:hAnsi="Calibri" w:cs="Calibri"/>
        </w:rPr>
        <w:t>parentalidade e gozo de férias;</w:t>
      </w:r>
      <w:bookmarkEnd w:id="444"/>
      <w:bookmarkEnd w:id="445"/>
    </w:p>
    <w:p w14:paraId="00A649CD" w14:textId="77777777" w:rsidR="001E4931" w:rsidRPr="009A539C" w:rsidRDefault="001E4931" w:rsidP="00922B44">
      <w:pPr>
        <w:pStyle w:val="PargrafodaLista"/>
        <w:numPr>
          <w:ilvl w:val="0"/>
          <w:numId w:val="68"/>
        </w:numPr>
        <w:spacing w:line="360" w:lineRule="auto"/>
        <w:jc w:val="both"/>
        <w:rPr>
          <w:rFonts w:ascii="Calibri" w:hAnsi="Calibri" w:cs="Calibri"/>
        </w:rPr>
      </w:pPr>
      <w:bookmarkStart w:id="446" w:name="_Toc42511690"/>
      <w:bookmarkStart w:id="447" w:name="_Toc42514454"/>
      <w:r w:rsidRPr="009A539C">
        <w:rPr>
          <w:rFonts w:ascii="Calibri" w:hAnsi="Calibri" w:cs="Calibri"/>
        </w:rPr>
        <w:t xml:space="preserve">contratação a tempo parcial fundada em razões de parentalidade  ou outras razões familiares </w:t>
      </w:r>
      <w:r w:rsidRPr="009A539C">
        <w:rPr>
          <w:vertAlign w:val="superscript"/>
        </w:rPr>
        <w:footnoteReference w:id="106"/>
      </w:r>
      <w:r w:rsidRPr="009A539C">
        <w:rPr>
          <w:rFonts w:ascii="Calibri" w:hAnsi="Calibri" w:cs="Calibri"/>
        </w:rPr>
        <w:t>;</w:t>
      </w:r>
      <w:bookmarkEnd w:id="446"/>
      <w:bookmarkEnd w:id="447"/>
    </w:p>
    <w:p w14:paraId="0669FA05" w14:textId="77777777" w:rsidR="001E4931" w:rsidRPr="009A539C" w:rsidRDefault="001E4931" w:rsidP="00922B44">
      <w:pPr>
        <w:pStyle w:val="PargrafodaLista"/>
        <w:numPr>
          <w:ilvl w:val="0"/>
          <w:numId w:val="68"/>
        </w:numPr>
        <w:spacing w:line="360" w:lineRule="auto"/>
        <w:jc w:val="both"/>
        <w:rPr>
          <w:rFonts w:ascii="Calibri" w:hAnsi="Calibri" w:cs="Calibri"/>
        </w:rPr>
      </w:pPr>
      <w:bookmarkStart w:id="448" w:name="_Toc42511691"/>
      <w:bookmarkStart w:id="449" w:name="_Toc42514455"/>
      <w:r w:rsidRPr="009A539C">
        <w:rPr>
          <w:rFonts w:ascii="Calibri" w:hAnsi="Calibri" w:cs="Calibri"/>
        </w:rPr>
        <w:t xml:space="preserve">contratação e enquadramento de trabalhadores portadores de deficiência </w:t>
      </w:r>
      <w:r w:rsidRPr="009A539C">
        <w:rPr>
          <w:vertAlign w:val="superscript"/>
        </w:rPr>
        <w:footnoteReference w:id="107"/>
      </w:r>
      <w:r w:rsidRPr="009A539C">
        <w:rPr>
          <w:rFonts w:ascii="Calibri" w:hAnsi="Calibri" w:cs="Calibri"/>
        </w:rPr>
        <w:t>;</w:t>
      </w:r>
      <w:bookmarkEnd w:id="448"/>
      <w:bookmarkEnd w:id="449"/>
    </w:p>
    <w:p w14:paraId="2AA93C4E" w14:textId="77777777" w:rsidR="001E4931" w:rsidRPr="009A539C" w:rsidRDefault="001E4931" w:rsidP="00922B44">
      <w:pPr>
        <w:pStyle w:val="PargrafodaLista"/>
        <w:numPr>
          <w:ilvl w:val="0"/>
          <w:numId w:val="68"/>
        </w:numPr>
        <w:spacing w:line="360" w:lineRule="auto"/>
        <w:jc w:val="both"/>
        <w:rPr>
          <w:rFonts w:ascii="Calibri" w:hAnsi="Calibri" w:cs="Calibri"/>
        </w:rPr>
      </w:pPr>
      <w:bookmarkStart w:id="450" w:name="_Toc42511692"/>
      <w:bookmarkStart w:id="451" w:name="_Toc42514456"/>
      <w:r w:rsidRPr="009A539C">
        <w:rPr>
          <w:rFonts w:ascii="Calibri" w:hAnsi="Calibri" w:cs="Calibri"/>
        </w:rPr>
        <w:t>enquadramento de trabalhadores vítimas de acidentes de trabalho ou doenças profissionais</w:t>
      </w:r>
      <w:r w:rsidRPr="009A539C">
        <w:rPr>
          <w:vertAlign w:val="superscript"/>
        </w:rPr>
        <w:footnoteReference w:id="108"/>
      </w:r>
      <w:r w:rsidRPr="009A539C">
        <w:rPr>
          <w:rFonts w:ascii="Calibri" w:hAnsi="Calibri" w:cs="Calibri"/>
        </w:rPr>
        <w:t>;</w:t>
      </w:r>
      <w:bookmarkEnd w:id="450"/>
      <w:bookmarkEnd w:id="451"/>
    </w:p>
    <w:p w14:paraId="397B3AEF" w14:textId="77777777" w:rsidR="001E4931" w:rsidRPr="009A539C" w:rsidRDefault="001E4931" w:rsidP="00922B44">
      <w:pPr>
        <w:pStyle w:val="PargrafodaLista"/>
        <w:numPr>
          <w:ilvl w:val="0"/>
          <w:numId w:val="68"/>
        </w:numPr>
        <w:spacing w:line="360" w:lineRule="auto"/>
        <w:jc w:val="both"/>
        <w:rPr>
          <w:rFonts w:ascii="Calibri" w:hAnsi="Calibri" w:cs="Calibri"/>
        </w:rPr>
      </w:pPr>
      <w:bookmarkStart w:id="452" w:name="_Toc42511693"/>
      <w:bookmarkStart w:id="453" w:name="_Toc42514457"/>
      <w:r w:rsidRPr="009A539C">
        <w:rPr>
          <w:rFonts w:ascii="Calibri" w:hAnsi="Calibri" w:cs="Calibri"/>
        </w:rPr>
        <w:t>assédio moral</w:t>
      </w:r>
      <w:r w:rsidRPr="009A539C">
        <w:rPr>
          <w:vertAlign w:val="superscript"/>
        </w:rPr>
        <w:footnoteReference w:id="109"/>
      </w:r>
      <w:r w:rsidRPr="009A539C">
        <w:rPr>
          <w:rFonts w:ascii="Calibri" w:hAnsi="Calibri" w:cs="Calibri"/>
        </w:rPr>
        <w:t xml:space="preserve"> ;</w:t>
      </w:r>
      <w:bookmarkEnd w:id="452"/>
      <w:bookmarkEnd w:id="453"/>
    </w:p>
    <w:p w14:paraId="4790BF06" w14:textId="77777777" w:rsidR="001E4931" w:rsidRPr="009A539C" w:rsidRDefault="001E4931" w:rsidP="00922B44">
      <w:pPr>
        <w:pStyle w:val="PargrafodaLista"/>
        <w:numPr>
          <w:ilvl w:val="0"/>
          <w:numId w:val="68"/>
        </w:numPr>
        <w:spacing w:line="360" w:lineRule="auto"/>
        <w:jc w:val="both"/>
        <w:rPr>
          <w:rFonts w:ascii="Calibri" w:hAnsi="Calibri" w:cs="Calibri"/>
        </w:rPr>
      </w:pPr>
      <w:bookmarkStart w:id="454" w:name="_Toc42511694"/>
      <w:bookmarkStart w:id="455" w:name="_Toc42514458"/>
      <w:r w:rsidRPr="009A539C">
        <w:rPr>
          <w:rFonts w:ascii="Calibri" w:hAnsi="Calibri" w:cs="Calibri"/>
        </w:rPr>
        <w:t>regras sobre não discriminação dos representantes das estruturas de representação coletiva dos trabalhadores, quanto a promoções ou remunerações</w:t>
      </w:r>
      <w:r w:rsidRPr="009A539C">
        <w:rPr>
          <w:vertAlign w:val="superscript"/>
        </w:rPr>
        <w:footnoteReference w:id="110"/>
      </w:r>
      <w:r w:rsidRPr="009A539C">
        <w:rPr>
          <w:rFonts w:ascii="Calibri" w:hAnsi="Calibri" w:cs="Calibri"/>
        </w:rPr>
        <w:t>;</w:t>
      </w:r>
      <w:bookmarkEnd w:id="454"/>
      <w:bookmarkEnd w:id="455"/>
    </w:p>
    <w:p w14:paraId="16FD2365" w14:textId="77777777" w:rsidR="001E4931" w:rsidRPr="009A539C" w:rsidRDefault="001E4931" w:rsidP="00922B44">
      <w:pPr>
        <w:pStyle w:val="PargrafodaLista"/>
        <w:numPr>
          <w:ilvl w:val="0"/>
          <w:numId w:val="68"/>
        </w:numPr>
        <w:spacing w:line="360" w:lineRule="auto"/>
        <w:jc w:val="both"/>
        <w:rPr>
          <w:rFonts w:ascii="Calibri" w:hAnsi="Calibri" w:cs="Calibri"/>
        </w:rPr>
      </w:pPr>
      <w:bookmarkStart w:id="456" w:name="_Toc42511695"/>
      <w:bookmarkStart w:id="457" w:name="_Toc42514459"/>
      <w:r w:rsidRPr="009A539C">
        <w:rPr>
          <w:rFonts w:ascii="Calibri" w:hAnsi="Calibri" w:cs="Calibri"/>
        </w:rPr>
        <w:t xml:space="preserve">proteção de </w:t>
      </w:r>
      <w:r w:rsidR="00E53121" w:rsidRPr="009A539C">
        <w:rPr>
          <w:rFonts w:ascii="Calibri" w:hAnsi="Calibri" w:cs="Calibri"/>
        </w:rPr>
        <w:t xml:space="preserve">certos </w:t>
      </w:r>
      <w:r w:rsidRPr="009A539C">
        <w:rPr>
          <w:rFonts w:ascii="Calibri" w:hAnsi="Calibri" w:cs="Calibri"/>
        </w:rPr>
        <w:t>trabalhadores</w:t>
      </w:r>
      <w:r w:rsidR="00E53121" w:rsidRPr="009A539C">
        <w:rPr>
          <w:rStyle w:val="Refdenotaderodap"/>
          <w:rFonts w:ascii="Calibri" w:hAnsi="Calibri" w:cs="Calibri"/>
        </w:rPr>
        <w:footnoteReference w:id="111"/>
      </w:r>
      <w:r w:rsidRPr="009A539C">
        <w:rPr>
          <w:rFonts w:ascii="Calibri" w:hAnsi="Calibri" w:cs="Calibri"/>
        </w:rPr>
        <w:t xml:space="preserve"> com doença, invalidez ou idade mais avançada, no sentido de  lhes promover condições de trabalho mais ajustadas </w:t>
      </w:r>
      <w:r w:rsidRPr="009A539C">
        <w:rPr>
          <w:vertAlign w:val="superscript"/>
        </w:rPr>
        <w:footnoteReference w:id="112"/>
      </w:r>
      <w:r w:rsidRPr="009A539C">
        <w:rPr>
          <w:rFonts w:ascii="Calibri" w:hAnsi="Calibri" w:cs="Calibri"/>
        </w:rPr>
        <w:t>;</w:t>
      </w:r>
      <w:bookmarkEnd w:id="456"/>
      <w:bookmarkEnd w:id="457"/>
      <w:r w:rsidRPr="009A539C">
        <w:rPr>
          <w:rFonts w:ascii="Calibri" w:hAnsi="Calibri" w:cs="Calibri"/>
        </w:rPr>
        <w:t xml:space="preserve">  </w:t>
      </w:r>
    </w:p>
    <w:p w14:paraId="0843A7D8" w14:textId="77777777" w:rsidR="001E4931" w:rsidRPr="009A539C" w:rsidRDefault="001E4931" w:rsidP="00922B44">
      <w:pPr>
        <w:pStyle w:val="PargrafodaLista"/>
        <w:numPr>
          <w:ilvl w:val="0"/>
          <w:numId w:val="68"/>
        </w:numPr>
        <w:spacing w:line="360" w:lineRule="auto"/>
        <w:jc w:val="both"/>
        <w:rPr>
          <w:rFonts w:ascii="Calibri" w:hAnsi="Calibri" w:cs="Calibri"/>
        </w:rPr>
      </w:pPr>
      <w:bookmarkStart w:id="458" w:name="_Toc42511696"/>
      <w:bookmarkStart w:id="459" w:name="_Toc42514460"/>
      <w:r w:rsidRPr="009A539C">
        <w:rPr>
          <w:rFonts w:ascii="Calibri" w:hAnsi="Calibri" w:cs="Calibri"/>
        </w:rPr>
        <w:t>acesso à formação profissional</w:t>
      </w:r>
      <w:r w:rsidRPr="009A539C">
        <w:rPr>
          <w:vertAlign w:val="superscript"/>
        </w:rPr>
        <w:footnoteReference w:id="113"/>
      </w:r>
      <w:r w:rsidRPr="009A539C">
        <w:rPr>
          <w:rFonts w:ascii="Calibri" w:hAnsi="Calibri" w:cs="Calibri"/>
        </w:rPr>
        <w:t>.</w:t>
      </w:r>
      <w:bookmarkEnd w:id="458"/>
      <w:bookmarkEnd w:id="459"/>
      <w:r w:rsidRPr="009A539C">
        <w:rPr>
          <w:rFonts w:ascii="Calibri" w:hAnsi="Calibri" w:cs="Calibri"/>
        </w:rPr>
        <w:t xml:space="preserve"> </w:t>
      </w:r>
    </w:p>
    <w:p w14:paraId="268ACE41" w14:textId="77777777" w:rsidR="001E4931" w:rsidRPr="009A539C" w:rsidRDefault="001E4931" w:rsidP="00B45708">
      <w:pPr>
        <w:spacing w:line="360" w:lineRule="auto"/>
        <w:jc w:val="both"/>
        <w:rPr>
          <w:rFonts w:ascii="Calibri" w:hAnsi="Calibri" w:cs="Calibri"/>
        </w:rPr>
      </w:pPr>
      <w:bookmarkStart w:id="460" w:name="_Toc42511697"/>
      <w:bookmarkStart w:id="461" w:name="_Toc42514461"/>
      <w:r w:rsidRPr="009A539C">
        <w:rPr>
          <w:rFonts w:ascii="Calibri" w:hAnsi="Calibri" w:cs="Calibri"/>
        </w:rPr>
        <w:t>Considerando as várias projeções acima mencionadas, verifica-se que os temas associados ao princípio da igualdade e não discriminação se encontram em 75% do conjunto de primeiras convenções e revisões globais (58 em 79).</w:t>
      </w:r>
      <w:bookmarkEnd w:id="460"/>
      <w:bookmarkEnd w:id="461"/>
      <w:r w:rsidRPr="009A539C">
        <w:rPr>
          <w:rFonts w:ascii="Calibri" w:hAnsi="Calibri" w:cs="Calibri"/>
        </w:rPr>
        <w:t xml:space="preserve"> </w:t>
      </w:r>
    </w:p>
    <w:p w14:paraId="361763B6" w14:textId="77777777" w:rsidR="001E4931" w:rsidRPr="009A539C" w:rsidRDefault="001E4931" w:rsidP="00B45708">
      <w:pPr>
        <w:spacing w:line="360" w:lineRule="auto"/>
        <w:jc w:val="both"/>
        <w:rPr>
          <w:rFonts w:ascii="Calibri" w:hAnsi="Calibri" w:cs="Calibri"/>
        </w:rPr>
      </w:pPr>
      <w:bookmarkStart w:id="462" w:name="_Toc42511698"/>
      <w:bookmarkStart w:id="463" w:name="_Toc42514462"/>
      <w:r w:rsidRPr="009A539C">
        <w:rPr>
          <w:rFonts w:ascii="Calibri" w:hAnsi="Calibri" w:cs="Calibri"/>
        </w:rPr>
        <w:t>Recorde-se, por último, que a abordagem explanada no âmbito do presente relatório é distinta da realizada pela Comissão para a Igualdade no Trabalho e no Emprego (CITE), a quem compete analisar a legalidade das disposições dos IRCT em matéria de igualdade e não discriminação</w:t>
      </w:r>
      <w:r w:rsidRPr="009A539C">
        <w:rPr>
          <w:rFonts w:ascii="Calibri" w:hAnsi="Calibri" w:cs="Calibri"/>
          <w:vertAlign w:val="superscript"/>
        </w:rPr>
        <w:footnoteReference w:id="114"/>
      </w:r>
      <w:r w:rsidRPr="009A539C">
        <w:rPr>
          <w:rFonts w:ascii="Calibri" w:hAnsi="Calibri" w:cs="Calibri"/>
        </w:rPr>
        <w:t>.</w:t>
      </w:r>
      <w:bookmarkEnd w:id="462"/>
      <w:bookmarkEnd w:id="463"/>
      <w:r w:rsidRPr="009A539C">
        <w:rPr>
          <w:rFonts w:ascii="Calibri" w:hAnsi="Calibri" w:cs="Calibri"/>
        </w:rPr>
        <w:t xml:space="preserve"> </w:t>
      </w:r>
    </w:p>
    <w:p w14:paraId="3A591DA0" w14:textId="77777777" w:rsidR="00CB18ED" w:rsidRPr="009A539C" w:rsidRDefault="001E4931" w:rsidP="00B45708">
      <w:pPr>
        <w:spacing w:line="360" w:lineRule="auto"/>
        <w:jc w:val="both"/>
        <w:rPr>
          <w:rFonts w:ascii="Calibri" w:hAnsi="Calibri" w:cs="Calibri"/>
        </w:rPr>
      </w:pPr>
      <w:bookmarkStart w:id="464" w:name="_Toc42511699"/>
      <w:bookmarkStart w:id="465" w:name="_Toc42514463"/>
      <w:r w:rsidRPr="009A539C">
        <w:rPr>
          <w:rFonts w:ascii="Calibri" w:hAnsi="Calibri" w:cs="Calibri"/>
        </w:rPr>
        <w:t>Quanto ao exercício desta atribuição, em 2019, a CITE notificou, para pronúncia, os outorgantes relativamente a: 53 cláusulas ilegais/discriminatórias e a 89 normas desconformes/ discriminatórias</w:t>
      </w:r>
      <w:r w:rsidRPr="009A539C">
        <w:rPr>
          <w:rFonts w:ascii="Calibri" w:hAnsi="Calibri" w:cs="Calibri"/>
          <w:vertAlign w:val="superscript"/>
        </w:rPr>
        <w:footnoteReference w:id="115"/>
      </w:r>
      <w:r w:rsidRPr="009A539C">
        <w:rPr>
          <w:rFonts w:ascii="Calibri" w:hAnsi="Calibri" w:cs="Calibri"/>
        </w:rPr>
        <w:t>. Segundo informação da CITE, a maioria dos outorgantes (22) disponibilizaram-se para alterar o conteúdo das convenções, 6 não responderam e 8 não concordam co</w:t>
      </w:r>
      <w:r w:rsidR="006852F8" w:rsidRPr="009A539C">
        <w:rPr>
          <w:rFonts w:ascii="Calibri" w:hAnsi="Calibri" w:cs="Calibri"/>
        </w:rPr>
        <w:t>m as desconformidades apontadas</w:t>
      </w:r>
      <w:r w:rsidRPr="009A539C">
        <w:rPr>
          <w:rFonts w:ascii="Calibri" w:hAnsi="Calibri" w:cs="Calibri"/>
          <w:vertAlign w:val="superscript"/>
        </w:rPr>
        <w:footnoteReference w:id="116"/>
      </w:r>
      <w:r w:rsidRPr="009A539C">
        <w:rPr>
          <w:rFonts w:ascii="Calibri" w:hAnsi="Calibri" w:cs="Calibri"/>
        </w:rPr>
        <w:t>.</w:t>
      </w:r>
      <w:r w:rsidR="006852F8" w:rsidRPr="009A539C">
        <w:rPr>
          <w:rFonts w:ascii="Calibri" w:hAnsi="Calibri" w:cs="Calibri"/>
        </w:rPr>
        <w:t xml:space="preserve"> </w:t>
      </w:r>
      <w:r w:rsidRPr="009A539C">
        <w:rPr>
          <w:rFonts w:ascii="Calibri" w:hAnsi="Calibri" w:cs="Calibri"/>
        </w:rPr>
        <w:t xml:space="preserve">Por outro lado, em 2019, verificou-se maior diversidade de matérias abrangidas por desconformidades. </w:t>
      </w:r>
      <w:r w:rsidR="00977E40" w:rsidRPr="009A539C">
        <w:rPr>
          <w:rFonts w:ascii="Calibri" w:hAnsi="Calibri" w:cs="Calibri"/>
        </w:rPr>
        <w:t xml:space="preserve">Apesar da redução face a 2018, </w:t>
      </w:r>
      <w:r w:rsidRPr="009A539C">
        <w:rPr>
          <w:rFonts w:ascii="Calibri" w:hAnsi="Calibri" w:cs="Calibri"/>
        </w:rPr>
        <w:t>a desconformidade mais comum continua a ser a indicação incorreta do número de dias atribuído ao pai trabalhador no âmbito da licença parental exclusiva do pai (identificada em 11 IRCT em 2019 face a 18 IRCT, em 2018).</w:t>
      </w:r>
      <w:bookmarkEnd w:id="464"/>
      <w:bookmarkEnd w:id="465"/>
      <w:r w:rsidRPr="009A539C">
        <w:rPr>
          <w:rFonts w:ascii="Calibri" w:hAnsi="Calibri" w:cs="Calibri"/>
        </w:rPr>
        <w:t xml:space="preserve"> </w:t>
      </w:r>
    </w:p>
    <w:p w14:paraId="07D25B2B" w14:textId="77777777" w:rsidR="001E4931" w:rsidRPr="009A539C" w:rsidRDefault="001E4931" w:rsidP="00B45708">
      <w:pPr>
        <w:spacing w:line="360" w:lineRule="auto"/>
        <w:jc w:val="both"/>
        <w:rPr>
          <w:rFonts w:ascii="Calibri" w:hAnsi="Calibri" w:cs="Calibri"/>
        </w:rPr>
      </w:pPr>
      <w:bookmarkStart w:id="466" w:name="_Toc42511700"/>
      <w:bookmarkStart w:id="467" w:name="_Toc42514464"/>
      <w:r w:rsidRPr="009A539C">
        <w:rPr>
          <w:rFonts w:ascii="Calibri" w:hAnsi="Calibri" w:cs="Calibri"/>
        </w:rPr>
        <w:t xml:space="preserve">Segue-se a equiparação das ausências por motivo de parentalidade ao regime das </w:t>
      </w:r>
      <w:r w:rsidR="00977E40" w:rsidRPr="009A539C">
        <w:rPr>
          <w:rFonts w:ascii="Calibri" w:hAnsi="Calibri" w:cs="Calibri"/>
        </w:rPr>
        <w:t xml:space="preserve">faltas (9 IRCT) e, por fim, as </w:t>
      </w:r>
      <w:r w:rsidRPr="009A539C">
        <w:rPr>
          <w:rFonts w:ascii="Calibri" w:hAnsi="Calibri" w:cs="Calibri"/>
        </w:rPr>
        <w:t>matérias relativas à discriminação na atribuição de prémios e/ou no direito à promoção e progressão na carreira em função da parentalidade (6 IRCTS).</w:t>
      </w:r>
      <w:bookmarkEnd w:id="466"/>
      <w:bookmarkEnd w:id="467"/>
    </w:p>
    <w:p w14:paraId="2C004482" w14:textId="77777777" w:rsidR="001E4931" w:rsidRPr="009A539C" w:rsidRDefault="001E4931" w:rsidP="00B45708">
      <w:pPr>
        <w:spacing w:line="360" w:lineRule="auto"/>
        <w:jc w:val="both"/>
        <w:rPr>
          <w:rFonts w:ascii="Calibri" w:hAnsi="Calibri" w:cs="Calibri"/>
        </w:rPr>
      </w:pPr>
      <w:bookmarkStart w:id="468" w:name="_Toc42511701"/>
      <w:bookmarkStart w:id="469" w:name="_Toc42514465"/>
      <w:r w:rsidRPr="009A539C">
        <w:rPr>
          <w:rFonts w:ascii="Calibri" w:hAnsi="Calibri" w:cs="Calibri"/>
        </w:rPr>
        <w:t>Por último, a CITE não tem conhecimento de ter sido publicada jurisprudência declarando a nulidade de cláusulas convencionais por violação do direito à igualdade e não discriminação, nos termos do artigo 479.º do CT, em 2019.</w:t>
      </w:r>
      <w:bookmarkEnd w:id="468"/>
      <w:bookmarkEnd w:id="469"/>
    </w:p>
    <w:p w14:paraId="2150F86F" w14:textId="77777777" w:rsidR="001E4931" w:rsidRPr="009A539C" w:rsidRDefault="001E4931" w:rsidP="00B45708">
      <w:pPr>
        <w:spacing w:line="360" w:lineRule="auto"/>
        <w:jc w:val="both"/>
        <w:rPr>
          <w:rFonts w:ascii="Calibri" w:hAnsi="Calibri" w:cs="Calibri"/>
        </w:rPr>
      </w:pPr>
    </w:p>
    <w:p w14:paraId="3A577F8F" w14:textId="2B846FF6" w:rsidR="001E4931" w:rsidRPr="009A539C" w:rsidRDefault="001E4931" w:rsidP="00922B44">
      <w:pPr>
        <w:pStyle w:val="PargrafodaLista"/>
        <w:numPr>
          <w:ilvl w:val="0"/>
          <w:numId w:val="73"/>
        </w:numPr>
        <w:spacing w:line="360" w:lineRule="auto"/>
        <w:ind w:left="426" w:hanging="426"/>
        <w:jc w:val="both"/>
        <w:rPr>
          <w:rFonts w:ascii="Calibri" w:hAnsi="Calibri" w:cs="Calibri"/>
          <w:b/>
        </w:rPr>
      </w:pPr>
      <w:bookmarkStart w:id="470" w:name="_Toc42511702"/>
      <w:bookmarkStart w:id="471" w:name="_Toc42514466"/>
      <w:r w:rsidRPr="009A539C">
        <w:rPr>
          <w:rFonts w:ascii="Calibri" w:hAnsi="Calibri" w:cs="Calibri"/>
          <w:b/>
        </w:rPr>
        <w:t xml:space="preserve">Outros direitos e deveres dos trabalhadores e dos empregadores, nomeadamente retribuição base para todas as profissões e categorias profissionais </w:t>
      </w:r>
      <w:r w:rsidRPr="009A539C">
        <w:rPr>
          <w:rFonts w:ascii="Calibri" w:hAnsi="Calibri" w:cs="Calibri"/>
        </w:rPr>
        <w:t>[art. 492.º, 2, e), do CT]</w:t>
      </w:r>
      <w:r w:rsidRPr="009A539C">
        <w:rPr>
          <w:rFonts w:ascii="Calibri" w:hAnsi="Calibri" w:cs="Calibri"/>
          <w:b/>
        </w:rPr>
        <w:t>.</w:t>
      </w:r>
      <w:bookmarkEnd w:id="470"/>
      <w:bookmarkEnd w:id="471"/>
    </w:p>
    <w:p w14:paraId="49C5647E" w14:textId="77777777" w:rsidR="001E4931" w:rsidRPr="009A539C" w:rsidRDefault="001E4931" w:rsidP="00B45708">
      <w:pPr>
        <w:spacing w:line="360" w:lineRule="auto"/>
        <w:jc w:val="both"/>
        <w:rPr>
          <w:rFonts w:ascii="Calibri" w:hAnsi="Calibri" w:cs="Calibri"/>
        </w:rPr>
      </w:pPr>
      <w:r w:rsidRPr="009A539C">
        <w:rPr>
          <w:rFonts w:ascii="Calibri" w:hAnsi="Calibri" w:cs="Calibri"/>
        </w:rPr>
        <w:t xml:space="preserve"> </w:t>
      </w:r>
      <w:bookmarkStart w:id="472" w:name="_Toc42511703"/>
      <w:bookmarkStart w:id="473" w:name="_Toc42514467"/>
      <w:r w:rsidRPr="009A539C">
        <w:rPr>
          <w:rFonts w:ascii="Calibri" w:hAnsi="Calibri" w:cs="Calibri"/>
        </w:rPr>
        <w:t>Na linha do explicado em relatórios anteriores, recorde-se que a f</w:t>
      </w:r>
      <w:r w:rsidR="00977E40" w:rsidRPr="009A539C">
        <w:rPr>
          <w:rFonts w:ascii="Calibri" w:hAnsi="Calibri" w:cs="Calibri"/>
        </w:rPr>
        <w:t xml:space="preserve">ormulação muito genérica desta </w:t>
      </w:r>
      <w:r w:rsidRPr="009A539C">
        <w:rPr>
          <w:rFonts w:ascii="Calibri" w:hAnsi="Calibri" w:cs="Calibri"/>
        </w:rPr>
        <w:t>disposição abarca virtualmente o conjunto dos direitos e deveres emergentes do contrato de trabalho, sendo algumas destas matérias aprofundadas em secções próprias deste Relatório. Neste momento, centramo-nos sobretudo, e na perspetiva que ficou indicada, de dois conjuntos de matérias: por um lado, a presença nos textos convencionais de desenvolvimentos de direitos e deveres das partes na relação de trabalho em aspetos que vão adquirindo relevância na negociação coletiva; por outro lado, a importância que continua a assumir nas convenções coletivas o tratamento da dimensão retributiva (</w:t>
      </w:r>
      <w:r w:rsidRPr="009A539C">
        <w:rPr>
          <w:rFonts w:ascii="Calibri" w:hAnsi="Calibri" w:cs="Calibri"/>
          <w:i/>
        </w:rPr>
        <w:t>lato sensu</w:t>
      </w:r>
      <w:r w:rsidRPr="009A539C">
        <w:rPr>
          <w:rFonts w:ascii="Calibri" w:hAnsi="Calibri" w:cs="Calibri"/>
        </w:rPr>
        <w:t>).</w:t>
      </w:r>
      <w:bookmarkEnd w:id="472"/>
      <w:bookmarkEnd w:id="473"/>
    </w:p>
    <w:p w14:paraId="34AD23EB" w14:textId="77777777" w:rsidR="001E4931" w:rsidRPr="009A539C" w:rsidRDefault="001E4931" w:rsidP="00B45708">
      <w:pPr>
        <w:spacing w:line="360" w:lineRule="auto"/>
        <w:jc w:val="both"/>
        <w:rPr>
          <w:rFonts w:ascii="Calibri" w:hAnsi="Calibri" w:cs="Calibri"/>
        </w:rPr>
      </w:pPr>
      <w:bookmarkStart w:id="474" w:name="_Toc42511704"/>
      <w:bookmarkStart w:id="475" w:name="_Toc42514468"/>
      <w:r w:rsidRPr="009A539C">
        <w:rPr>
          <w:rFonts w:ascii="Calibri" w:hAnsi="Calibri" w:cs="Calibri"/>
        </w:rPr>
        <w:t xml:space="preserve">Quanto </w:t>
      </w:r>
      <w:r w:rsidR="00977E40" w:rsidRPr="009A539C">
        <w:rPr>
          <w:rFonts w:ascii="Calibri" w:hAnsi="Calibri" w:cs="Calibri"/>
        </w:rPr>
        <w:t xml:space="preserve">ao primeiro tópico, regista-se </w:t>
      </w:r>
      <w:r w:rsidRPr="009A539C">
        <w:rPr>
          <w:rFonts w:ascii="Calibri" w:hAnsi="Calibri" w:cs="Calibri"/>
        </w:rPr>
        <w:t>a presença da regulação direitos de personalidade, em especial na conjugação com a evolução tecnológica e com as regras em matéria de proteção de dados</w:t>
      </w:r>
      <w:bookmarkEnd w:id="474"/>
      <w:bookmarkEnd w:id="475"/>
      <w:r w:rsidR="006852F8" w:rsidRPr="009A539C">
        <w:rPr>
          <w:rStyle w:val="Refdenotaderodap"/>
          <w:rFonts w:ascii="Calibri" w:hAnsi="Calibri" w:cs="Calibri"/>
        </w:rPr>
        <w:footnoteReference w:id="117"/>
      </w:r>
    </w:p>
    <w:p w14:paraId="7147C8A8" w14:textId="77777777" w:rsidR="001E4931" w:rsidRPr="009A539C" w:rsidRDefault="001E4931" w:rsidP="00B45708">
      <w:pPr>
        <w:spacing w:line="360" w:lineRule="auto"/>
        <w:jc w:val="both"/>
        <w:rPr>
          <w:rFonts w:ascii="Calibri" w:hAnsi="Calibri" w:cs="Calibri"/>
        </w:rPr>
      </w:pPr>
      <w:bookmarkStart w:id="476" w:name="_Toc42511705"/>
      <w:bookmarkStart w:id="477" w:name="_Toc42514469"/>
      <w:r w:rsidRPr="009A539C">
        <w:rPr>
          <w:rFonts w:ascii="Calibri" w:hAnsi="Calibri" w:cs="Calibri"/>
        </w:rPr>
        <w:t>Surgem várias disposições associadas à reserva e confidencialidade de mensagens e de elementos alheios à vida profissional</w:t>
      </w:r>
      <w:r w:rsidRPr="009A539C">
        <w:rPr>
          <w:rFonts w:ascii="Calibri" w:hAnsi="Calibri" w:cs="Calibri"/>
          <w:vertAlign w:val="superscript"/>
        </w:rPr>
        <w:footnoteReference w:id="118"/>
      </w:r>
      <w:r w:rsidRPr="009A539C">
        <w:rPr>
          <w:rFonts w:ascii="Calibri" w:hAnsi="Calibri" w:cs="Calibri"/>
        </w:rPr>
        <w:t>, bem como regras que incidem sobre acesso a dados pessoais</w:t>
      </w:r>
      <w:r w:rsidRPr="009A539C">
        <w:rPr>
          <w:rFonts w:ascii="Calibri" w:hAnsi="Calibri" w:cs="Calibri"/>
          <w:vertAlign w:val="superscript"/>
        </w:rPr>
        <w:footnoteReference w:id="119"/>
      </w:r>
      <w:r w:rsidRPr="009A539C">
        <w:rPr>
          <w:rFonts w:ascii="Calibri" w:hAnsi="Calibri" w:cs="Calibri"/>
        </w:rPr>
        <w:t xml:space="preserve"> ou ao processo individual dos trabalhadores</w:t>
      </w:r>
      <w:r w:rsidRPr="009A539C">
        <w:rPr>
          <w:rFonts w:ascii="Calibri" w:hAnsi="Calibri" w:cs="Calibri"/>
          <w:vertAlign w:val="superscript"/>
        </w:rPr>
        <w:footnoteReference w:id="120"/>
      </w:r>
      <w:r w:rsidRPr="009A539C">
        <w:rPr>
          <w:rFonts w:ascii="Calibri" w:hAnsi="Calibri" w:cs="Calibri"/>
        </w:rPr>
        <w:t>, por vezes remetendo expressamente para o respeito da legislação vigente sobre proteção de</w:t>
      </w:r>
      <w:r w:rsidR="00CB18ED" w:rsidRPr="009A539C">
        <w:rPr>
          <w:rFonts w:ascii="Calibri" w:hAnsi="Calibri" w:cs="Calibri"/>
        </w:rPr>
        <w:t xml:space="preserve"> </w:t>
      </w:r>
      <w:r w:rsidRPr="009A539C">
        <w:rPr>
          <w:rFonts w:ascii="Calibri" w:hAnsi="Calibri" w:cs="Calibri"/>
        </w:rPr>
        <w:t>dados pessoais</w:t>
      </w:r>
      <w:r w:rsidRPr="009A539C">
        <w:rPr>
          <w:rFonts w:ascii="Calibri" w:hAnsi="Calibri" w:cs="Calibri"/>
          <w:vertAlign w:val="superscript"/>
        </w:rPr>
        <w:footnoteReference w:id="121"/>
      </w:r>
      <w:r w:rsidR="00977E40" w:rsidRPr="009A539C">
        <w:rPr>
          <w:rFonts w:ascii="Calibri" w:hAnsi="Calibri" w:cs="Calibri"/>
        </w:rPr>
        <w:t xml:space="preserve">. </w:t>
      </w:r>
      <w:r w:rsidRPr="009A539C">
        <w:rPr>
          <w:rFonts w:ascii="Calibri" w:hAnsi="Calibri" w:cs="Calibri"/>
        </w:rPr>
        <w:t xml:space="preserve">Por outro lado, continua a ser rara a regulação convencional de meios de vigilância à distância </w:t>
      </w:r>
      <w:r w:rsidRPr="009A539C">
        <w:rPr>
          <w:rFonts w:ascii="Calibri" w:hAnsi="Calibri" w:cs="Calibri"/>
          <w:vertAlign w:val="superscript"/>
        </w:rPr>
        <w:footnoteReference w:id="122"/>
      </w:r>
      <w:r w:rsidRPr="009A539C">
        <w:rPr>
          <w:rFonts w:ascii="Calibri" w:hAnsi="Calibri" w:cs="Calibri"/>
        </w:rPr>
        <w:t>.</w:t>
      </w:r>
      <w:bookmarkEnd w:id="476"/>
      <w:bookmarkEnd w:id="477"/>
    </w:p>
    <w:p w14:paraId="69E9D083" w14:textId="3F518F7E" w:rsidR="001E4931" w:rsidRPr="009A539C" w:rsidRDefault="001E4931" w:rsidP="00B45708">
      <w:pPr>
        <w:spacing w:line="360" w:lineRule="auto"/>
        <w:jc w:val="both"/>
        <w:rPr>
          <w:rFonts w:ascii="Calibri" w:hAnsi="Calibri" w:cs="Calibri"/>
        </w:rPr>
      </w:pPr>
      <w:bookmarkStart w:id="478" w:name="_Toc42511706"/>
      <w:bookmarkStart w:id="479" w:name="_Toc42514470"/>
      <w:r w:rsidRPr="009A539C">
        <w:rPr>
          <w:rFonts w:ascii="Calibri" w:hAnsi="Calibri" w:cs="Calibri"/>
        </w:rPr>
        <w:t>A tutela dos direitos de personalidade, em geral, reproduzindo parcialmente o disposto nos arts. 14ª, 15º, 16ª e 22º do</w:t>
      </w:r>
      <w:r w:rsidR="00977E40" w:rsidRPr="009A539C">
        <w:rPr>
          <w:rFonts w:ascii="Calibri" w:hAnsi="Calibri" w:cs="Calibri"/>
        </w:rPr>
        <w:t xml:space="preserve"> CT, também se observa </w:t>
      </w:r>
      <w:r w:rsidRPr="009A539C">
        <w:rPr>
          <w:rFonts w:ascii="Calibri" w:hAnsi="Calibri" w:cs="Calibri"/>
        </w:rPr>
        <w:t>nalgumas convenç</w:t>
      </w:r>
      <w:r w:rsidR="00977E40" w:rsidRPr="009A539C">
        <w:rPr>
          <w:rFonts w:ascii="Calibri" w:hAnsi="Calibri" w:cs="Calibri"/>
        </w:rPr>
        <w:t xml:space="preserve">ões, enquanto formulação geral </w:t>
      </w:r>
      <w:r w:rsidRPr="009A539C">
        <w:rPr>
          <w:rFonts w:ascii="Calibri" w:hAnsi="Calibri" w:cs="Calibri"/>
        </w:rPr>
        <w:t xml:space="preserve">(em especial, respeitar a liberdade de expressão, assegurar a reserva e confidencialidade de mensagens e de elementos alheios à vida profissional, bem como regras que incidem </w:t>
      </w:r>
      <w:r w:rsidR="004B67BD" w:rsidRPr="009A539C">
        <w:rPr>
          <w:rFonts w:ascii="Calibri" w:hAnsi="Calibri" w:cs="Calibri"/>
        </w:rPr>
        <w:t>sobre acesso a dados pessoais)</w:t>
      </w:r>
      <w:r w:rsidRPr="009A539C">
        <w:rPr>
          <w:rFonts w:ascii="Calibri" w:hAnsi="Calibri" w:cs="Calibri"/>
          <w:vertAlign w:val="superscript"/>
        </w:rPr>
        <w:footnoteReference w:id="123"/>
      </w:r>
      <w:r w:rsidR="004B67BD" w:rsidRPr="009A539C">
        <w:rPr>
          <w:rFonts w:ascii="Calibri" w:hAnsi="Calibri" w:cs="Calibri"/>
        </w:rPr>
        <w:t xml:space="preserve">. Já as cláusulas remuneratórias </w:t>
      </w:r>
      <w:r w:rsidRPr="009A539C">
        <w:rPr>
          <w:rFonts w:ascii="Calibri" w:hAnsi="Calibri" w:cs="Calibri"/>
        </w:rPr>
        <w:t>(abarcando retribuição base, complementos retributivos e outras co</w:t>
      </w:r>
      <w:r w:rsidR="004B67BD" w:rsidRPr="009A539C">
        <w:rPr>
          <w:rFonts w:ascii="Calibri" w:hAnsi="Calibri" w:cs="Calibri"/>
        </w:rPr>
        <w:t>ndições remuneratórias) localizam-se</w:t>
      </w:r>
      <w:r w:rsidRPr="009A539C">
        <w:rPr>
          <w:rFonts w:ascii="Calibri" w:hAnsi="Calibri" w:cs="Calibri"/>
        </w:rPr>
        <w:t xml:space="preserve"> na maioria das convenções </w:t>
      </w:r>
      <w:r w:rsidR="004B67BD" w:rsidRPr="009A539C">
        <w:rPr>
          <w:rFonts w:ascii="Calibri" w:hAnsi="Calibri" w:cs="Calibri"/>
        </w:rPr>
        <w:t xml:space="preserve">e raramente se confinam </w:t>
      </w:r>
      <w:r w:rsidRPr="009A539C">
        <w:rPr>
          <w:rFonts w:ascii="Calibri" w:hAnsi="Calibri" w:cs="Calibri"/>
        </w:rPr>
        <w:t>à definição da retribuição por categoria e por profissões. As previsões com incidência remuneratória estão também plasmadas em muitos dos regimes jurídicos que regulam a organização do tempo de trabalho a propósito, por exemplo, do trabalho suplementar; do trabalho por turnos; do regime d</w:t>
      </w:r>
      <w:r w:rsidR="00977E40" w:rsidRPr="009A539C">
        <w:rPr>
          <w:rFonts w:ascii="Calibri" w:hAnsi="Calibri" w:cs="Calibri"/>
        </w:rPr>
        <w:t xml:space="preserve">e disponibilidade e </w:t>
      </w:r>
      <w:r w:rsidR="00E431D6" w:rsidRPr="009A539C">
        <w:rPr>
          <w:rFonts w:ascii="Calibri" w:hAnsi="Calibri" w:cs="Calibri"/>
        </w:rPr>
        <w:t>prevenção ou</w:t>
      </w:r>
      <w:r w:rsidRPr="009A539C">
        <w:rPr>
          <w:rFonts w:ascii="Calibri" w:hAnsi="Calibri" w:cs="Calibri"/>
        </w:rPr>
        <w:t xml:space="preserve"> da isenção de horário.</w:t>
      </w:r>
      <w:bookmarkEnd w:id="478"/>
      <w:bookmarkEnd w:id="479"/>
    </w:p>
    <w:p w14:paraId="49F1189E" w14:textId="77777777" w:rsidR="001E4931" w:rsidRPr="009A539C" w:rsidRDefault="001E4931" w:rsidP="00B45708">
      <w:pPr>
        <w:spacing w:line="360" w:lineRule="auto"/>
        <w:jc w:val="both"/>
        <w:rPr>
          <w:rFonts w:ascii="Calibri" w:hAnsi="Calibri" w:cs="Calibri"/>
        </w:rPr>
      </w:pPr>
      <w:bookmarkStart w:id="480" w:name="_Toc42511707"/>
      <w:bookmarkStart w:id="481" w:name="_Toc42514471"/>
      <w:r w:rsidRPr="009A539C">
        <w:rPr>
          <w:rFonts w:ascii="Calibri" w:hAnsi="Calibri" w:cs="Calibri"/>
        </w:rPr>
        <w:t>No pl</w:t>
      </w:r>
      <w:r w:rsidR="00977E40" w:rsidRPr="009A539C">
        <w:rPr>
          <w:rFonts w:ascii="Calibri" w:hAnsi="Calibri" w:cs="Calibri"/>
        </w:rPr>
        <w:t xml:space="preserve">ano da responsabilidade social do empregador, começa a surgir a referência ao respeito </w:t>
      </w:r>
      <w:r w:rsidRPr="009A539C">
        <w:rPr>
          <w:rFonts w:ascii="Calibri" w:hAnsi="Calibri" w:cs="Calibri"/>
        </w:rPr>
        <w:t>e promoção de direitos sociais e ambientais, ainda que de forma incipiente</w:t>
      </w:r>
      <w:r w:rsidRPr="009A539C">
        <w:rPr>
          <w:rFonts w:ascii="Calibri" w:hAnsi="Calibri" w:cs="Calibri"/>
          <w:vertAlign w:val="superscript"/>
        </w:rPr>
        <w:footnoteReference w:id="124"/>
      </w:r>
      <w:r w:rsidRPr="009A539C">
        <w:rPr>
          <w:rFonts w:ascii="Calibri" w:hAnsi="Calibri" w:cs="Calibri"/>
        </w:rPr>
        <w:t>.</w:t>
      </w:r>
      <w:bookmarkEnd w:id="480"/>
      <w:bookmarkEnd w:id="481"/>
    </w:p>
    <w:p w14:paraId="414A35DF" w14:textId="07A62683" w:rsidR="005C0723" w:rsidRPr="009A539C" w:rsidRDefault="005C0723" w:rsidP="00B45708">
      <w:pPr>
        <w:spacing w:line="360" w:lineRule="auto"/>
        <w:jc w:val="both"/>
        <w:rPr>
          <w:rFonts w:ascii="Calibri" w:hAnsi="Calibri" w:cs="Calibri"/>
        </w:rPr>
      </w:pPr>
    </w:p>
    <w:p w14:paraId="570188FF" w14:textId="441DEF2F" w:rsidR="001E4931" w:rsidRPr="009A539C" w:rsidRDefault="001E4931" w:rsidP="00922B44">
      <w:pPr>
        <w:pStyle w:val="PargrafodaLista"/>
        <w:numPr>
          <w:ilvl w:val="0"/>
          <w:numId w:val="73"/>
        </w:numPr>
        <w:spacing w:line="360" w:lineRule="auto"/>
        <w:ind w:left="426" w:hanging="426"/>
        <w:jc w:val="both"/>
        <w:rPr>
          <w:rFonts w:ascii="Calibri" w:hAnsi="Calibri" w:cs="Calibri"/>
          <w:b/>
        </w:rPr>
      </w:pPr>
      <w:bookmarkStart w:id="482" w:name="_Toc42511708"/>
      <w:bookmarkStart w:id="483" w:name="_Toc42514472"/>
      <w:r w:rsidRPr="009A539C">
        <w:rPr>
          <w:rFonts w:ascii="Calibri" w:hAnsi="Calibri" w:cs="Calibri"/>
          <w:b/>
        </w:rPr>
        <w:t xml:space="preserve">Regulação dos processos de resolução dos litígios emergentes de contratos de trabalho </w:t>
      </w:r>
      <w:r w:rsidRPr="009A539C">
        <w:rPr>
          <w:rFonts w:ascii="Calibri" w:hAnsi="Calibri" w:cs="Calibri"/>
        </w:rPr>
        <w:t>[art. 492.º, 2, f), do CT]</w:t>
      </w:r>
      <w:r w:rsidRPr="009A539C">
        <w:rPr>
          <w:rFonts w:ascii="Calibri" w:hAnsi="Calibri" w:cs="Calibri"/>
          <w:b/>
        </w:rPr>
        <w:t>.</w:t>
      </w:r>
      <w:bookmarkEnd w:id="482"/>
      <w:bookmarkEnd w:id="483"/>
    </w:p>
    <w:p w14:paraId="70F1886F" w14:textId="77777777" w:rsidR="001E4931" w:rsidRPr="009A539C" w:rsidRDefault="001E4931" w:rsidP="00B45708">
      <w:pPr>
        <w:spacing w:line="360" w:lineRule="auto"/>
        <w:jc w:val="both"/>
        <w:rPr>
          <w:rFonts w:ascii="Calibri" w:hAnsi="Calibri" w:cs="Calibri"/>
        </w:rPr>
      </w:pPr>
      <w:bookmarkStart w:id="484" w:name="_Toc42511709"/>
      <w:bookmarkStart w:id="485" w:name="_Toc42514473"/>
      <w:r w:rsidRPr="009A539C">
        <w:rPr>
          <w:rFonts w:ascii="Calibri" w:hAnsi="Calibri" w:cs="Calibri"/>
        </w:rPr>
        <w:t>No âmbito deste tópico, verifica-se a existência, em algumas convenções, da previsão expressa de mecanismos de auto resolução dos litígios emergentes de contratos de trabalho, definidos como competência da comissão paritária</w:t>
      </w:r>
      <w:r w:rsidRPr="009A539C">
        <w:rPr>
          <w:rFonts w:ascii="Calibri" w:hAnsi="Calibri" w:cs="Calibri"/>
          <w:vertAlign w:val="superscript"/>
        </w:rPr>
        <w:footnoteReference w:id="125"/>
      </w:r>
      <w:r w:rsidRPr="009A539C">
        <w:rPr>
          <w:rFonts w:ascii="Calibri" w:hAnsi="Calibri" w:cs="Calibri"/>
        </w:rPr>
        <w:t xml:space="preserve"> (em 1</w:t>
      </w:r>
      <w:r w:rsidR="007F132E" w:rsidRPr="009A539C">
        <w:rPr>
          <w:rFonts w:ascii="Calibri" w:hAnsi="Calibri" w:cs="Calibri"/>
        </w:rPr>
        <w:t>1</w:t>
      </w:r>
      <w:r w:rsidRPr="009A539C">
        <w:rPr>
          <w:rFonts w:ascii="Calibri" w:hAnsi="Calibri" w:cs="Calibri"/>
        </w:rPr>
        <w:t>).</w:t>
      </w:r>
      <w:bookmarkEnd w:id="484"/>
      <w:bookmarkEnd w:id="485"/>
    </w:p>
    <w:p w14:paraId="7D0BF671" w14:textId="77777777" w:rsidR="00597EFD" w:rsidRPr="009A539C" w:rsidRDefault="001E4931" w:rsidP="00B45708">
      <w:pPr>
        <w:spacing w:line="360" w:lineRule="auto"/>
        <w:jc w:val="both"/>
        <w:rPr>
          <w:rFonts w:ascii="Calibri" w:hAnsi="Calibri" w:cs="Calibri"/>
        </w:rPr>
      </w:pPr>
      <w:bookmarkStart w:id="486" w:name="_Toc42511710"/>
      <w:bookmarkStart w:id="487" w:name="_Toc42514474"/>
      <w:r w:rsidRPr="009A539C">
        <w:rPr>
          <w:rFonts w:ascii="Calibri" w:hAnsi="Calibri" w:cs="Calibri"/>
        </w:rPr>
        <w:t>Encontra-se ainda a possibilidade de utilizar o sistema de mediação laboral em momento prévio a qualquer outro meio de resolução de conflitos, para litígio laboral decorrente da própria convenção, desde que não estejam em causa direitos indisponíveis ou não resultem de acidentes de trabalho</w:t>
      </w:r>
      <w:r w:rsidRPr="009A539C">
        <w:rPr>
          <w:rFonts w:ascii="Calibri" w:hAnsi="Calibri" w:cs="Calibri"/>
          <w:vertAlign w:val="superscript"/>
        </w:rPr>
        <w:footnoteReference w:id="126"/>
      </w:r>
      <w:r w:rsidRPr="009A539C">
        <w:rPr>
          <w:rFonts w:ascii="Calibri" w:hAnsi="Calibri" w:cs="Calibri"/>
        </w:rPr>
        <w:t>; ou, noutros casos</w:t>
      </w:r>
      <w:r w:rsidR="0019284A" w:rsidRPr="009A539C">
        <w:rPr>
          <w:rFonts w:ascii="Calibri" w:hAnsi="Calibri" w:cs="Calibri"/>
        </w:rPr>
        <w:t>,</w:t>
      </w:r>
      <w:r w:rsidRPr="009A539C">
        <w:rPr>
          <w:rFonts w:ascii="Calibri" w:hAnsi="Calibri" w:cs="Calibri"/>
        </w:rPr>
        <w:t xml:space="preserve"> o recurso à arbitragem vol</w:t>
      </w:r>
      <w:r w:rsidR="00977E40" w:rsidRPr="009A539C">
        <w:rPr>
          <w:rFonts w:ascii="Calibri" w:hAnsi="Calibri" w:cs="Calibri"/>
        </w:rPr>
        <w:t>unt</w:t>
      </w:r>
      <w:r w:rsidR="0019284A" w:rsidRPr="009A539C">
        <w:rPr>
          <w:rFonts w:ascii="Calibri" w:hAnsi="Calibri" w:cs="Calibri"/>
        </w:rPr>
        <w:t>á</w:t>
      </w:r>
      <w:r w:rsidR="00977E40" w:rsidRPr="009A539C">
        <w:rPr>
          <w:rFonts w:ascii="Calibri" w:hAnsi="Calibri" w:cs="Calibri"/>
        </w:rPr>
        <w:t xml:space="preserve">ria para dirimir conflitos </w:t>
      </w:r>
      <w:r w:rsidRPr="009A539C">
        <w:rPr>
          <w:rFonts w:ascii="Calibri" w:hAnsi="Calibri" w:cs="Calibri"/>
        </w:rPr>
        <w:t>resultantes de avaliação de desempenho</w:t>
      </w:r>
      <w:r w:rsidRPr="009A539C">
        <w:rPr>
          <w:rFonts w:ascii="Calibri" w:hAnsi="Calibri" w:cs="Calibri"/>
          <w:vertAlign w:val="superscript"/>
        </w:rPr>
        <w:footnoteReference w:id="127"/>
      </w:r>
      <w:r w:rsidRPr="009A539C">
        <w:rPr>
          <w:rFonts w:ascii="Calibri" w:hAnsi="Calibri" w:cs="Calibri"/>
        </w:rPr>
        <w:t>.</w:t>
      </w:r>
      <w:bookmarkEnd w:id="486"/>
      <w:bookmarkEnd w:id="487"/>
      <w:r w:rsidRPr="009A539C">
        <w:rPr>
          <w:rFonts w:ascii="Calibri" w:hAnsi="Calibri" w:cs="Calibri"/>
        </w:rPr>
        <w:t xml:space="preserve"> </w:t>
      </w:r>
    </w:p>
    <w:p w14:paraId="4EFA5173" w14:textId="5E4B8B06" w:rsidR="005823A3" w:rsidRPr="009A539C" w:rsidRDefault="00CC41E5" w:rsidP="00B45708">
      <w:pPr>
        <w:spacing w:line="360" w:lineRule="auto"/>
        <w:jc w:val="both"/>
        <w:rPr>
          <w:rFonts w:ascii="Calibri" w:hAnsi="Calibri" w:cs="Calibri"/>
        </w:rPr>
      </w:pPr>
      <w:bookmarkStart w:id="488" w:name="_Toc42511711"/>
      <w:bookmarkStart w:id="489" w:name="_Toc42514475"/>
      <w:r w:rsidRPr="009A539C">
        <w:rPr>
          <w:rFonts w:ascii="Calibri" w:hAnsi="Calibri" w:cs="Calibri"/>
        </w:rPr>
        <w:t>L</w:t>
      </w:r>
      <w:r w:rsidR="008A1F85" w:rsidRPr="009A539C">
        <w:rPr>
          <w:rFonts w:ascii="Calibri" w:hAnsi="Calibri" w:cs="Calibri"/>
        </w:rPr>
        <w:t>ocaliza</w:t>
      </w:r>
      <w:r w:rsidR="00782D41" w:rsidRPr="009A539C">
        <w:rPr>
          <w:rFonts w:ascii="Calibri" w:hAnsi="Calibri" w:cs="Calibri"/>
        </w:rPr>
        <w:t>-se</w:t>
      </w:r>
      <w:r w:rsidR="008A1F85" w:rsidRPr="009A539C">
        <w:rPr>
          <w:rFonts w:ascii="Calibri" w:hAnsi="Calibri" w:cs="Calibri"/>
        </w:rPr>
        <w:t>, por fim, uma</w:t>
      </w:r>
      <w:r w:rsidR="00597EFD" w:rsidRPr="009A539C">
        <w:rPr>
          <w:rFonts w:ascii="Calibri" w:hAnsi="Calibri" w:cs="Calibri"/>
        </w:rPr>
        <w:t xml:space="preserve"> </w:t>
      </w:r>
      <w:r w:rsidR="001E4931" w:rsidRPr="009A539C">
        <w:rPr>
          <w:rFonts w:ascii="Calibri" w:hAnsi="Calibri" w:cs="Calibri"/>
        </w:rPr>
        <w:t>comiss</w:t>
      </w:r>
      <w:r w:rsidR="008A1F85" w:rsidRPr="009A539C">
        <w:rPr>
          <w:rFonts w:ascii="Calibri" w:hAnsi="Calibri" w:cs="Calibri"/>
        </w:rPr>
        <w:t>ão</w:t>
      </w:r>
      <w:r w:rsidR="001E4931" w:rsidRPr="009A539C">
        <w:rPr>
          <w:rFonts w:ascii="Calibri" w:hAnsi="Calibri" w:cs="Calibri"/>
        </w:rPr>
        <w:t xml:space="preserve"> de resolução de conflitos</w:t>
      </w:r>
      <w:r w:rsidR="008A1F85" w:rsidRPr="009A539C">
        <w:rPr>
          <w:rFonts w:ascii="Calibri" w:hAnsi="Calibri" w:cs="Calibri"/>
        </w:rPr>
        <w:t xml:space="preserve"> (CRC)</w:t>
      </w:r>
      <w:r w:rsidR="001E4931" w:rsidRPr="009A539C">
        <w:rPr>
          <w:rFonts w:ascii="Calibri" w:hAnsi="Calibri" w:cs="Calibri"/>
        </w:rPr>
        <w:t xml:space="preserve"> </w:t>
      </w:r>
      <w:r w:rsidR="0071069C" w:rsidRPr="009A539C">
        <w:rPr>
          <w:rFonts w:ascii="Calibri" w:hAnsi="Calibri" w:cs="Calibri"/>
        </w:rPr>
        <w:t>(</w:t>
      </w:r>
      <w:r w:rsidR="001E4931" w:rsidRPr="009A539C">
        <w:rPr>
          <w:rFonts w:ascii="Calibri" w:hAnsi="Calibri" w:cs="Calibri"/>
        </w:rPr>
        <w:t>paritária</w:t>
      </w:r>
      <w:r w:rsidR="0071069C" w:rsidRPr="009A539C">
        <w:rPr>
          <w:rFonts w:ascii="Calibri" w:hAnsi="Calibri" w:cs="Calibri"/>
        </w:rPr>
        <w:t>)</w:t>
      </w:r>
      <w:r w:rsidR="008A1F85" w:rsidRPr="009A539C">
        <w:rPr>
          <w:rFonts w:ascii="Calibri" w:hAnsi="Calibri" w:cs="Calibri"/>
        </w:rPr>
        <w:t xml:space="preserve"> </w:t>
      </w:r>
      <w:r w:rsidR="001E4931" w:rsidRPr="009A539C">
        <w:rPr>
          <w:rFonts w:ascii="Calibri" w:hAnsi="Calibri" w:cs="Calibri"/>
        </w:rPr>
        <w:t>para apreciar e dirimir as questões emergentes dos contratos individuais de trabalho estabelecidos entre o empregador e trabalhadores abrangidos pelo âmbito de aplicação desta convenção</w:t>
      </w:r>
      <w:r w:rsidR="001E4931" w:rsidRPr="009A539C">
        <w:rPr>
          <w:rFonts w:ascii="Calibri" w:hAnsi="Calibri" w:cs="Calibri"/>
          <w:vertAlign w:val="superscript"/>
        </w:rPr>
        <w:footnoteReference w:id="128"/>
      </w:r>
      <w:r w:rsidR="001E4931" w:rsidRPr="009A539C">
        <w:rPr>
          <w:rFonts w:ascii="Calibri" w:hAnsi="Calibri" w:cs="Calibri"/>
        </w:rPr>
        <w:t>.</w:t>
      </w:r>
      <w:bookmarkEnd w:id="488"/>
      <w:bookmarkEnd w:id="489"/>
    </w:p>
    <w:p w14:paraId="7413811D" w14:textId="77777777" w:rsidR="005823A3" w:rsidRPr="009A539C" w:rsidRDefault="005823A3" w:rsidP="00B45708">
      <w:pPr>
        <w:spacing w:line="360" w:lineRule="auto"/>
        <w:jc w:val="both"/>
        <w:rPr>
          <w:rFonts w:ascii="Calibri" w:hAnsi="Calibri" w:cs="Calibri"/>
        </w:rPr>
      </w:pPr>
    </w:p>
    <w:p w14:paraId="2B4D3BA9" w14:textId="16719284" w:rsidR="001E4931" w:rsidRPr="009A539C" w:rsidRDefault="001E4931" w:rsidP="00922B44">
      <w:pPr>
        <w:pStyle w:val="PargrafodaLista"/>
        <w:numPr>
          <w:ilvl w:val="0"/>
          <w:numId w:val="73"/>
        </w:numPr>
        <w:spacing w:line="360" w:lineRule="auto"/>
        <w:ind w:left="426" w:hanging="426"/>
        <w:jc w:val="both"/>
        <w:rPr>
          <w:rFonts w:ascii="Calibri" w:hAnsi="Calibri" w:cs="Calibri"/>
          <w:b/>
        </w:rPr>
      </w:pPr>
      <w:bookmarkStart w:id="490" w:name="_Toc42511712"/>
      <w:bookmarkStart w:id="491" w:name="_Toc42514476"/>
      <w:r w:rsidRPr="009A539C">
        <w:rPr>
          <w:rFonts w:ascii="Calibri" w:hAnsi="Calibri" w:cs="Calibri"/>
          <w:b/>
        </w:rPr>
        <w:t xml:space="preserve">A definição de serviços necessários à segurança e manutenção de equipamentos e instalações, de serviços mínimos no caso de estarem em causa empresas ou estabelecimentos que se destinem à satisfação de necessidades sociais impreteríveis (art. 537.º, do CT), assim como dos meios necessários para os assegurar em situação de greve </w:t>
      </w:r>
      <w:r w:rsidRPr="009A539C">
        <w:rPr>
          <w:rFonts w:ascii="Calibri" w:hAnsi="Calibri" w:cs="Calibri"/>
        </w:rPr>
        <w:t>[art. 492º, 2, g), do CT, a articular com os arts. 530.º e ss.]</w:t>
      </w:r>
      <w:r w:rsidRPr="009A539C">
        <w:rPr>
          <w:rFonts w:ascii="Calibri" w:hAnsi="Calibri" w:cs="Calibri"/>
          <w:b/>
        </w:rPr>
        <w:t>.</w:t>
      </w:r>
      <w:bookmarkEnd w:id="490"/>
      <w:bookmarkEnd w:id="491"/>
      <w:r w:rsidRPr="009A539C">
        <w:rPr>
          <w:rFonts w:ascii="Calibri" w:hAnsi="Calibri" w:cs="Calibri"/>
          <w:b/>
        </w:rPr>
        <w:t xml:space="preserve"> </w:t>
      </w:r>
    </w:p>
    <w:p w14:paraId="4CF67B44" w14:textId="77777777" w:rsidR="001E4931" w:rsidRPr="009A539C" w:rsidRDefault="001E4931" w:rsidP="00B45708">
      <w:pPr>
        <w:spacing w:line="360" w:lineRule="auto"/>
        <w:jc w:val="both"/>
        <w:rPr>
          <w:rFonts w:ascii="Calibri" w:hAnsi="Calibri" w:cs="Calibri"/>
        </w:rPr>
      </w:pPr>
      <w:bookmarkStart w:id="492" w:name="_Toc42511713"/>
      <w:bookmarkStart w:id="493" w:name="_Toc42514477"/>
      <w:r w:rsidRPr="009A539C">
        <w:rPr>
          <w:rFonts w:ascii="Calibri" w:hAnsi="Calibri" w:cs="Calibri"/>
        </w:rPr>
        <w:t>Em situação de greve, a lei determina que o pré-aviso de greve deve conter “uma proposta de definição de serviços necessários à segurança e manutenção de equipamento e instalações e, se a greve se realizar em empresa ou estabelecimento que se destine à satisfação de necessidades sociais impreteríveis, uma proposta de serviços mínimos”, admitindo que estes conteúdos sejam definidos por IRCT (arts. 534.º, 3 e 4, 537.º e 538.º, do CT).</w:t>
      </w:r>
      <w:bookmarkEnd w:id="492"/>
      <w:bookmarkEnd w:id="493"/>
      <w:r w:rsidRPr="009A539C">
        <w:rPr>
          <w:rFonts w:ascii="Calibri" w:hAnsi="Calibri" w:cs="Calibri"/>
        </w:rPr>
        <w:t xml:space="preserve"> </w:t>
      </w:r>
    </w:p>
    <w:p w14:paraId="26E3B460" w14:textId="77777777" w:rsidR="001E4931" w:rsidRPr="009A539C" w:rsidRDefault="00977E40" w:rsidP="00B45708">
      <w:pPr>
        <w:spacing w:line="360" w:lineRule="auto"/>
        <w:jc w:val="both"/>
        <w:rPr>
          <w:rFonts w:ascii="Calibri" w:hAnsi="Calibri" w:cs="Calibri"/>
        </w:rPr>
      </w:pPr>
      <w:bookmarkStart w:id="494" w:name="_Toc42511714"/>
      <w:bookmarkStart w:id="495" w:name="_Toc42514478"/>
      <w:r w:rsidRPr="009A539C">
        <w:rPr>
          <w:rFonts w:ascii="Calibri" w:hAnsi="Calibri" w:cs="Calibri"/>
        </w:rPr>
        <w:t xml:space="preserve">Em 2019, 21 convenções que </w:t>
      </w:r>
      <w:r w:rsidR="001E4931" w:rsidRPr="009A539C">
        <w:rPr>
          <w:rFonts w:ascii="Calibri" w:hAnsi="Calibri" w:cs="Calibri"/>
        </w:rPr>
        <w:t>referem expressamente o direito à greve. No âmbito do espaço de autonomia coletiva concedidos às partes outorgantes de uma convenção, foram apuradas as situações de:</w:t>
      </w:r>
      <w:bookmarkEnd w:id="494"/>
      <w:bookmarkEnd w:id="495"/>
    </w:p>
    <w:p w14:paraId="088B8418" w14:textId="0C2031D4" w:rsidR="001E4931" w:rsidRPr="009A539C" w:rsidRDefault="001E4931" w:rsidP="00922B44">
      <w:pPr>
        <w:pStyle w:val="PargrafodaLista"/>
        <w:numPr>
          <w:ilvl w:val="0"/>
          <w:numId w:val="81"/>
        </w:numPr>
        <w:spacing w:line="360" w:lineRule="auto"/>
        <w:jc w:val="both"/>
        <w:rPr>
          <w:rFonts w:ascii="Calibri" w:hAnsi="Calibri" w:cs="Calibri"/>
        </w:rPr>
      </w:pPr>
      <w:bookmarkStart w:id="496" w:name="_Toc42511715"/>
      <w:bookmarkStart w:id="497" w:name="_Toc42514479"/>
      <w:r w:rsidRPr="009A539C">
        <w:rPr>
          <w:rFonts w:ascii="Calibri" w:hAnsi="Calibri" w:cs="Calibri"/>
        </w:rPr>
        <w:t>remissão para o regime legal</w:t>
      </w:r>
      <w:r w:rsidRPr="009A539C">
        <w:rPr>
          <w:vertAlign w:val="superscript"/>
        </w:rPr>
        <w:footnoteReference w:id="129"/>
      </w:r>
      <w:r w:rsidRPr="009A539C">
        <w:rPr>
          <w:rFonts w:ascii="Calibri" w:hAnsi="Calibri" w:cs="Calibri"/>
        </w:rPr>
        <w:t xml:space="preserve"> ou reprodução do principio constitucional do reconhecimento do direito à greve</w:t>
      </w:r>
      <w:r w:rsidRPr="009A539C">
        <w:rPr>
          <w:vertAlign w:val="superscript"/>
        </w:rPr>
        <w:footnoteReference w:id="130"/>
      </w:r>
      <w:r w:rsidRPr="009A539C">
        <w:rPr>
          <w:rFonts w:ascii="Calibri" w:hAnsi="Calibri" w:cs="Calibri"/>
        </w:rPr>
        <w:t>;</w:t>
      </w:r>
      <w:bookmarkEnd w:id="496"/>
      <w:bookmarkEnd w:id="497"/>
    </w:p>
    <w:p w14:paraId="6B574F8D" w14:textId="4A245B5F" w:rsidR="001E4931" w:rsidRPr="009A539C" w:rsidRDefault="001E4931" w:rsidP="00922B44">
      <w:pPr>
        <w:pStyle w:val="PargrafodaLista"/>
        <w:numPr>
          <w:ilvl w:val="0"/>
          <w:numId w:val="81"/>
        </w:numPr>
        <w:spacing w:line="360" w:lineRule="auto"/>
        <w:jc w:val="both"/>
        <w:rPr>
          <w:rFonts w:ascii="Calibri" w:hAnsi="Calibri" w:cs="Calibri"/>
        </w:rPr>
      </w:pPr>
      <w:bookmarkStart w:id="498" w:name="_Toc42511716"/>
      <w:bookmarkStart w:id="499" w:name="_Toc42514480"/>
      <w:r w:rsidRPr="009A539C">
        <w:rPr>
          <w:rFonts w:ascii="Calibri" w:hAnsi="Calibri" w:cs="Calibri"/>
        </w:rPr>
        <w:t>concretização dos serviços mínimos a cumprir em caso de greve e, também como em 2018, em atividades relacionadas com o setor da saúde</w:t>
      </w:r>
      <w:r w:rsidRPr="009A539C">
        <w:rPr>
          <w:vertAlign w:val="superscript"/>
        </w:rPr>
        <w:footnoteReference w:id="131"/>
      </w:r>
      <w:r w:rsidR="00977E40" w:rsidRPr="009A539C">
        <w:rPr>
          <w:rFonts w:ascii="Calibri" w:hAnsi="Calibri" w:cs="Calibri"/>
        </w:rPr>
        <w:t xml:space="preserve">; ou apenas </w:t>
      </w:r>
      <w:r w:rsidRPr="009A539C">
        <w:rPr>
          <w:rFonts w:ascii="Calibri" w:hAnsi="Calibri" w:cs="Calibri"/>
        </w:rPr>
        <w:t xml:space="preserve">definição dos parâmetros a ter em conta na definição de serviços mínimos, mas não os determina </w:t>
      </w:r>
      <w:r w:rsidRPr="009A539C">
        <w:rPr>
          <w:vertAlign w:val="superscript"/>
        </w:rPr>
        <w:footnoteReference w:id="132"/>
      </w:r>
      <w:r w:rsidRPr="009A539C">
        <w:rPr>
          <w:rFonts w:ascii="Calibri" w:hAnsi="Calibri" w:cs="Calibri"/>
        </w:rPr>
        <w:t>;</w:t>
      </w:r>
      <w:bookmarkEnd w:id="498"/>
      <w:bookmarkEnd w:id="499"/>
    </w:p>
    <w:p w14:paraId="0F93D554" w14:textId="6FD21EAE" w:rsidR="001E4931" w:rsidRPr="009A539C" w:rsidRDefault="001E4931" w:rsidP="00922B44">
      <w:pPr>
        <w:pStyle w:val="PargrafodaLista"/>
        <w:numPr>
          <w:ilvl w:val="0"/>
          <w:numId w:val="81"/>
        </w:numPr>
        <w:spacing w:line="360" w:lineRule="auto"/>
        <w:jc w:val="both"/>
        <w:rPr>
          <w:rFonts w:ascii="Calibri" w:hAnsi="Calibri" w:cs="Calibri"/>
        </w:rPr>
      </w:pPr>
      <w:bookmarkStart w:id="500" w:name="_Toc42511717"/>
      <w:bookmarkStart w:id="501" w:name="_Toc42514481"/>
      <w:r w:rsidRPr="009A539C">
        <w:rPr>
          <w:rFonts w:ascii="Calibri" w:hAnsi="Calibri" w:cs="Calibri"/>
        </w:rPr>
        <w:t>reconhecimento da necessidade de fixação de serviços mínimos em caso de greve, a definir caso a caso</w:t>
      </w:r>
      <w:r w:rsidRPr="009A539C">
        <w:rPr>
          <w:rFonts w:ascii="Calibri" w:hAnsi="Calibri" w:cs="Calibri"/>
          <w:vertAlign w:val="superscript"/>
        </w:rPr>
        <w:t xml:space="preserve"> </w:t>
      </w:r>
      <w:r w:rsidRPr="009A539C">
        <w:rPr>
          <w:vertAlign w:val="superscript"/>
        </w:rPr>
        <w:footnoteReference w:id="133"/>
      </w:r>
      <w:r w:rsidRPr="009A539C">
        <w:rPr>
          <w:rFonts w:ascii="Calibri" w:hAnsi="Calibri" w:cs="Calibri"/>
        </w:rPr>
        <w:t>.</w:t>
      </w:r>
      <w:bookmarkEnd w:id="500"/>
      <w:bookmarkEnd w:id="501"/>
    </w:p>
    <w:p w14:paraId="356BA9CB" w14:textId="11128259" w:rsidR="001E4931" w:rsidRPr="009A539C" w:rsidRDefault="001E4931" w:rsidP="00922B44">
      <w:pPr>
        <w:pStyle w:val="PargrafodaLista"/>
        <w:numPr>
          <w:ilvl w:val="0"/>
          <w:numId w:val="81"/>
        </w:numPr>
        <w:spacing w:line="360" w:lineRule="auto"/>
        <w:jc w:val="both"/>
        <w:rPr>
          <w:rFonts w:ascii="Calibri" w:hAnsi="Calibri" w:cs="Calibri"/>
        </w:rPr>
      </w:pPr>
      <w:bookmarkStart w:id="502" w:name="_Toc42511718"/>
      <w:bookmarkStart w:id="503" w:name="_Toc42514482"/>
      <w:r w:rsidRPr="009A539C">
        <w:rPr>
          <w:rFonts w:ascii="Calibri" w:hAnsi="Calibri" w:cs="Calibri"/>
        </w:rPr>
        <w:t>consagração de cl</w:t>
      </w:r>
      <w:r w:rsidR="00C63BFD" w:rsidRPr="009A539C">
        <w:rPr>
          <w:rFonts w:ascii="Calibri" w:hAnsi="Calibri" w:cs="Calibri"/>
        </w:rPr>
        <w:t>á</w:t>
      </w:r>
      <w:r w:rsidRPr="009A539C">
        <w:rPr>
          <w:rFonts w:ascii="Calibri" w:hAnsi="Calibri" w:cs="Calibri"/>
        </w:rPr>
        <w:t>usula de paz social que deverá prevalecer se for cumprido os termos do respetivo texto convencional</w:t>
      </w:r>
      <w:r w:rsidRPr="009A539C">
        <w:rPr>
          <w:vertAlign w:val="superscript"/>
        </w:rPr>
        <w:footnoteReference w:id="134"/>
      </w:r>
      <w:bookmarkEnd w:id="502"/>
      <w:bookmarkEnd w:id="503"/>
      <w:r w:rsidR="00B45708" w:rsidRPr="009A539C">
        <w:rPr>
          <w:rFonts w:ascii="Calibri" w:hAnsi="Calibri" w:cs="Calibri"/>
        </w:rPr>
        <w:t>.</w:t>
      </w:r>
    </w:p>
    <w:p w14:paraId="7E5DA603" w14:textId="7B6C7EC7" w:rsidR="001E4931" w:rsidRPr="009A539C" w:rsidRDefault="001E4931" w:rsidP="00B45708">
      <w:pPr>
        <w:spacing w:line="360" w:lineRule="auto"/>
        <w:jc w:val="both"/>
        <w:rPr>
          <w:rFonts w:ascii="Calibri" w:hAnsi="Calibri" w:cs="Calibri"/>
        </w:rPr>
      </w:pPr>
      <w:bookmarkStart w:id="504" w:name="_Toc42511719"/>
      <w:bookmarkStart w:id="505" w:name="_Toc42514483"/>
      <w:r w:rsidRPr="009A539C">
        <w:rPr>
          <w:rFonts w:ascii="Calibri" w:hAnsi="Calibri" w:cs="Calibri"/>
        </w:rPr>
        <w:t>Como tem sido referido nos relatórios anteriores, são rar</w:t>
      </w:r>
      <w:r w:rsidR="00977E40" w:rsidRPr="009A539C">
        <w:rPr>
          <w:rFonts w:ascii="Calibri" w:hAnsi="Calibri" w:cs="Calibri"/>
        </w:rPr>
        <w:t xml:space="preserve">os os </w:t>
      </w:r>
      <w:r w:rsidRPr="009A539C">
        <w:rPr>
          <w:rFonts w:ascii="Calibri" w:hAnsi="Calibri" w:cs="Calibri"/>
        </w:rPr>
        <w:t xml:space="preserve">sujeitos negociais que fixam os serviços mínimos a adotar em caso de greve, </w:t>
      </w:r>
      <w:r w:rsidR="0019284A" w:rsidRPr="009A539C">
        <w:rPr>
          <w:rFonts w:ascii="Calibri" w:hAnsi="Calibri" w:cs="Calibri"/>
        </w:rPr>
        <w:t xml:space="preserve">no âmbito da </w:t>
      </w:r>
      <w:r w:rsidR="00352F24" w:rsidRPr="009A539C">
        <w:rPr>
          <w:rFonts w:ascii="Calibri" w:hAnsi="Calibri" w:cs="Calibri"/>
        </w:rPr>
        <w:t>autonomia coletiva</w:t>
      </w:r>
      <w:r w:rsidR="00D01CF6" w:rsidRPr="009A539C">
        <w:rPr>
          <w:rFonts w:ascii="Calibri" w:hAnsi="Calibri" w:cs="Calibri"/>
        </w:rPr>
        <w:t xml:space="preserve"> </w:t>
      </w:r>
      <w:r w:rsidR="00352F24" w:rsidRPr="009A539C">
        <w:rPr>
          <w:rFonts w:ascii="Calibri" w:hAnsi="Calibri" w:cs="Calibri"/>
        </w:rPr>
        <w:t>conferida pela lei (art.538.º,CT</w:t>
      </w:r>
      <w:r w:rsidR="00352F24" w:rsidRPr="009A539C">
        <w:rPr>
          <w:rFonts w:ascii="Calibri" w:hAnsi="Calibri" w:cs="Calibri"/>
          <w:vertAlign w:val="superscript"/>
        </w:rPr>
        <w:footnoteReference w:id="135"/>
      </w:r>
      <w:r w:rsidR="00352F24" w:rsidRPr="009A539C">
        <w:rPr>
          <w:rFonts w:ascii="Calibri" w:hAnsi="Calibri" w:cs="Calibri"/>
        </w:rPr>
        <w:t>)</w:t>
      </w:r>
      <w:r w:rsidRPr="009A539C">
        <w:rPr>
          <w:rFonts w:ascii="Calibri" w:hAnsi="Calibri" w:cs="Calibri"/>
        </w:rPr>
        <w:t xml:space="preserve">. Em 2019, apenas uma convenção, enquadrada na alínea b), do n.º 2, do art. 537ª do CT, densifica o regime de serviços mínimos a cumprir durante a greve, reproduzindo, de resto, a versão original da respetiva unidade de negociação </w:t>
      </w:r>
      <w:r w:rsidRPr="009A539C">
        <w:rPr>
          <w:rFonts w:ascii="Calibri" w:hAnsi="Calibri" w:cs="Calibri"/>
          <w:vertAlign w:val="superscript"/>
        </w:rPr>
        <w:footnoteReference w:id="136"/>
      </w:r>
      <w:r w:rsidRPr="009A539C">
        <w:rPr>
          <w:rFonts w:ascii="Calibri" w:hAnsi="Calibri" w:cs="Calibri"/>
        </w:rPr>
        <w:t>. Aqui, e durante o período de greve, é fixado o tipo de serviços de suporte a uma unidade hospitalar, no que toca a lavagem de roupa e prestação de refeições, serviços que devem abranger 30% dos trabalhadores.</w:t>
      </w:r>
      <w:bookmarkEnd w:id="504"/>
      <w:bookmarkEnd w:id="505"/>
    </w:p>
    <w:p w14:paraId="69B6B60D" w14:textId="77777777" w:rsidR="0019284A" w:rsidRPr="009A539C" w:rsidRDefault="0019284A" w:rsidP="00B45708">
      <w:pPr>
        <w:spacing w:line="360" w:lineRule="auto"/>
        <w:jc w:val="both"/>
        <w:rPr>
          <w:rFonts w:ascii="Calibri" w:hAnsi="Calibri" w:cs="Calibri"/>
        </w:rPr>
      </w:pPr>
    </w:p>
    <w:p w14:paraId="2172FF65" w14:textId="17FB1A0D" w:rsidR="001E4931" w:rsidRPr="009A539C" w:rsidRDefault="001E4931" w:rsidP="00922B44">
      <w:pPr>
        <w:pStyle w:val="PargrafodaLista"/>
        <w:numPr>
          <w:ilvl w:val="0"/>
          <w:numId w:val="73"/>
        </w:numPr>
        <w:spacing w:line="360" w:lineRule="auto"/>
        <w:ind w:left="426" w:hanging="426"/>
        <w:jc w:val="both"/>
        <w:rPr>
          <w:rFonts w:ascii="Calibri" w:hAnsi="Calibri" w:cs="Calibri"/>
          <w:b/>
        </w:rPr>
      </w:pPr>
      <w:bookmarkStart w:id="506" w:name="_Toc42511720"/>
      <w:bookmarkStart w:id="507" w:name="_Toc42514484"/>
      <w:r w:rsidRPr="009A539C">
        <w:rPr>
          <w:rFonts w:ascii="Calibri" w:hAnsi="Calibri" w:cs="Calibri"/>
          <w:b/>
        </w:rPr>
        <w:t xml:space="preserve">Os efeitos decorrentes da convenção em caso de caducidade, relativamente aos trabalhadores por ela abrangidos </w:t>
      </w:r>
      <w:r w:rsidRPr="009A539C">
        <w:rPr>
          <w:rFonts w:ascii="Calibri" w:hAnsi="Calibri" w:cs="Calibri"/>
        </w:rPr>
        <w:t>[art. 492.º, 2, h), do CT, a articular com os arts. 501.º, 502.º e 503.º]</w:t>
      </w:r>
      <w:r w:rsidRPr="009A539C">
        <w:rPr>
          <w:rFonts w:ascii="Calibri" w:hAnsi="Calibri" w:cs="Calibri"/>
          <w:b/>
        </w:rPr>
        <w:t>.</w:t>
      </w:r>
      <w:bookmarkEnd w:id="506"/>
      <w:bookmarkEnd w:id="507"/>
      <w:r w:rsidRPr="009A539C">
        <w:rPr>
          <w:rFonts w:ascii="Calibri" w:hAnsi="Calibri" w:cs="Calibri"/>
          <w:b/>
        </w:rPr>
        <w:t xml:space="preserve"> </w:t>
      </w:r>
    </w:p>
    <w:p w14:paraId="53BC8408" w14:textId="1C811511" w:rsidR="001E4931" w:rsidRPr="009A539C" w:rsidRDefault="003136B7" w:rsidP="00B45708">
      <w:pPr>
        <w:spacing w:line="360" w:lineRule="auto"/>
        <w:jc w:val="both"/>
        <w:rPr>
          <w:rFonts w:ascii="Calibri" w:hAnsi="Calibri" w:cs="Calibri"/>
        </w:rPr>
      </w:pPr>
      <w:bookmarkStart w:id="508" w:name="_Toc42511721"/>
      <w:bookmarkStart w:id="509" w:name="_Toc42514485"/>
      <w:r w:rsidRPr="009A539C">
        <w:rPr>
          <w:rFonts w:ascii="Calibri" w:hAnsi="Calibri" w:cs="Calibri"/>
        </w:rPr>
        <w:t xml:space="preserve">São </w:t>
      </w:r>
      <w:r w:rsidR="001E4931" w:rsidRPr="009A539C">
        <w:rPr>
          <w:rFonts w:ascii="Calibri" w:hAnsi="Calibri" w:cs="Calibri"/>
        </w:rPr>
        <w:t>2</w:t>
      </w:r>
      <w:r w:rsidR="0025252E" w:rsidRPr="009A539C">
        <w:rPr>
          <w:rFonts w:ascii="Calibri" w:hAnsi="Calibri" w:cs="Calibri"/>
        </w:rPr>
        <w:t>4</w:t>
      </w:r>
      <w:r w:rsidR="001E4931" w:rsidRPr="009A539C">
        <w:rPr>
          <w:rFonts w:ascii="Calibri" w:hAnsi="Calibri" w:cs="Calibri"/>
        </w:rPr>
        <w:t xml:space="preserve"> as convenções deste universo (79) que regulam a respetiva caducidade e, destas, 13 determinam os efeitos da convenção que perduram, em caso de caducidade (cfr. art. 501.º, 8, do CT)</w:t>
      </w:r>
      <w:r w:rsidR="001E4931" w:rsidRPr="009A539C">
        <w:rPr>
          <w:rFonts w:ascii="Calibri" w:hAnsi="Calibri" w:cs="Calibri"/>
          <w:vertAlign w:val="superscript"/>
        </w:rPr>
        <w:t xml:space="preserve"> </w:t>
      </w:r>
      <w:r w:rsidR="001E4931" w:rsidRPr="009A539C">
        <w:rPr>
          <w:rFonts w:ascii="Calibri" w:hAnsi="Calibri" w:cs="Calibri"/>
          <w:vertAlign w:val="superscript"/>
        </w:rPr>
        <w:footnoteReference w:id="137"/>
      </w:r>
      <w:r w:rsidR="001E4931" w:rsidRPr="009A539C">
        <w:rPr>
          <w:rFonts w:ascii="Calibri" w:hAnsi="Calibri" w:cs="Calibri"/>
        </w:rPr>
        <w:t>.</w:t>
      </w:r>
      <w:bookmarkEnd w:id="508"/>
      <w:bookmarkEnd w:id="509"/>
      <w:r w:rsidR="001E4931" w:rsidRPr="009A539C">
        <w:rPr>
          <w:rFonts w:ascii="Calibri" w:hAnsi="Calibri" w:cs="Calibri"/>
        </w:rPr>
        <w:t xml:space="preserve"> </w:t>
      </w:r>
    </w:p>
    <w:p w14:paraId="0222058B" w14:textId="77777777" w:rsidR="00837B03" w:rsidRPr="009A539C" w:rsidRDefault="00837B03" w:rsidP="00B45708">
      <w:pPr>
        <w:spacing w:line="360" w:lineRule="auto"/>
        <w:jc w:val="both"/>
        <w:rPr>
          <w:rFonts w:ascii="Calibri" w:hAnsi="Calibri" w:cs="Calibri"/>
        </w:rPr>
      </w:pPr>
    </w:p>
    <w:p w14:paraId="6E3B68C7" w14:textId="027B7A67" w:rsidR="001E4931" w:rsidRPr="009A539C" w:rsidRDefault="001E4931" w:rsidP="00922B44">
      <w:pPr>
        <w:pStyle w:val="PargrafodaLista"/>
        <w:numPr>
          <w:ilvl w:val="0"/>
          <w:numId w:val="73"/>
        </w:numPr>
        <w:spacing w:line="360" w:lineRule="auto"/>
        <w:ind w:left="426" w:hanging="426"/>
        <w:jc w:val="both"/>
        <w:rPr>
          <w:rFonts w:ascii="Calibri" w:hAnsi="Calibri" w:cs="Calibri"/>
          <w:b/>
        </w:rPr>
      </w:pPr>
      <w:bookmarkStart w:id="510" w:name="_Toc42511722"/>
      <w:bookmarkStart w:id="511" w:name="_Toc42514486"/>
      <w:r w:rsidRPr="009A539C">
        <w:rPr>
          <w:rFonts w:ascii="Calibri" w:hAnsi="Calibri" w:cs="Calibri"/>
          <w:b/>
        </w:rPr>
        <w:t xml:space="preserve">A previsão de uma comissão paritária com competência para interpretar e integrar as suas cláusulas </w:t>
      </w:r>
      <w:r w:rsidR="00837B03" w:rsidRPr="009A539C">
        <w:rPr>
          <w:rFonts w:ascii="Calibri" w:hAnsi="Calibri" w:cs="Calibri"/>
        </w:rPr>
        <w:t>[</w:t>
      </w:r>
      <w:r w:rsidRPr="009A539C">
        <w:rPr>
          <w:rFonts w:ascii="Calibri" w:hAnsi="Calibri" w:cs="Calibri"/>
        </w:rPr>
        <w:t>art.492.º, 3, do CT, a a</w:t>
      </w:r>
      <w:r w:rsidR="00837B03" w:rsidRPr="009A539C">
        <w:rPr>
          <w:rFonts w:ascii="Calibri" w:hAnsi="Calibri" w:cs="Calibri"/>
        </w:rPr>
        <w:t>rticular com o art. 493.º do CT]</w:t>
      </w:r>
      <w:r w:rsidRPr="009A539C">
        <w:rPr>
          <w:rFonts w:ascii="Calibri" w:hAnsi="Calibri" w:cs="Calibri"/>
          <w:b/>
        </w:rPr>
        <w:t>.</w:t>
      </w:r>
      <w:bookmarkEnd w:id="510"/>
      <w:bookmarkEnd w:id="511"/>
      <w:r w:rsidRPr="009A539C">
        <w:rPr>
          <w:rFonts w:ascii="Calibri" w:hAnsi="Calibri" w:cs="Calibri"/>
          <w:b/>
        </w:rPr>
        <w:t xml:space="preserve"> </w:t>
      </w:r>
    </w:p>
    <w:p w14:paraId="782F9ED7" w14:textId="77777777" w:rsidR="001E4931" w:rsidRPr="009A539C" w:rsidRDefault="001E4931" w:rsidP="00B45708">
      <w:pPr>
        <w:spacing w:line="360" w:lineRule="auto"/>
        <w:jc w:val="both"/>
        <w:rPr>
          <w:rFonts w:ascii="Calibri" w:hAnsi="Calibri" w:cs="Calibri"/>
        </w:rPr>
      </w:pPr>
      <w:bookmarkStart w:id="512" w:name="_Toc42511723"/>
      <w:bookmarkStart w:id="513" w:name="_Toc42514487"/>
      <w:r w:rsidRPr="009A539C">
        <w:rPr>
          <w:rFonts w:ascii="Calibri" w:hAnsi="Calibri" w:cs="Calibri"/>
        </w:rPr>
        <w:t>A previsão de comissão paritária figura em 40 primeiras convenções e 30 revisões globais, o que significa que cobre 89% deste universo (70 de 79 convenções)</w:t>
      </w:r>
      <w:r w:rsidRPr="009A539C">
        <w:rPr>
          <w:rFonts w:ascii="Calibri" w:hAnsi="Calibri" w:cs="Calibri"/>
          <w:vertAlign w:val="superscript"/>
        </w:rPr>
        <w:footnoteReference w:id="138"/>
      </w:r>
      <w:r w:rsidRPr="009A539C">
        <w:rPr>
          <w:rFonts w:ascii="Calibri" w:hAnsi="Calibri" w:cs="Calibri"/>
        </w:rPr>
        <w:t>.</w:t>
      </w:r>
      <w:bookmarkEnd w:id="512"/>
      <w:bookmarkEnd w:id="513"/>
      <w:r w:rsidRPr="009A539C">
        <w:rPr>
          <w:rFonts w:ascii="Calibri" w:hAnsi="Calibri" w:cs="Calibri"/>
        </w:rPr>
        <w:t xml:space="preserve"> </w:t>
      </w:r>
    </w:p>
    <w:p w14:paraId="55ED9B4F" w14:textId="33ADD437" w:rsidR="001E4931" w:rsidRPr="009A539C" w:rsidRDefault="003136B7" w:rsidP="00B45708">
      <w:pPr>
        <w:spacing w:line="360" w:lineRule="auto"/>
        <w:jc w:val="both"/>
        <w:rPr>
          <w:rFonts w:ascii="Calibri" w:hAnsi="Calibri" w:cs="Calibri"/>
        </w:rPr>
      </w:pPr>
      <w:bookmarkStart w:id="514" w:name="_Toc42511724"/>
      <w:bookmarkStart w:id="515" w:name="_Toc42514488"/>
      <w:r w:rsidRPr="009A539C">
        <w:rPr>
          <w:rFonts w:ascii="Calibri" w:hAnsi="Calibri" w:cs="Calibri"/>
        </w:rPr>
        <w:t xml:space="preserve">Grande </w:t>
      </w:r>
      <w:r w:rsidR="001E4931" w:rsidRPr="009A539C">
        <w:rPr>
          <w:rFonts w:ascii="Calibri" w:hAnsi="Calibri" w:cs="Calibri"/>
        </w:rPr>
        <w:t>número de convenções reproduzem as competências cometidas pela lei às comissões paritárias (interpretação e integração das cláusulas da convenção),</w:t>
      </w:r>
      <w:r w:rsidR="001E4931" w:rsidRPr="009A539C">
        <w:rPr>
          <w:rFonts w:ascii="Calibri" w:hAnsi="Calibri" w:cs="Calibri"/>
          <w:vertAlign w:val="superscript"/>
        </w:rPr>
        <w:footnoteReference w:id="139"/>
      </w:r>
      <w:r w:rsidR="001E4931" w:rsidRPr="009A539C">
        <w:rPr>
          <w:rFonts w:ascii="Calibri" w:hAnsi="Calibri" w:cs="Calibri"/>
        </w:rPr>
        <w:t xml:space="preserve"> mas em muitas delas são</w:t>
      </w:r>
      <w:r w:rsidR="00056620" w:rsidRPr="009A539C">
        <w:rPr>
          <w:rFonts w:ascii="Calibri" w:hAnsi="Calibri" w:cs="Calibri"/>
        </w:rPr>
        <w:t>-lhe</w:t>
      </w:r>
      <w:r w:rsidR="001E4931" w:rsidRPr="009A539C">
        <w:rPr>
          <w:rFonts w:ascii="Calibri" w:hAnsi="Calibri" w:cs="Calibri"/>
        </w:rPr>
        <w:t xml:space="preserve"> concedidas outras atribuições, abrangendo, designadamente:</w:t>
      </w:r>
      <w:bookmarkEnd w:id="514"/>
      <w:bookmarkEnd w:id="515"/>
      <w:r w:rsidR="001E4931" w:rsidRPr="009A539C">
        <w:rPr>
          <w:rFonts w:ascii="Calibri" w:hAnsi="Calibri" w:cs="Calibri"/>
        </w:rPr>
        <w:t xml:space="preserve"> </w:t>
      </w:r>
    </w:p>
    <w:p w14:paraId="176C139F" w14:textId="3BA96964" w:rsidR="001E4931" w:rsidRPr="009A539C" w:rsidRDefault="001E4931" w:rsidP="00941551">
      <w:pPr>
        <w:pStyle w:val="PargrafodaLista"/>
        <w:numPr>
          <w:ilvl w:val="0"/>
          <w:numId w:val="96"/>
        </w:numPr>
        <w:spacing w:line="360" w:lineRule="auto"/>
        <w:jc w:val="both"/>
        <w:rPr>
          <w:rFonts w:ascii="Calibri" w:hAnsi="Calibri" w:cs="Calibri"/>
        </w:rPr>
      </w:pPr>
      <w:bookmarkStart w:id="516" w:name="_Toc42511725"/>
      <w:bookmarkStart w:id="517" w:name="_Toc42514489"/>
      <w:r w:rsidRPr="009A539C">
        <w:rPr>
          <w:rFonts w:ascii="Calibri" w:hAnsi="Calibri" w:cs="Calibri"/>
        </w:rPr>
        <w:t>revisão de categorias e conteúdos das profissões</w:t>
      </w:r>
      <w:r w:rsidRPr="009A539C">
        <w:rPr>
          <w:vertAlign w:val="superscript"/>
        </w:rPr>
        <w:footnoteReference w:id="140"/>
      </w:r>
      <w:r w:rsidRPr="009A539C">
        <w:rPr>
          <w:rFonts w:ascii="Calibri" w:hAnsi="Calibri" w:cs="Calibri"/>
        </w:rPr>
        <w:t>, incluindo a  definição e enquadramento de novas profissões</w:t>
      </w:r>
      <w:r w:rsidRPr="009A539C">
        <w:rPr>
          <w:vertAlign w:val="superscript"/>
        </w:rPr>
        <w:footnoteReference w:id="141"/>
      </w:r>
      <w:r w:rsidRPr="009A539C">
        <w:rPr>
          <w:rFonts w:ascii="Calibri" w:hAnsi="Calibri" w:cs="Calibri"/>
        </w:rPr>
        <w:t>;</w:t>
      </w:r>
      <w:bookmarkEnd w:id="516"/>
      <w:bookmarkEnd w:id="517"/>
    </w:p>
    <w:p w14:paraId="0160D280" w14:textId="6D3CE6A2" w:rsidR="000768BB" w:rsidRPr="009A539C" w:rsidRDefault="001E4931" w:rsidP="00941551">
      <w:pPr>
        <w:pStyle w:val="PargrafodaLista"/>
        <w:numPr>
          <w:ilvl w:val="0"/>
          <w:numId w:val="96"/>
        </w:numPr>
        <w:spacing w:line="360" w:lineRule="auto"/>
        <w:jc w:val="both"/>
        <w:rPr>
          <w:rFonts w:ascii="Calibri" w:hAnsi="Calibri" w:cs="Calibri"/>
        </w:rPr>
      </w:pPr>
      <w:bookmarkStart w:id="518" w:name="_Toc42511726"/>
      <w:bookmarkStart w:id="519" w:name="_Toc42514490"/>
      <w:r w:rsidRPr="009A539C">
        <w:rPr>
          <w:rFonts w:ascii="Calibri" w:hAnsi="Calibri" w:cs="Calibri"/>
        </w:rPr>
        <w:t>resolução de conflitos individuais</w:t>
      </w:r>
      <w:r w:rsidRPr="009A539C">
        <w:rPr>
          <w:vertAlign w:val="superscript"/>
        </w:rPr>
        <w:footnoteReference w:id="142"/>
      </w:r>
      <w:r w:rsidRPr="009A539C">
        <w:rPr>
          <w:rFonts w:ascii="Calibri" w:hAnsi="Calibri" w:cs="Calibri"/>
        </w:rPr>
        <w:t>;</w:t>
      </w:r>
      <w:bookmarkStart w:id="520" w:name="_Toc42511727"/>
      <w:bookmarkStart w:id="521" w:name="_Toc42514491"/>
      <w:bookmarkEnd w:id="518"/>
      <w:bookmarkEnd w:id="519"/>
    </w:p>
    <w:p w14:paraId="28A94C92" w14:textId="5468D5BA" w:rsidR="000768BB" w:rsidRPr="009A539C" w:rsidRDefault="000768BB" w:rsidP="00941551">
      <w:pPr>
        <w:pStyle w:val="PargrafodaLista"/>
        <w:numPr>
          <w:ilvl w:val="0"/>
          <w:numId w:val="96"/>
        </w:numPr>
        <w:spacing w:line="360" w:lineRule="auto"/>
        <w:jc w:val="both"/>
        <w:rPr>
          <w:rFonts w:ascii="Calibri" w:hAnsi="Calibri" w:cs="Calibri"/>
        </w:rPr>
      </w:pPr>
      <w:r w:rsidRPr="009A539C">
        <w:rPr>
          <w:rFonts w:ascii="Calibri" w:hAnsi="Calibri" w:cs="Calibri"/>
        </w:rPr>
        <w:t>a</w:t>
      </w:r>
      <w:r w:rsidR="001E4931" w:rsidRPr="009A539C">
        <w:rPr>
          <w:rFonts w:ascii="Calibri" w:hAnsi="Calibri" w:cs="Calibri"/>
        </w:rPr>
        <w:t>nálise das situações d</w:t>
      </w:r>
      <w:r w:rsidR="003136B7" w:rsidRPr="009A539C">
        <w:rPr>
          <w:rFonts w:ascii="Calibri" w:hAnsi="Calibri" w:cs="Calibri"/>
        </w:rPr>
        <w:t xml:space="preserve">e eventual incumprimento do AE </w:t>
      </w:r>
      <w:r w:rsidR="001E4931" w:rsidRPr="009A539C">
        <w:rPr>
          <w:rFonts w:ascii="Calibri" w:hAnsi="Calibri" w:cs="Calibri"/>
        </w:rPr>
        <w:t>e de rutura da cláusula da paz social, antes de pré-aviso de greve</w:t>
      </w:r>
      <w:r w:rsidR="001E4931" w:rsidRPr="009A539C">
        <w:rPr>
          <w:vertAlign w:val="superscript"/>
        </w:rPr>
        <w:footnoteReference w:id="143"/>
      </w:r>
      <w:r w:rsidR="001E4931" w:rsidRPr="009A539C">
        <w:rPr>
          <w:rFonts w:ascii="Calibri" w:hAnsi="Calibri" w:cs="Calibri"/>
        </w:rPr>
        <w:t xml:space="preserve"> </w:t>
      </w:r>
      <w:bookmarkStart w:id="522" w:name="_Toc42511728"/>
      <w:bookmarkStart w:id="523" w:name="_Toc42514492"/>
      <w:bookmarkEnd w:id="520"/>
      <w:bookmarkEnd w:id="521"/>
    </w:p>
    <w:p w14:paraId="21C817FB" w14:textId="54DC2A98" w:rsidR="000768BB" w:rsidRPr="009A539C" w:rsidRDefault="000768BB" w:rsidP="00941551">
      <w:pPr>
        <w:pStyle w:val="PargrafodaLista"/>
        <w:numPr>
          <w:ilvl w:val="0"/>
          <w:numId w:val="96"/>
        </w:numPr>
        <w:spacing w:line="360" w:lineRule="auto"/>
        <w:jc w:val="both"/>
        <w:rPr>
          <w:rFonts w:ascii="Calibri" w:hAnsi="Calibri" w:cs="Calibri"/>
        </w:rPr>
      </w:pPr>
      <w:r w:rsidRPr="009A539C">
        <w:rPr>
          <w:rFonts w:ascii="Calibri" w:hAnsi="Calibri" w:cs="Calibri"/>
        </w:rPr>
        <w:t>a</w:t>
      </w:r>
      <w:r w:rsidR="001E4931" w:rsidRPr="009A539C">
        <w:rPr>
          <w:rFonts w:ascii="Calibri" w:hAnsi="Calibri" w:cs="Calibri"/>
        </w:rPr>
        <w:t xml:space="preserve">plicação da convenção </w:t>
      </w:r>
      <w:r w:rsidR="001E4931" w:rsidRPr="009A539C">
        <w:rPr>
          <w:vertAlign w:val="superscript"/>
        </w:rPr>
        <w:footnoteReference w:id="144"/>
      </w:r>
      <w:bookmarkStart w:id="524" w:name="_Toc42511729"/>
      <w:bookmarkStart w:id="525" w:name="_Toc42514493"/>
      <w:bookmarkEnd w:id="522"/>
      <w:bookmarkEnd w:id="523"/>
    </w:p>
    <w:p w14:paraId="49F1EB41" w14:textId="1D5AE3E2" w:rsidR="001E4931" w:rsidRPr="009A539C" w:rsidRDefault="000768BB" w:rsidP="00941551">
      <w:pPr>
        <w:pStyle w:val="PargrafodaLista"/>
        <w:numPr>
          <w:ilvl w:val="0"/>
          <w:numId w:val="96"/>
        </w:numPr>
        <w:spacing w:line="360" w:lineRule="auto"/>
        <w:jc w:val="both"/>
        <w:rPr>
          <w:rFonts w:ascii="Calibri" w:hAnsi="Calibri" w:cs="Calibri"/>
        </w:rPr>
      </w:pPr>
      <w:r w:rsidRPr="009A539C">
        <w:rPr>
          <w:rFonts w:ascii="Calibri" w:hAnsi="Calibri" w:cs="Calibri"/>
        </w:rPr>
        <w:t>p</w:t>
      </w:r>
      <w:r w:rsidR="00B85DE6" w:rsidRPr="009A539C">
        <w:rPr>
          <w:rFonts w:ascii="Calibri" w:hAnsi="Calibri" w:cs="Calibri"/>
        </w:rPr>
        <w:t>ronúncia quanto a</w:t>
      </w:r>
      <w:r w:rsidR="001E4931" w:rsidRPr="009A539C">
        <w:rPr>
          <w:rFonts w:ascii="Calibri" w:hAnsi="Calibri" w:cs="Calibri"/>
        </w:rPr>
        <w:t xml:space="preserve"> dúvidas na articulação de “regimes” aplicável a um grupo de trabalhadores, onde se conjugam textos convencionais revistos e em que o </w:t>
      </w:r>
      <w:r w:rsidR="00424056" w:rsidRPr="009A539C">
        <w:rPr>
          <w:rFonts w:ascii="Calibri" w:hAnsi="Calibri" w:cs="Calibri"/>
        </w:rPr>
        <w:t>novo clausulado</w:t>
      </w:r>
      <w:r w:rsidR="001E4931" w:rsidRPr="009A539C">
        <w:rPr>
          <w:rFonts w:ascii="Calibri" w:hAnsi="Calibri" w:cs="Calibri"/>
        </w:rPr>
        <w:t xml:space="preserve"> salvaguarda direitos adquiridos </w:t>
      </w:r>
      <w:r w:rsidR="00424056" w:rsidRPr="009A539C">
        <w:rPr>
          <w:rFonts w:ascii="Calibri" w:hAnsi="Calibri" w:cs="Calibri"/>
        </w:rPr>
        <w:t>ou</w:t>
      </w:r>
      <w:r w:rsidR="001E4931" w:rsidRPr="009A539C">
        <w:rPr>
          <w:rFonts w:ascii="Calibri" w:hAnsi="Calibri" w:cs="Calibri"/>
        </w:rPr>
        <w:t xml:space="preserve"> estabelece um regime transitório para grupos de trabalhadores abrangidos por convenção anterior</w:t>
      </w:r>
      <w:r w:rsidR="001E4931" w:rsidRPr="009A539C">
        <w:rPr>
          <w:rFonts w:ascii="Calibri" w:hAnsi="Calibri" w:cs="Calibri"/>
          <w:vertAlign w:val="superscript"/>
        </w:rPr>
        <w:t xml:space="preserve"> </w:t>
      </w:r>
      <w:r w:rsidR="001E4931" w:rsidRPr="009A539C">
        <w:rPr>
          <w:vertAlign w:val="superscript"/>
        </w:rPr>
        <w:footnoteReference w:id="145"/>
      </w:r>
      <w:r w:rsidR="001E4931" w:rsidRPr="009A539C">
        <w:rPr>
          <w:rFonts w:ascii="Calibri" w:hAnsi="Calibri" w:cs="Calibri"/>
        </w:rPr>
        <w:t>.</w:t>
      </w:r>
      <w:bookmarkEnd w:id="524"/>
      <w:bookmarkEnd w:id="525"/>
    </w:p>
    <w:p w14:paraId="60DAEAB0" w14:textId="77777777" w:rsidR="001E4931" w:rsidRPr="009A539C" w:rsidRDefault="001E4931" w:rsidP="00941551">
      <w:pPr>
        <w:spacing w:line="360" w:lineRule="auto"/>
        <w:ind w:firstLine="284"/>
        <w:jc w:val="both"/>
        <w:rPr>
          <w:rFonts w:ascii="Calibri" w:hAnsi="Calibri" w:cs="Calibri"/>
        </w:rPr>
      </w:pPr>
      <w:bookmarkStart w:id="526" w:name="_Toc42511730"/>
      <w:bookmarkStart w:id="527" w:name="_Toc42514494"/>
      <w:r w:rsidRPr="009A539C">
        <w:rPr>
          <w:rFonts w:ascii="Calibri" w:hAnsi="Calibri" w:cs="Calibri"/>
        </w:rPr>
        <w:t>No que toca à eficácia das deliberações da comissão paritária, a lei prevê que produzam os efeitos da convenção, se aprovadas por unanimidade, depositadas e publicadas, em moldes idênticos aos de uma convenção (art. 493.º, do CT). Nesse sentido, algumas convenções reproduzem a lei.</w:t>
      </w:r>
      <w:bookmarkEnd w:id="526"/>
      <w:bookmarkEnd w:id="527"/>
      <w:r w:rsidRPr="009A539C">
        <w:rPr>
          <w:rFonts w:ascii="Calibri" w:hAnsi="Calibri" w:cs="Calibri"/>
        </w:rPr>
        <w:t xml:space="preserve"> </w:t>
      </w:r>
    </w:p>
    <w:p w14:paraId="496A461E" w14:textId="77777777" w:rsidR="001E4931" w:rsidRPr="009A539C" w:rsidRDefault="001E4931" w:rsidP="00941551">
      <w:pPr>
        <w:spacing w:line="360" w:lineRule="auto"/>
        <w:ind w:firstLine="284"/>
        <w:jc w:val="both"/>
        <w:rPr>
          <w:rFonts w:ascii="Calibri" w:hAnsi="Calibri" w:cs="Calibri"/>
        </w:rPr>
      </w:pPr>
      <w:bookmarkStart w:id="528" w:name="_Toc42511731"/>
      <w:bookmarkStart w:id="529" w:name="_Toc42514495"/>
      <w:r w:rsidRPr="009A539C">
        <w:rPr>
          <w:rFonts w:ascii="Calibri" w:hAnsi="Calibri" w:cs="Calibri"/>
        </w:rPr>
        <w:t>Em 2019, foram publicadas seis deliberações de comissões paritárias</w:t>
      </w:r>
      <w:r w:rsidRPr="009A539C">
        <w:rPr>
          <w:rFonts w:ascii="Calibri" w:hAnsi="Calibri" w:cs="Calibri"/>
          <w:vertAlign w:val="superscript"/>
        </w:rPr>
        <w:footnoteReference w:id="146"/>
      </w:r>
      <w:r w:rsidR="003136B7" w:rsidRPr="009A539C">
        <w:rPr>
          <w:rFonts w:ascii="Calibri" w:hAnsi="Calibri" w:cs="Calibri"/>
        </w:rPr>
        <w:t xml:space="preserve">, mais uma </w:t>
      </w:r>
      <w:r w:rsidRPr="009A539C">
        <w:rPr>
          <w:rFonts w:ascii="Calibri" w:hAnsi="Calibri" w:cs="Calibri"/>
        </w:rPr>
        <w:t>que no ano anterior. No entanto, 4 delas respeitem à mesma empresa, têm conteúdo idêntico e reportam-se a convenções paralelas</w:t>
      </w:r>
      <w:r w:rsidRPr="009A539C">
        <w:rPr>
          <w:rFonts w:ascii="Calibri" w:hAnsi="Calibri" w:cs="Calibri"/>
          <w:vertAlign w:val="superscript"/>
        </w:rPr>
        <w:footnoteReference w:id="147"/>
      </w:r>
      <w:r w:rsidR="00C41DEF" w:rsidRPr="009A539C">
        <w:rPr>
          <w:rFonts w:ascii="Calibri" w:hAnsi="Calibri" w:cs="Calibri"/>
        </w:rPr>
        <w:t>. Estas d</w:t>
      </w:r>
      <w:r w:rsidRPr="009A539C">
        <w:rPr>
          <w:rFonts w:ascii="Calibri" w:hAnsi="Calibri" w:cs="Calibri"/>
        </w:rPr>
        <w:t xml:space="preserve">eliberações </w:t>
      </w:r>
      <w:r w:rsidR="003136B7" w:rsidRPr="009A539C">
        <w:rPr>
          <w:rFonts w:ascii="Calibri" w:hAnsi="Calibri" w:cs="Calibri"/>
        </w:rPr>
        <w:t xml:space="preserve">respeitam a duas </w:t>
      </w:r>
      <w:r w:rsidRPr="009A539C">
        <w:rPr>
          <w:rFonts w:ascii="Calibri" w:hAnsi="Calibri" w:cs="Calibri"/>
        </w:rPr>
        <w:t>matérias: majoração de férias em função da assiduidade</w:t>
      </w:r>
      <w:r w:rsidRPr="009A539C">
        <w:rPr>
          <w:rFonts w:ascii="Calibri" w:hAnsi="Calibri" w:cs="Calibri"/>
          <w:vertAlign w:val="superscript"/>
        </w:rPr>
        <w:footnoteReference w:id="148"/>
      </w:r>
      <w:r w:rsidR="003136B7" w:rsidRPr="009A539C">
        <w:rPr>
          <w:rFonts w:ascii="Calibri" w:hAnsi="Calibri" w:cs="Calibri"/>
        </w:rPr>
        <w:t xml:space="preserve"> </w:t>
      </w:r>
      <w:r w:rsidRPr="009A539C">
        <w:rPr>
          <w:rFonts w:ascii="Calibri" w:hAnsi="Calibri" w:cs="Calibri"/>
        </w:rPr>
        <w:t xml:space="preserve">e categoriais profissionais e progressão profissional </w:t>
      </w:r>
      <w:r w:rsidRPr="009A539C">
        <w:rPr>
          <w:rFonts w:ascii="Calibri" w:hAnsi="Calibri" w:cs="Calibri"/>
          <w:vertAlign w:val="superscript"/>
        </w:rPr>
        <w:footnoteReference w:id="149"/>
      </w:r>
      <w:r w:rsidR="00C41DEF" w:rsidRPr="009A539C">
        <w:rPr>
          <w:rFonts w:ascii="Calibri" w:hAnsi="Calibri" w:cs="Calibri"/>
        </w:rPr>
        <w:t>.</w:t>
      </w:r>
      <w:bookmarkEnd w:id="528"/>
      <w:bookmarkEnd w:id="529"/>
    </w:p>
    <w:p w14:paraId="1B75E4BD" w14:textId="77777777" w:rsidR="00670176" w:rsidRPr="009A539C" w:rsidRDefault="00670176" w:rsidP="00B45708">
      <w:pPr>
        <w:spacing w:line="360" w:lineRule="auto"/>
        <w:jc w:val="both"/>
        <w:rPr>
          <w:rFonts w:ascii="Calibri" w:hAnsi="Calibri" w:cs="Calibri"/>
        </w:rPr>
      </w:pPr>
    </w:p>
    <w:p w14:paraId="241C1A78" w14:textId="77777777" w:rsidR="00A36F1D" w:rsidRPr="009A539C" w:rsidRDefault="005E7447" w:rsidP="00F364BB">
      <w:pPr>
        <w:pStyle w:val="PargrafodaLista"/>
        <w:numPr>
          <w:ilvl w:val="2"/>
          <w:numId w:val="1"/>
        </w:numPr>
        <w:spacing w:line="360" w:lineRule="auto"/>
        <w:ind w:left="851" w:right="-1"/>
        <w:jc w:val="both"/>
        <w:outlineLvl w:val="2"/>
        <w:rPr>
          <w:rFonts w:ascii="Calibri" w:hAnsi="Calibri" w:cs="Calibri"/>
          <w:b/>
          <w:sz w:val="24"/>
          <w:szCs w:val="24"/>
        </w:rPr>
      </w:pPr>
      <w:bookmarkStart w:id="530" w:name="_Toc45535702"/>
      <w:r w:rsidRPr="009A539C">
        <w:rPr>
          <w:rFonts w:ascii="Calibri" w:hAnsi="Calibri" w:cs="Calibri"/>
          <w:b/>
          <w:sz w:val="24"/>
          <w:szCs w:val="24"/>
        </w:rPr>
        <w:t>Aplicação das convenções 2019</w:t>
      </w:r>
      <w:bookmarkEnd w:id="530"/>
    </w:p>
    <w:p w14:paraId="65304615" w14:textId="77777777" w:rsidR="00AE24DC" w:rsidRPr="009A539C" w:rsidRDefault="00AE24DC" w:rsidP="00B90788">
      <w:pPr>
        <w:pStyle w:val="PargrafodaLista"/>
        <w:spacing w:line="360" w:lineRule="auto"/>
        <w:ind w:left="851" w:right="-1"/>
        <w:jc w:val="both"/>
        <w:outlineLvl w:val="2"/>
        <w:rPr>
          <w:rFonts w:ascii="Calibri" w:hAnsi="Calibri" w:cs="Calibri"/>
        </w:rPr>
      </w:pPr>
    </w:p>
    <w:p w14:paraId="07FD8154" w14:textId="430FC3C7" w:rsidR="00AE24DC" w:rsidRPr="009A539C" w:rsidRDefault="00AE24DC" w:rsidP="00F364BB">
      <w:pPr>
        <w:pStyle w:val="PargrafodaLista"/>
        <w:numPr>
          <w:ilvl w:val="3"/>
          <w:numId w:val="1"/>
        </w:numPr>
        <w:spacing w:line="360" w:lineRule="auto"/>
        <w:ind w:left="1418" w:right="-1"/>
        <w:outlineLvl w:val="3"/>
        <w:rPr>
          <w:rFonts w:ascii="Calibri" w:hAnsi="Calibri" w:cs="Calibri"/>
        </w:rPr>
      </w:pPr>
      <w:bookmarkStart w:id="531" w:name="_Toc7017690"/>
      <w:bookmarkStart w:id="532" w:name="_Toc15652488"/>
      <w:bookmarkStart w:id="533" w:name="_Toc45535703"/>
      <w:r w:rsidRPr="009A539C">
        <w:rPr>
          <w:rFonts w:ascii="Calibri" w:hAnsi="Calibri" w:cs="Calibri"/>
        </w:rPr>
        <w:t>Âmbito geográfico de aplicação</w:t>
      </w:r>
      <w:bookmarkEnd w:id="531"/>
      <w:bookmarkEnd w:id="532"/>
      <w:bookmarkEnd w:id="533"/>
    </w:p>
    <w:p w14:paraId="610CB51E" w14:textId="77777777" w:rsidR="002067B7" w:rsidRPr="009A539C" w:rsidRDefault="002067B7" w:rsidP="00B90788">
      <w:pPr>
        <w:spacing w:line="360" w:lineRule="auto"/>
        <w:ind w:right="-1" w:firstLine="567"/>
        <w:jc w:val="both"/>
        <w:rPr>
          <w:rFonts w:eastAsia="Calibri" w:cstheme="minorHAnsi"/>
          <w:lang w:eastAsia="pt-PT"/>
        </w:rPr>
      </w:pPr>
      <w:r w:rsidRPr="009A539C">
        <w:rPr>
          <w:rFonts w:eastAsia="Calibri" w:cstheme="minorHAnsi"/>
          <w:lang w:eastAsia="pt-PT"/>
        </w:rPr>
        <w:t>A propósito do âmbito geográfico de aplicação das convenções coletivas, o ano de 2019 acompanha a tendência registada em anos anteriores: mantém-se o predomínio das convenções de âmbito nacional (continente e regiões autónomas), por contraposição às de âmbito territorial local ou regional, embora esta repartição binária seja ligeiramente diferente à verificada em 2018 (em termos percentuais: 2019 71%/29%; 2018 74%/26%). Cumpre recordar que este desenvolvimento, não previsto na lei, assenta no exercício da autonomia coletiva [cfr. art.492.º,2,c), do CT].</w:t>
      </w:r>
    </w:p>
    <w:p w14:paraId="24C4E674" w14:textId="1282550E" w:rsidR="002067B7" w:rsidRPr="009A539C" w:rsidRDefault="002067B7" w:rsidP="00B90788">
      <w:pPr>
        <w:spacing w:line="360" w:lineRule="auto"/>
        <w:ind w:left="993" w:right="-1"/>
        <w:jc w:val="center"/>
        <w:rPr>
          <w:rFonts w:eastAsia="Calibri" w:cstheme="minorHAnsi"/>
          <w:b/>
          <w:bCs/>
          <w:color w:val="4F81BD" w:themeColor="accent1"/>
          <w:sz w:val="20"/>
          <w:szCs w:val="20"/>
          <w:lang w:eastAsia="pt-PT"/>
        </w:rPr>
      </w:pPr>
      <w:bookmarkStart w:id="534" w:name="_Toc15655045"/>
      <w:bookmarkStart w:id="535" w:name="_Toc44665216"/>
      <w:r w:rsidRPr="009A539C">
        <w:rPr>
          <w:rFonts w:eastAsia="Calibri" w:cstheme="minorHAnsi"/>
          <w:b/>
          <w:bCs/>
          <w:color w:val="4F81BD" w:themeColor="accent1"/>
          <w:sz w:val="20"/>
          <w:szCs w:val="20"/>
          <w:lang w:eastAsia="pt-PT"/>
        </w:rPr>
        <w:t xml:space="preserve">Gráfico </w:t>
      </w:r>
      <w:r w:rsidR="009972BC" w:rsidRPr="009A539C">
        <w:rPr>
          <w:rFonts w:eastAsia="Calibri" w:cstheme="minorHAnsi"/>
          <w:b/>
          <w:bCs/>
          <w:color w:val="4F81BD" w:themeColor="accent1"/>
          <w:sz w:val="20"/>
          <w:szCs w:val="20"/>
          <w:lang w:eastAsia="pt-PT"/>
        </w:rPr>
        <w:fldChar w:fldCharType="begin"/>
      </w:r>
      <w:r w:rsidRPr="009A539C">
        <w:rPr>
          <w:rFonts w:eastAsia="Calibri" w:cstheme="minorHAnsi"/>
          <w:b/>
          <w:bCs/>
          <w:color w:val="4F81BD" w:themeColor="accent1"/>
          <w:sz w:val="20"/>
          <w:szCs w:val="20"/>
          <w:lang w:eastAsia="pt-PT"/>
        </w:rPr>
        <w:instrText xml:space="preserve"> SEQ Gráfico \* ARABIC </w:instrText>
      </w:r>
      <w:r w:rsidR="009972BC" w:rsidRPr="009A539C">
        <w:rPr>
          <w:rFonts w:eastAsia="Calibri" w:cstheme="minorHAnsi"/>
          <w:b/>
          <w:bCs/>
          <w:color w:val="4F81BD" w:themeColor="accent1"/>
          <w:sz w:val="20"/>
          <w:szCs w:val="20"/>
          <w:lang w:eastAsia="pt-PT"/>
        </w:rPr>
        <w:fldChar w:fldCharType="separate"/>
      </w:r>
      <w:r w:rsidR="00D821DE">
        <w:rPr>
          <w:rFonts w:eastAsia="Calibri" w:cstheme="minorHAnsi"/>
          <w:b/>
          <w:bCs/>
          <w:noProof/>
          <w:color w:val="4F81BD" w:themeColor="accent1"/>
          <w:sz w:val="20"/>
          <w:szCs w:val="20"/>
          <w:lang w:eastAsia="pt-PT"/>
        </w:rPr>
        <w:t>14</w:t>
      </w:r>
      <w:r w:rsidR="009972BC" w:rsidRPr="009A539C">
        <w:rPr>
          <w:rFonts w:eastAsia="Calibri" w:cstheme="minorHAnsi"/>
          <w:color w:val="4F81BD" w:themeColor="accent1"/>
          <w:sz w:val="20"/>
          <w:szCs w:val="20"/>
          <w:lang w:eastAsia="pt-PT"/>
        </w:rPr>
        <w:fldChar w:fldCharType="end"/>
      </w:r>
      <w:r w:rsidRPr="009A539C">
        <w:rPr>
          <w:rFonts w:eastAsia="Calibri" w:cstheme="minorHAnsi"/>
          <w:b/>
          <w:bCs/>
          <w:color w:val="4F81BD" w:themeColor="accent1"/>
          <w:sz w:val="20"/>
          <w:szCs w:val="20"/>
          <w:lang w:eastAsia="pt-PT"/>
        </w:rPr>
        <w:t xml:space="preserve"> - Âmbito geográfico das Convenções </w:t>
      </w:r>
      <w:r w:rsidR="006A4A91">
        <w:rPr>
          <w:rFonts w:eastAsia="Calibri" w:cstheme="minorHAnsi"/>
          <w:b/>
          <w:bCs/>
          <w:color w:val="4F81BD" w:themeColor="accent1"/>
          <w:sz w:val="20"/>
          <w:szCs w:val="20"/>
          <w:lang w:eastAsia="pt-PT"/>
        </w:rPr>
        <w:t>(</w:t>
      </w:r>
      <w:r w:rsidRPr="009A539C">
        <w:rPr>
          <w:rFonts w:eastAsia="Calibri" w:cstheme="minorHAnsi"/>
          <w:b/>
          <w:bCs/>
          <w:color w:val="4F81BD" w:themeColor="accent1"/>
          <w:sz w:val="20"/>
          <w:szCs w:val="20"/>
          <w:lang w:eastAsia="pt-PT"/>
        </w:rPr>
        <w:t>201</w:t>
      </w:r>
      <w:bookmarkEnd w:id="534"/>
      <w:r w:rsidRPr="009A539C">
        <w:rPr>
          <w:rFonts w:eastAsia="Calibri" w:cstheme="minorHAnsi"/>
          <w:b/>
          <w:bCs/>
          <w:color w:val="4F81BD" w:themeColor="accent1"/>
          <w:sz w:val="20"/>
          <w:szCs w:val="20"/>
          <w:lang w:eastAsia="pt-PT"/>
        </w:rPr>
        <w:t>9</w:t>
      </w:r>
      <w:bookmarkEnd w:id="535"/>
      <w:r w:rsidR="006A4A91">
        <w:rPr>
          <w:rFonts w:eastAsia="Calibri" w:cstheme="minorHAnsi"/>
          <w:b/>
          <w:bCs/>
          <w:color w:val="4F81BD" w:themeColor="accent1"/>
          <w:sz w:val="20"/>
          <w:szCs w:val="20"/>
          <w:lang w:eastAsia="pt-PT"/>
        </w:rPr>
        <w:t>)</w:t>
      </w:r>
    </w:p>
    <w:p w14:paraId="30C9AF4E" w14:textId="77777777" w:rsidR="003136B7" w:rsidRPr="009A539C" w:rsidRDefault="002067B7" w:rsidP="00B90788">
      <w:pPr>
        <w:spacing w:line="360" w:lineRule="auto"/>
        <w:ind w:left="993" w:right="-1"/>
        <w:jc w:val="center"/>
        <w:rPr>
          <w:rFonts w:eastAsia="Calibri" w:cstheme="minorHAnsi"/>
          <w:lang w:eastAsia="pt-PT"/>
        </w:rPr>
      </w:pPr>
      <w:r w:rsidRPr="009A539C">
        <w:rPr>
          <w:rFonts w:eastAsia="Calibri" w:cstheme="minorHAnsi"/>
          <w:noProof/>
          <w:lang w:eastAsia="pt-PT"/>
        </w:rPr>
        <w:drawing>
          <wp:inline distT="0" distB="0" distL="0" distR="0" wp14:anchorId="63D340F4" wp14:editId="3A6FB80B">
            <wp:extent cx="2918424" cy="1572768"/>
            <wp:effectExtent l="0" t="0" r="0" b="0"/>
            <wp:docPr id="1146" name="Imagem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18645" cy="1572887"/>
                    </a:xfrm>
                    <a:prstGeom prst="rect">
                      <a:avLst/>
                    </a:prstGeom>
                    <a:noFill/>
                    <a:ln>
                      <a:noFill/>
                    </a:ln>
                  </pic:spPr>
                </pic:pic>
              </a:graphicData>
            </a:graphic>
          </wp:inline>
        </w:drawing>
      </w:r>
    </w:p>
    <w:p w14:paraId="445721E5" w14:textId="77777777" w:rsidR="008958B2" w:rsidRPr="009A539C" w:rsidRDefault="008958B2" w:rsidP="00B90788">
      <w:pPr>
        <w:spacing w:line="360" w:lineRule="auto"/>
        <w:ind w:left="993" w:right="-1"/>
        <w:rPr>
          <w:rFonts w:eastAsia="Calibri" w:cstheme="minorHAnsi"/>
          <w:lang w:eastAsia="pt-PT"/>
        </w:rPr>
      </w:pPr>
    </w:p>
    <w:p w14:paraId="17ABBD52" w14:textId="2D05C4CA" w:rsidR="002067B7" w:rsidRPr="001843FF" w:rsidRDefault="002B051C" w:rsidP="00914010">
      <w:pPr>
        <w:pStyle w:val="Legenda"/>
        <w:jc w:val="center"/>
        <w:rPr>
          <w:rFonts w:eastAsia="Calibri" w:cstheme="minorHAnsi"/>
          <w:b w:val="0"/>
          <w:bCs w:val="0"/>
          <w:sz w:val="20"/>
          <w:szCs w:val="20"/>
          <w:lang w:eastAsia="pt-PT"/>
        </w:rPr>
      </w:pPr>
      <w:bookmarkStart w:id="536" w:name="_Toc15654971"/>
      <w:bookmarkStart w:id="537" w:name="_Toc45716653"/>
      <w:r w:rsidRPr="001843FF">
        <w:rPr>
          <w:b w:val="0"/>
          <w:sz w:val="20"/>
          <w:szCs w:val="20"/>
        </w:rPr>
        <w:t xml:space="preserve">Quadro </w:t>
      </w:r>
      <w:r w:rsidR="00256F15" w:rsidRPr="001843FF">
        <w:rPr>
          <w:b w:val="0"/>
          <w:sz w:val="20"/>
          <w:szCs w:val="20"/>
        </w:rPr>
        <w:fldChar w:fldCharType="begin"/>
      </w:r>
      <w:r w:rsidR="00256F15" w:rsidRPr="001843FF">
        <w:rPr>
          <w:b w:val="0"/>
          <w:sz w:val="20"/>
          <w:szCs w:val="20"/>
        </w:rPr>
        <w:instrText xml:space="preserve"> SEQ Quadro \* ARABIC </w:instrText>
      </w:r>
      <w:r w:rsidR="00256F15" w:rsidRPr="001843FF">
        <w:rPr>
          <w:b w:val="0"/>
          <w:sz w:val="20"/>
          <w:szCs w:val="20"/>
        </w:rPr>
        <w:fldChar w:fldCharType="separate"/>
      </w:r>
      <w:r w:rsidR="00D821DE" w:rsidRPr="001843FF">
        <w:rPr>
          <w:b w:val="0"/>
          <w:noProof/>
          <w:sz w:val="20"/>
          <w:szCs w:val="20"/>
        </w:rPr>
        <w:t>32</w:t>
      </w:r>
      <w:r w:rsidR="00256F15" w:rsidRPr="001843FF">
        <w:rPr>
          <w:b w:val="0"/>
          <w:noProof/>
          <w:sz w:val="20"/>
          <w:szCs w:val="20"/>
        </w:rPr>
        <w:fldChar w:fldCharType="end"/>
      </w:r>
      <w:r w:rsidR="002067B7" w:rsidRPr="001843FF">
        <w:rPr>
          <w:rFonts w:eastAsia="Calibri" w:cstheme="minorHAnsi"/>
          <w:b w:val="0"/>
          <w:sz w:val="20"/>
          <w:szCs w:val="20"/>
          <w:lang w:eastAsia="pt-PT"/>
        </w:rPr>
        <w:t xml:space="preserve"> - Âmbito geográfico das convenções (por abrangência geográfica e tipo de convenção)</w:t>
      </w:r>
      <w:bookmarkEnd w:id="536"/>
      <w:r w:rsidR="006A4A91" w:rsidRPr="001843FF">
        <w:rPr>
          <w:rFonts w:eastAsia="Calibri" w:cstheme="minorHAnsi"/>
          <w:b w:val="0"/>
          <w:sz w:val="20"/>
          <w:szCs w:val="20"/>
          <w:lang w:eastAsia="pt-PT"/>
        </w:rPr>
        <w:t xml:space="preserve"> (2019-2018)</w:t>
      </w:r>
      <w:bookmarkEnd w:id="537"/>
    </w:p>
    <w:p w14:paraId="328AB241" w14:textId="77777777" w:rsidR="002067B7" w:rsidRPr="009A539C" w:rsidRDefault="002067B7" w:rsidP="00B90788">
      <w:pPr>
        <w:spacing w:line="360" w:lineRule="auto"/>
        <w:ind w:left="993" w:right="-1"/>
        <w:jc w:val="center"/>
        <w:rPr>
          <w:rFonts w:eastAsia="Calibri" w:cstheme="minorHAnsi"/>
          <w:lang w:eastAsia="pt-PT"/>
        </w:rPr>
      </w:pPr>
      <w:r w:rsidRPr="009A539C">
        <w:rPr>
          <w:rFonts w:eastAsia="Calibri" w:cstheme="minorHAnsi"/>
          <w:noProof/>
          <w:lang w:eastAsia="pt-PT"/>
        </w:rPr>
        <w:drawing>
          <wp:inline distT="0" distB="0" distL="0" distR="0" wp14:anchorId="6AF44AF2" wp14:editId="38EC14A9">
            <wp:extent cx="3330046" cy="1343770"/>
            <wp:effectExtent l="0" t="0" r="3810" b="8890"/>
            <wp:docPr id="1148" name="Imagem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30046" cy="1343770"/>
                    </a:xfrm>
                    <a:prstGeom prst="rect">
                      <a:avLst/>
                    </a:prstGeom>
                    <a:noFill/>
                    <a:ln>
                      <a:noFill/>
                    </a:ln>
                  </pic:spPr>
                </pic:pic>
              </a:graphicData>
            </a:graphic>
          </wp:inline>
        </w:drawing>
      </w:r>
    </w:p>
    <w:p w14:paraId="0DE53BB0" w14:textId="77777777" w:rsidR="002067B7" w:rsidRPr="009A539C" w:rsidRDefault="002067B7" w:rsidP="00B90788">
      <w:pPr>
        <w:spacing w:line="360" w:lineRule="auto"/>
        <w:ind w:left="993" w:right="-1"/>
        <w:rPr>
          <w:rFonts w:eastAsia="Calibri" w:cstheme="minorHAnsi"/>
          <w:lang w:eastAsia="pt-PT"/>
        </w:rPr>
      </w:pPr>
    </w:p>
    <w:p w14:paraId="2E2F7AC6" w14:textId="77777777" w:rsidR="0032160B" w:rsidRPr="009A539C" w:rsidRDefault="002067B7" w:rsidP="00B90788">
      <w:pPr>
        <w:spacing w:line="360" w:lineRule="auto"/>
        <w:ind w:right="-1" w:firstLine="567"/>
        <w:jc w:val="both"/>
        <w:rPr>
          <w:rFonts w:eastAsia="Calibri" w:cstheme="minorHAnsi"/>
          <w:lang w:eastAsia="pt-PT"/>
        </w:rPr>
      </w:pPr>
      <w:r w:rsidRPr="009A539C">
        <w:rPr>
          <w:rFonts w:eastAsia="Calibri" w:cstheme="minorHAnsi"/>
          <w:lang w:eastAsia="pt-PT"/>
        </w:rPr>
        <w:t>Há também</w:t>
      </w:r>
      <w:r w:rsidR="003136B7" w:rsidRPr="009A539C">
        <w:rPr>
          <w:rFonts w:eastAsia="Calibri" w:cstheme="minorHAnsi"/>
          <w:lang w:eastAsia="pt-PT"/>
        </w:rPr>
        <w:t xml:space="preserve"> a registar </w:t>
      </w:r>
      <w:r w:rsidRPr="009A539C">
        <w:rPr>
          <w:rFonts w:eastAsia="Calibri" w:cstheme="minorHAnsi"/>
          <w:lang w:eastAsia="pt-PT"/>
        </w:rPr>
        <w:t xml:space="preserve">9 convenções de âmbito nacional que alargam o âmbito geográfico para além do território português, prevendo a sua aplicação a trabalhadores filiados que prestem serviço quer em território nacional quer no estrangeiro. Estas referências ocorrem nos </w:t>
      </w:r>
      <w:r w:rsidR="00295F4E" w:rsidRPr="009A539C">
        <w:rPr>
          <w:rFonts w:eastAsia="Calibri" w:cstheme="minorHAnsi"/>
          <w:lang w:eastAsia="pt-PT"/>
        </w:rPr>
        <w:t>setor</w:t>
      </w:r>
      <w:r w:rsidRPr="009A539C">
        <w:rPr>
          <w:rFonts w:eastAsia="Calibri" w:cstheme="minorHAnsi"/>
          <w:lang w:eastAsia="pt-PT"/>
        </w:rPr>
        <w:t>es: transportes</w:t>
      </w:r>
      <w:r w:rsidRPr="009A539C">
        <w:rPr>
          <w:rFonts w:eastAsia="Calibri" w:cstheme="minorHAnsi"/>
          <w:vertAlign w:val="superscript"/>
          <w:lang w:eastAsia="pt-PT"/>
        </w:rPr>
        <w:footnoteReference w:id="150"/>
      </w:r>
      <w:r w:rsidRPr="009A539C">
        <w:rPr>
          <w:rFonts w:eastAsia="Calibri" w:cstheme="minorHAnsi"/>
          <w:lang w:eastAsia="pt-PT"/>
        </w:rPr>
        <w:t xml:space="preserve"> (5) e indústria</w:t>
      </w:r>
      <w:r w:rsidRPr="009A539C">
        <w:rPr>
          <w:rFonts w:eastAsia="Calibri" w:cstheme="minorHAnsi"/>
          <w:vertAlign w:val="superscript"/>
          <w:lang w:eastAsia="pt-PT"/>
        </w:rPr>
        <w:footnoteReference w:id="151"/>
      </w:r>
      <w:r w:rsidR="003136B7" w:rsidRPr="009A539C">
        <w:rPr>
          <w:rFonts w:eastAsia="Calibri" w:cstheme="minorHAnsi"/>
          <w:lang w:eastAsia="pt-PT"/>
        </w:rPr>
        <w:t xml:space="preserve"> (3) e </w:t>
      </w:r>
      <w:r w:rsidRPr="009A539C">
        <w:rPr>
          <w:rFonts w:eastAsia="Calibri" w:cstheme="minorHAnsi"/>
          <w:lang w:eastAsia="pt-PT"/>
        </w:rPr>
        <w:t>financeiro</w:t>
      </w:r>
      <w:r w:rsidRPr="009A539C">
        <w:rPr>
          <w:rFonts w:eastAsia="Calibri" w:cstheme="minorHAnsi"/>
          <w:vertAlign w:val="superscript"/>
          <w:lang w:eastAsia="pt-PT"/>
        </w:rPr>
        <w:footnoteReference w:id="152"/>
      </w:r>
      <w:r w:rsidRPr="009A539C">
        <w:rPr>
          <w:rFonts w:eastAsia="Calibri" w:cstheme="minorHAnsi"/>
          <w:lang w:eastAsia="pt-PT"/>
        </w:rPr>
        <w:t xml:space="preserve"> (1).</w:t>
      </w:r>
    </w:p>
    <w:p w14:paraId="0942BA7D" w14:textId="77777777" w:rsidR="00914010" w:rsidRPr="009A539C" w:rsidRDefault="00914010" w:rsidP="00F747A9">
      <w:pPr>
        <w:spacing w:line="360" w:lineRule="auto"/>
        <w:ind w:right="-1"/>
        <w:jc w:val="both"/>
        <w:rPr>
          <w:rFonts w:ascii="Calibri" w:hAnsi="Calibri" w:cs="Calibri"/>
        </w:rPr>
      </w:pPr>
    </w:p>
    <w:p w14:paraId="1B720341" w14:textId="77777777" w:rsidR="00AE24DC" w:rsidRPr="009A539C" w:rsidRDefault="000F0BA3" w:rsidP="00F364BB">
      <w:pPr>
        <w:pStyle w:val="PargrafodaLista"/>
        <w:numPr>
          <w:ilvl w:val="3"/>
          <w:numId w:val="1"/>
        </w:numPr>
        <w:spacing w:line="360" w:lineRule="auto"/>
        <w:ind w:left="1418" w:right="-1"/>
        <w:outlineLvl w:val="3"/>
        <w:rPr>
          <w:rFonts w:ascii="Calibri" w:hAnsi="Calibri" w:cs="Calibri"/>
        </w:rPr>
      </w:pPr>
      <w:bookmarkStart w:id="538" w:name="_Toc45535704"/>
      <w:r w:rsidRPr="009A539C">
        <w:rPr>
          <w:rFonts w:ascii="Calibri" w:hAnsi="Calibri" w:cs="Calibri"/>
        </w:rPr>
        <w:t>Âmbito pessoal de aplicação e cláusulas de comparticipação nos encargos da negociação</w:t>
      </w:r>
      <w:bookmarkEnd w:id="538"/>
    </w:p>
    <w:p w14:paraId="2F873F2B" w14:textId="77777777" w:rsidR="00670176" w:rsidRPr="009A539C" w:rsidRDefault="00670176" w:rsidP="00670176">
      <w:pPr>
        <w:pStyle w:val="PargrafodaLista"/>
        <w:spacing w:line="360" w:lineRule="auto"/>
        <w:ind w:left="1418" w:right="-1"/>
        <w:outlineLvl w:val="3"/>
        <w:rPr>
          <w:rFonts w:ascii="Calibri" w:hAnsi="Calibri" w:cs="Calibri"/>
        </w:rPr>
      </w:pPr>
    </w:p>
    <w:p w14:paraId="7FF3A30F" w14:textId="44DB2139" w:rsidR="002067B7" w:rsidRPr="009A539C" w:rsidRDefault="002067B7" w:rsidP="00941551">
      <w:pPr>
        <w:pStyle w:val="PargrafodaLista"/>
        <w:numPr>
          <w:ilvl w:val="0"/>
          <w:numId w:val="88"/>
        </w:numPr>
        <w:spacing w:line="360" w:lineRule="auto"/>
        <w:ind w:left="0" w:firstLine="284"/>
        <w:jc w:val="both"/>
        <w:rPr>
          <w:rFonts w:eastAsia="Calibri" w:cstheme="minorHAnsi"/>
          <w:lang w:eastAsia="pt-PT"/>
        </w:rPr>
      </w:pPr>
      <w:bookmarkStart w:id="539" w:name="_Toc42511735"/>
      <w:bookmarkStart w:id="540" w:name="_Toc42514499"/>
      <w:r w:rsidRPr="009A539C">
        <w:rPr>
          <w:rFonts w:eastAsia="Calibri" w:cstheme="minorHAnsi"/>
          <w:lang w:eastAsia="pt-PT"/>
        </w:rPr>
        <w:t xml:space="preserve">Importa recordar que o âmbito pessoal de aplicação das convenções coletivas assenta no princípio da filiação, consagrado nos </w:t>
      </w:r>
      <w:r w:rsidR="003136B7" w:rsidRPr="009A539C">
        <w:rPr>
          <w:rFonts w:eastAsia="Calibri" w:cstheme="minorHAnsi"/>
          <w:lang w:eastAsia="pt-PT"/>
        </w:rPr>
        <w:t xml:space="preserve">arts. 496.º a 498.º do CT. E é </w:t>
      </w:r>
      <w:r w:rsidRPr="009A539C">
        <w:rPr>
          <w:rFonts w:eastAsia="Calibri" w:cstheme="minorHAnsi"/>
          <w:lang w:eastAsia="pt-PT"/>
        </w:rPr>
        <w:t xml:space="preserve">a partir de indicação das entidades outorgantes [492.º, 1, </w:t>
      </w:r>
      <w:r w:rsidRPr="009A539C">
        <w:rPr>
          <w:rFonts w:eastAsia="Calibri" w:cstheme="minorHAnsi"/>
          <w:i/>
          <w:lang w:eastAsia="pt-PT"/>
        </w:rPr>
        <w:t>a</w:t>
      </w:r>
      <w:r w:rsidRPr="009A539C">
        <w:rPr>
          <w:rFonts w:eastAsia="Calibri" w:cstheme="minorHAnsi"/>
          <w:lang w:eastAsia="pt-PT"/>
        </w:rPr>
        <w:t xml:space="preserve">), do CT] </w:t>
      </w:r>
      <w:r w:rsidR="00D93EEE" w:rsidRPr="009A539C">
        <w:rPr>
          <w:rFonts w:eastAsia="Calibri" w:cstheme="minorHAnsi"/>
          <w:lang w:eastAsia="pt-PT"/>
        </w:rPr>
        <w:t xml:space="preserve"> </w:t>
      </w:r>
      <w:r w:rsidRPr="009A539C">
        <w:rPr>
          <w:rFonts w:eastAsia="Calibri" w:cstheme="minorHAnsi"/>
          <w:lang w:eastAsia="pt-PT"/>
        </w:rPr>
        <w:t xml:space="preserve">do </w:t>
      </w:r>
      <w:r w:rsidR="00D93EEE" w:rsidRPr="009A539C">
        <w:rPr>
          <w:rFonts w:eastAsia="Calibri" w:cstheme="minorHAnsi"/>
          <w:lang w:eastAsia="pt-PT"/>
        </w:rPr>
        <w:t xml:space="preserve">seu </w:t>
      </w:r>
      <w:r w:rsidR="00295F4E" w:rsidRPr="009A539C">
        <w:rPr>
          <w:rFonts w:eastAsia="Calibri" w:cstheme="minorHAnsi"/>
          <w:lang w:eastAsia="pt-PT"/>
        </w:rPr>
        <w:t>âmbito se</w:t>
      </w:r>
      <w:r w:rsidRPr="009A539C">
        <w:rPr>
          <w:rFonts w:eastAsia="Calibri" w:cstheme="minorHAnsi"/>
          <w:lang w:eastAsia="pt-PT"/>
        </w:rPr>
        <w:t xml:space="preserve">torial, profissional e geográfico [492.º, 1, </w:t>
      </w:r>
      <w:r w:rsidRPr="009A539C">
        <w:rPr>
          <w:rFonts w:eastAsia="Calibri" w:cstheme="minorHAnsi"/>
          <w:i/>
          <w:lang w:eastAsia="pt-PT"/>
        </w:rPr>
        <w:t>c</w:t>
      </w:r>
      <w:r w:rsidRPr="009A539C">
        <w:rPr>
          <w:rFonts w:eastAsia="Calibri" w:cstheme="minorHAnsi"/>
          <w:lang w:eastAsia="pt-PT"/>
        </w:rPr>
        <w:t>) do CT]</w:t>
      </w:r>
      <w:r w:rsidR="00D93EEE" w:rsidRPr="009A539C">
        <w:rPr>
          <w:rFonts w:eastAsia="Calibri" w:cstheme="minorHAnsi"/>
          <w:lang w:eastAsia="pt-PT"/>
        </w:rPr>
        <w:t>,</w:t>
      </w:r>
      <w:r w:rsidRPr="009A539C">
        <w:rPr>
          <w:rFonts w:eastAsia="Calibri" w:cstheme="minorHAnsi"/>
          <w:lang w:eastAsia="pt-PT"/>
        </w:rPr>
        <w:t xml:space="preserve"> que se delimita o universo das relações de trabalho cobertas pela convenção (isto é, se identificam os sujeitos dos contratos de trabalho em relação aos quais se terá de verificar a filiação, do empregador e do trabalhador, para que a convenção se lhes aplique).</w:t>
      </w:r>
      <w:bookmarkEnd w:id="539"/>
      <w:bookmarkEnd w:id="540"/>
      <w:r w:rsidRPr="009A539C">
        <w:rPr>
          <w:rFonts w:eastAsia="Calibri" w:cstheme="minorHAnsi"/>
          <w:lang w:eastAsia="pt-PT"/>
        </w:rPr>
        <w:t xml:space="preserve"> </w:t>
      </w:r>
    </w:p>
    <w:p w14:paraId="40C37D78" w14:textId="77777777" w:rsidR="00CB18ED" w:rsidRPr="009A539C" w:rsidRDefault="00CB18ED" w:rsidP="00941551">
      <w:pPr>
        <w:spacing w:line="360" w:lineRule="auto"/>
        <w:ind w:firstLine="284"/>
        <w:rPr>
          <w:rFonts w:eastAsia="Calibri" w:cstheme="minorHAnsi"/>
          <w:lang w:eastAsia="pt-PT"/>
        </w:rPr>
      </w:pPr>
    </w:p>
    <w:p w14:paraId="26B14AB9" w14:textId="0E08CFCC" w:rsidR="002067B7" w:rsidRPr="009A539C" w:rsidRDefault="002067B7" w:rsidP="00941551">
      <w:pPr>
        <w:pStyle w:val="PargrafodaLista"/>
        <w:numPr>
          <w:ilvl w:val="0"/>
          <w:numId w:val="88"/>
        </w:numPr>
        <w:spacing w:line="360" w:lineRule="auto"/>
        <w:ind w:left="0" w:firstLine="284"/>
        <w:jc w:val="both"/>
        <w:rPr>
          <w:rFonts w:eastAsia="Calibri" w:cstheme="minorHAnsi"/>
          <w:lang w:eastAsia="pt-PT"/>
        </w:rPr>
      </w:pPr>
      <w:bookmarkStart w:id="541" w:name="_Toc42511736"/>
      <w:bookmarkStart w:id="542" w:name="_Toc42514500"/>
      <w:r w:rsidRPr="009A539C">
        <w:rPr>
          <w:rFonts w:eastAsia="Calibri" w:cstheme="minorHAnsi"/>
          <w:lang w:eastAsia="pt-PT"/>
        </w:rPr>
        <w:t>O regime legal, que permite a aplicação das convenções coletivas a trabalhadores não sindicalizados, por adesão individual a uma convenção coletiva aplicável na resp</w:t>
      </w:r>
      <w:r w:rsidR="0034523E" w:rsidRPr="009A539C">
        <w:rPr>
          <w:rFonts w:eastAsia="Calibri" w:cstheme="minorHAnsi"/>
          <w:lang w:eastAsia="pt-PT"/>
        </w:rPr>
        <w:t>etiva empresa</w:t>
      </w:r>
      <w:r w:rsidRPr="009A539C">
        <w:rPr>
          <w:rFonts w:eastAsia="Calibri" w:cstheme="minorHAnsi"/>
          <w:lang w:eastAsia="pt-PT"/>
        </w:rPr>
        <w:t xml:space="preserve">, foi recentemente alterado, no sentido de limitar o exercício deste direito potestativo e individual de escolha de convenção, no que toca ao prazo para adesão (3 meses, após a entrada em vigor do instrumento escolhido ou do início da execução do contrato de </w:t>
      </w:r>
      <w:r w:rsidR="003136B7" w:rsidRPr="009A539C">
        <w:rPr>
          <w:rFonts w:eastAsia="Calibri" w:cstheme="minorHAnsi"/>
          <w:lang w:eastAsia="pt-PT"/>
        </w:rPr>
        <w:t xml:space="preserve">trabalho, se este for posterior) e ao período mínimo para aplicação </w:t>
      </w:r>
      <w:r w:rsidRPr="009A539C">
        <w:rPr>
          <w:rFonts w:eastAsia="Calibri" w:cstheme="minorHAnsi"/>
          <w:lang w:eastAsia="pt-PT"/>
        </w:rPr>
        <w:t>da convenção escolhida (15 meses). E</w:t>
      </w:r>
      <w:r w:rsidR="003136B7" w:rsidRPr="009A539C">
        <w:rPr>
          <w:rFonts w:eastAsia="Calibri" w:cstheme="minorHAnsi"/>
          <w:lang w:eastAsia="pt-PT"/>
        </w:rPr>
        <w:t xml:space="preserve">sse </w:t>
      </w:r>
      <w:r w:rsidRPr="009A539C">
        <w:rPr>
          <w:rFonts w:eastAsia="Calibri" w:cstheme="minorHAnsi"/>
          <w:lang w:eastAsia="pt-PT"/>
        </w:rPr>
        <w:t>direito de escolha passa a poder ser exercido apenas uma vez</w:t>
      </w:r>
      <w:r w:rsidR="00CB18ED" w:rsidRPr="009A539C">
        <w:rPr>
          <w:rFonts w:eastAsia="Calibri" w:cstheme="minorHAnsi"/>
          <w:lang w:eastAsia="pt-PT"/>
        </w:rPr>
        <w:t>,</w:t>
      </w:r>
      <w:r w:rsidRPr="009A539C">
        <w:rPr>
          <w:rFonts w:eastAsia="Calibri" w:cstheme="minorHAnsi"/>
          <w:lang w:eastAsia="pt-PT"/>
        </w:rPr>
        <w:t xml:space="preserve"> enquanto o trabalhador estiver ao serviço do mesmo empregador (art. 497ª</w:t>
      </w:r>
      <w:r w:rsidR="00D93EEE" w:rsidRPr="009A539C">
        <w:rPr>
          <w:rFonts w:eastAsia="Calibri" w:cstheme="minorHAnsi"/>
          <w:lang w:eastAsia="pt-PT"/>
        </w:rPr>
        <w:t>,</w:t>
      </w:r>
      <w:r w:rsidRPr="009A539C">
        <w:rPr>
          <w:rFonts w:eastAsia="Calibri" w:cstheme="minorHAnsi"/>
          <w:lang w:eastAsia="pt-PT"/>
        </w:rPr>
        <w:t xml:space="preserve"> CT</w:t>
      </w:r>
      <w:r w:rsidR="00D93EEE" w:rsidRPr="009A539C">
        <w:rPr>
          <w:rFonts w:eastAsia="Calibri" w:cstheme="minorHAnsi"/>
          <w:lang w:eastAsia="pt-PT"/>
        </w:rPr>
        <w:t>,</w:t>
      </w:r>
      <w:r w:rsidR="003136B7" w:rsidRPr="009A539C">
        <w:rPr>
          <w:rFonts w:eastAsia="Calibri" w:cstheme="minorHAnsi"/>
          <w:lang w:eastAsia="pt-PT"/>
        </w:rPr>
        <w:t xml:space="preserve"> </w:t>
      </w:r>
      <w:r w:rsidR="00D93EEE" w:rsidRPr="009A539C">
        <w:rPr>
          <w:rFonts w:eastAsia="Calibri" w:cstheme="minorHAnsi"/>
          <w:lang w:eastAsia="pt-PT"/>
        </w:rPr>
        <w:t>L</w:t>
      </w:r>
      <w:r w:rsidR="003136B7" w:rsidRPr="009A539C">
        <w:rPr>
          <w:rFonts w:eastAsia="Calibri" w:cstheme="minorHAnsi"/>
          <w:lang w:eastAsia="pt-PT"/>
        </w:rPr>
        <w:t>ei</w:t>
      </w:r>
      <w:r w:rsidR="00D93EEE" w:rsidRPr="009A539C">
        <w:rPr>
          <w:rFonts w:eastAsia="Calibri" w:cstheme="minorHAnsi"/>
          <w:lang w:eastAsia="pt-PT"/>
        </w:rPr>
        <w:t xml:space="preserve"> n.º</w:t>
      </w:r>
      <w:r w:rsidR="003136B7" w:rsidRPr="009A539C">
        <w:rPr>
          <w:rFonts w:eastAsia="Calibri" w:cstheme="minorHAnsi"/>
          <w:lang w:eastAsia="pt-PT"/>
        </w:rPr>
        <w:t xml:space="preserve"> 93/2019, de 4 de setembro)</w:t>
      </w:r>
      <w:r w:rsidRPr="009A539C">
        <w:rPr>
          <w:rFonts w:eastAsia="Calibri" w:cstheme="minorHAnsi"/>
          <w:vertAlign w:val="superscript"/>
          <w:lang w:eastAsia="pt-PT"/>
        </w:rPr>
        <w:footnoteReference w:id="153"/>
      </w:r>
      <w:r w:rsidR="00CB18ED" w:rsidRPr="009A539C">
        <w:rPr>
          <w:rFonts w:eastAsia="Calibri" w:cstheme="minorHAnsi"/>
          <w:lang w:eastAsia="pt-PT"/>
        </w:rPr>
        <w:t>.</w:t>
      </w:r>
      <w:bookmarkEnd w:id="541"/>
      <w:bookmarkEnd w:id="542"/>
    </w:p>
    <w:p w14:paraId="7A8C64C9" w14:textId="77777777" w:rsidR="002067B7" w:rsidRPr="009A539C" w:rsidRDefault="002067B7" w:rsidP="00941551">
      <w:pPr>
        <w:spacing w:line="360" w:lineRule="auto"/>
        <w:ind w:firstLine="284"/>
        <w:rPr>
          <w:rFonts w:eastAsia="Calibri" w:cstheme="minorHAnsi"/>
          <w:lang w:eastAsia="pt-PT"/>
        </w:rPr>
      </w:pPr>
    </w:p>
    <w:p w14:paraId="77035B18" w14:textId="566DC4BE" w:rsidR="002067B7" w:rsidRPr="009A539C" w:rsidRDefault="002067B7" w:rsidP="00941551">
      <w:pPr>
        <w:pStyle w:val="PargrafodaLista"/>
        <w:numPr>
          <w:ilvl w:val="0"/>
          <w:numId w:val="88"/>
        </w:numPr>
        <w:spacing w:line="360" w:lineRule="auto"/>
        <w:ind w:left="0" w:firstLine="284"/>
        <w:jc w:val="both"/>
        <w:rPr>
          <w:rFonts w:eastAsia="Calibri" w:cstheme="minorHAnsi"/>
          <w:lang w:eastAsia="pt-PT"/>
        </w:rPr>
      </w:pPr>
      <w:bookmarkStart w:id="543" w:name="_Toc42511737"/>
      <w:bookmarkStart w:id="544" w:name="_Toc42514501"/>
      <w:r w:rsidRPr="009A539C">
        <w:rPr>
          <w:rFonts w:eastAsia="Calibri" w:cstheme="minorHAnsi"/>
          <w:lang w:eastAsia="pt-PT"/>
        </w:rPr>
        <w:t>Por outro lado, o Código do Trabalho admite (492.º, 4) que se convencione a obrigação desses trabalhadores pagarem um montante “às associações sindicais envolvidas, a título de comparticipação nos encargos da negociação”. Nas co</w:t>
      </w:r>
      <w:r w:rsidR="003136B7" w:rsidRPr="009A539C">
        <w:rPr>
          <w:rFonts w:eastAsia="Calibri" w:cstheme="minorHAnsi"/>
          <w:lang w:eastAsia="pt-PT"/>
        </w:rPr>
        <w:t xml:space="preserve">nvenções publicadas em 2019 há apenas 16 convenções </w:t>
      </w:r>
      <w:r w:rsidRPr="009A539C">
        <w:rPr>
          <w:rFonts w:eastAsia="Calibri" w:cstheme="minorHAnsi"/>
          <w:lang w:eastAsia="pt-PT"/>
        </w:rPr>
        <w:t>(12 AE; 3 CC e 2 AC) que regem a adesão de não sindicalizados e estabelecem as respetivas condições, incluindo a obrigação de pagar uma cont</w:t>
      </w:r>
      <w:r w:rsidR="003136B7" w:rsidRPr="009A539C">
        <w:rPr>
          <w:rFonts w:eastAsia="Calibri" w:cstheme="minorHAnsi"/>
          <w:lang w:eastAsia="pt-PT"/>
        </w:rPr>
        <w:t>ribuição (</w:t>
      </w:r>
      <w:r w:rsidR="00D93EEE" w:rsidRPr="009A539C">
        <w:rPr>
          <w:rFonts w:eastAsia="Calibri" w:cstheme="minorHAnsi"/>
          <w:lang w:eastAsia="pt-PT"/>
        </w:rPr>
        <w:t>8 em 16 convenções</w:t>
      </w:r>
      <w:r w:rsidR="003136B7" w:rsidRPr="009A539C">
        <w:rPr>
          <w:rFonts w:eastAsia="Calibri" w:cstheme="minorHAnsi"/>
          <w:lang w:eastAsia="pt-PT"/>
        </w:rPr>
        <w:t xml:space="preserve">). </w:t>
      </w:r>
      <w:r w:rsidRPr="009A539C">
        <w:rPr>
          <w:rFonts w:eastAsia="Calibri" w:cstheme="minorHAnsi"/>
          <w:lang w:eastAsia="pt-PT"/>
        </w:rPr>
        <w:t>O valor dessa contribuição pode ser fixado numa percentagem da retribuição mensal – por exemplo, de 0,5%</w:t>
      </w:r>
      <w:r w:rsidRPr="009A539C">
        <w:rPr>
          <w:rFonts w:eastAsia="Calibri" w:cstheme="minorHAnsi"/>
          <w:vertAlign w:val="superscript"/>
          <w:lang w:eastAsia="pt-PT"/>
        </w:rPr>
        <w:footnoteReference w:id="154"/>
      </w:r>
      <w:r w:rsidRPr="009A539C">
        <w:rPr>
          <w:rFonts w:eastAsia="Calibri" w:cstheme="minorHAnsi"/>
          <w:lang w:eastAsia="pt-PT"/>
        </w:rPr>
        <w:t xml:space="preserve"> e 0,65%</w:t>
      </w:r>
      <w:r w:rsidRPr="009A539C">
        <w:rPr>
          <w:rFonts w:eastAsia="Calibri" w:cstheme="minorHAnsi"/>
          <w:vertAlign w:val="superscript"/>
          <w:lang w:eastAsia="pt-PT"/>
        </w:rPr>
        <w:footnoteReference w:id="155"/>
      </w:r>
      <w:r w:rsidR="003136B7" w:rsidRPr="009A539C">
        <w:rPr>
          <w:rFonts w:eastAsia="Calibri" w:cstheme="minorHAnsi"/>
          <w:vertAlign w:val="superscript"/>
          <w:lang w:eastAsia="pt-PT"/>
        </w:rPr>
        <w:t xml:space="preserve"> </w:t>
      </w:r>
      <w:r w:rsidR="003136B7" w:rsidRPr="009A539C">
        <w:rPr>
          <w:rFonts w:eastAsia="Calibri" w:cstheme="minorHAnsi"/>
          <w:lang w:eastAsia="pt-PT"/>
        </w:rPr>
        <w:t xml:space="preserve">da remuneração base mensal ou </w:t>
      </w:r>
      <w:r w:rsidRPr="009A539C">
        <w:rPr>
          <w:rFonts w:eastAsia="Calibri" w:cstheme="minorHAnsi"/>
          <w:lang w:eastAsia="pt-PT"/>
        </w:rPr>
        <w:t xml:space="preserve">0,1% </w:t>
      </w:r>
      <w:r w:rsidRPr="009A539C">
        <w:rPr>
          <w:rFonts w:eastAsia="Calibri" w:cstheme="minorHAnsi"/>
          <w:vertAlign w:val="superscript"/>
          <w:lang w:eastAsia="pt-PT"/>
        </w:rPr>
        <w:footnoteReference w:id="156"/>
      </w:r>
      <w:r w:rsidR="00670176" w:rsidRPr="009A539C">
        <w:rPr>
          <w:rFonts w:eastAsia="Calibri" w:cstheme="minorHAnsi"/>
          <w:lang w:eastAsia="pt-PT"/>
        </w:rPr>
        <w:t xml:space="preserve"> </w:t>
      </w:r>
      <w:r w:rsidRPr="009A539C">
        <w:rPr>
          <w:rFonts w:eastAsia="Calibri" w:cstheme="minorHAnsi"/>
          <w:lang w:eastAsia="pt-PT"/>
        </w:rPr>
        <w:t>da remuneração ilíquida; ou num pagamento único, de valor igual ao salário mínimo nacional</w:t>
      </w:r>
      <w:r w:rsidRPr="009A539C">
        <w:rPr>
          <w:rFonts w:eastAsia="Calibri" w:cstheme="minorHAnsi"/>
          <w:lang w:eastAsia="pt-PT"/>
        </w:rPr>
        <w:footnoteReference w:id="157"/>
      </w:r>
      <w:r w:rsidRPr="009A539C">
        <w:rPr>
          <w:rFonts w:eastAsia="Calibri" w:cstheme="minorHAnsi"/>
          <w:lang w:eastAsia="pt-PT"/>
        </w:rPr>
        <w:t>. Existe ainda uma situação onde se determina que o valor da comparticipação será fixado pelo sindicato “no final de cada negociação de revisão”</w:t>
      </w:r>
      <w:r w:rsidRPr="009A539C">
        <w:rPr>
          <w:rFonts w:eastAsia="Calibri" w:cstheme="minorHAnsi"/>
          <w:vertAlign w:val="superscript"/>
          <w:lang w:eastAsia="pt-PT"/>
        </w:rPr>
        <w:footnoteReference w:id="158"/>
      </w:r>
      <w:r w:rsidRPr="009A539C">
        <w:rPr>
          <w:rFonts w:eastAsia="Calibri" w:cstheme="minorHAnsi"/>
          <w:lang w:eastAsia="pt-PT"/>
        </w:rPr>
        <w:t>. Já a interrupção do pagamento da</w:t>
      </w:r>
      <w:r w:rsidR="0034523E" w:rsidRPr="009A539C">
        <w:rPr>
          <w:rFonts w:eastAsia="Calibri" w:cstheme="minorHAnsi"/>
          <w:lang w:eastAsia="pt-PT"/>
        </w:rPr>
        <w:t>quela contribuição</w:t>
      </w:r>
      <w:r w:rsidR="003136B7" w:rsidRPr="009A539C">
        <w:rPr>
          <w:rFonts w:eastAsia="Calibri" w:cstheme="minorHAnsi"/>
          <w:lang w:eastAsia="pt-PT"/>
        </w:rPr>
        <w:t xml:space="preserve">, referem duas convenções, pode dar </w:t>
      </w:r>
      <w:r w:rsidRPr="009A539C">
        <w:rPr>
          <w:rFonts w:eastAsia="Calibri" w:cstheme="minorHAnsi"/>
          <w:lang w:eastAsia="pt-PT"/>
        </w:rPr>
        <w:t>origem à suspensão da adesão do trabalhador à convenção</w:t>
      </w:r>
      <w:r w:rsidRPr="009A539C">
        <w:rPr>
          <w:rFonts w:eastAsia="Calibri" w:cstheme="minorHAnsi"/>
          <w:vertAlign w:val="superscript"/>
          <w:lang w:eastAsia="pt-PT"/>
        </w:rPr>
        <w:footnoteReference w:id="159"/>
      </w:r>
      <w:r w:rsidRPr="009A539C">
        <w:rPr>
          <w:rFonts w:eastAsia="Calibri" w:cstheme="minorHAnsi"/>
          <w:lang w:eastAsia="pt-PT"/>
        </w:rPr>
        <w:t>.</w:t>
      </w:r>
      <w:bookmarkEnd w:id="543"/>
      <w:bookmarkEnd w:id="544"/>
      <w:r w:rsidRPr="009A539C">
        <w:rPr>
          <w:rFonts w:eastAsia="Calibri" w:cstheme="minorHAnsi"/>
          <w:lang w:eastAsia="pt-PT"/>
        </w:rPr>
        <w:t xml:space="preserve"> </w:t>
      </w:r>
    </w:p>
    <w:p w14:paraId="56CA8D18" w14:textId="63AFFC3F" w:rsidR="002067B7" w:rsidRPr="009A539C" w:rsidRDefault="002067B7" w:rsidP="00941551">
      <w:pPr>
        <w:pStyle w:val="PargrafodaLista"/>
        <w:numPr>
          <w:ilvl w:val="0"/>
          <w:numId w:val="88"/>
        </w:numPr>
        <w:spacing w:line="360" w:lineRule="auto"/>
        <w:ind w:left="0" w:firstLine="284"/>
        <w:jc w:val="both"/>
        <w:rPr>
          <w:rFonts w:eastAsia="Calibri" w:cstheme="minorHAnsi"/>
          <w:lang w:eastAsia="pt-PT"/>
        </w:rPr>
      </w:pPr>
      <w:bookmarkStart w:id="545" w:name="_Toc42511738"/>
      <w:bookmarkStart w:id="546" w:name="_Toc42514502"/>
      <w:r w:rsidRPr="009A539C">
        <w:rPr>
          <w:rFonts w:eastAsia="Calibri" w:cstheme="minorHAnsi"/>
          <w:lang w:eastAsia="pt-PT"/>
        </w:rPr>
        <w:t>Em regra, prevê-se expressamente que a adesão seja comunicada pelo trabalhador ao empregador</w:t>
      </w:r>
      <w:r w:rsidRPr="009A539C">
        <w:rPr>
          <w:rFonts w:eastAsia="Calibri" w:cstheme="minorHAnsi"/>
          <w:vertAlign w:val="superscript"/>
          <w:lang w:eastAsia="pt-PT"/>
        </w:rPr>
        <w:footnoteReference w:id="160"/>
      </w:r>
      <w:r w:rsidRPr="009A539C">
        <w:rPr>
          <w:rFonts w:eastAsia="Calibri" w:cstheme="minorHAnsi"/>
          <w:lang w:eastAsia="pt-PT"/>
        </w:rPr>
        <w:t>. Por outro lado, relativamente à produção de efeitos da adesão, várias convenções exigem que a adesão se realize nos 30</w:t>
      </w:r>
      <w:r w:rsidRPr="009A539C">
        <w:rPr>
          <w:rFonts w:eastAsia="Calibri" w:cstheme="minorHAnsi"/>
          <w:vertAlign w:val="superscript"/>
          <w:lang w:eastAsia="pt-PT"/>
        </w:rPr>
        <w:footnoteReference w:id="161"/>
      </w:r>
      <w:r w:rsidRPr="009A539C">
        <w:rPr>
          <w:rFonts w:eastAsia="Calibri" w:cstheme="minorHAnsi"/>
          <w:lang w:eastAsia="pt-PT"/>
        </w:rPr>
        <w:t xml:space="preserve"> ou 90</w:t>
      </w:r>
      <w:r w:rsidRPr="009A539C">
        <w:rPr>
          <w:rFonts w:eastAsia="Calibri" w:cstheme="minorHAnsi"/>
          <w:vertAlign w:val="superscript"/>
          <w:lang w:eastAsia="pt-PT"/>
        </w:rPr>
        <w:footnoteReference w:id="162"/>
      </w:r>
      <w:r w:rsidR="003136B7" w:rsidRPr="009A539C">
        <w:rPr>
          <w:rFonts w:eastAsia="Calibri" w:cstheme="minorHAnsi"/>
          <w:lang w:eastAsia="pt-PT"/>
        </w:rPr>
        <w:t xml:space="preserve"> </w:t>
      </w:r>
      <w:r w:rsidRPr="009A539C">
        <w:rPr>
          <w:rFonts w:eastAsia="Calibri" w:cstheme="minorHAnsi"/>
          <w:lang w:eastAsia="pt-PT"/>
        </w:rPr>
        <w:t>dias seguintes à publicação da convenção para que os efeitos da adesão sejam plenos. Outras configurações que admitam a adesão do trabalhador em momento posterior poderão encontrar-se desconformes com o novo regime previsto no artigo 497.º do Código do Trabalho, colocando-se agora a questão de saber se o regime do artigo 497.º é imune à autonomia coletiva, isto é, se pode a convenção coletiva regular o exercício de um direito de um trabalhador não filiado para além da previsão do n.º 4 do artigo 492.º, CT.</w:t>
      </w:r>
      <w:bookmarkEnd w:id="545"/>
      <w:bookmarkEnd w:id="546"/>
    </w:p>
    <w:p w14:paraId="3393C8C8" w14:textId="77777777" w:rsidR="002067B7" w:rsidRPr="009A539C" w:rsidRDefault="002067B7" w:rsidP="00941551">
      <w:pPr>
        <w:spacing w:line="360" w:lineRule="auto"/>
        <w:ind w:firstLine="284"/>
        <w:jc w:val="both"/>
        <w:rPr>
          <w:rFonts w:eastAsia="Calibri" w:cstheme="minorHAnsi"/>
          <w:lang w:eastAsia="pt-PT"/>
        </w:rPr>
      </w:pPr>
      <w:bookmarkStart w:id="548" w:name="_Toc42511739"/>
      <w:bookmarkStart w:id="549" w:name="_Toc42514503"/>
      <w:r w:rsidRPr="009A539C">
        <w:rPr>
          <w:rFonts w:eastAsia="Calibri" w:cstheme="minorHAnsi"/>
          <w:lang w:eastAsia="pt-PT"/>
        </w:rPr>
        <w:t>Ainda quanto ao</w:t>
      </w:r>
      <w:r w:rsidR="00070B02" w:rsidRPr="009A539C">
        <w:rPr>
          <w:rFonts w:eastAsia="Calibri" w:cstheme="minorHAnsi"/>
          <w:lang w:eastAsia="pt-PT"/>
        </w:rPr>
        <w:t>s</w:t>
      </w:r>
      <w:r w:rsidRPr="009A539C">
        <w:rPr>
          <w:rFonts w:eastAsia="Calibri" w:cstheme="minorHAnsi"/>
          <w:lang w:eastAsia="pt-PT"/>
        </w:rPr>
        <w:t xml:space="preserve"> efeitos resultantes da convenção na esfera jurídica dos trabalhadores, duas convenções do setor portuário distinguem o estatuto de trabalhadores filiados no sindicato outorgante daqueles que aderem individualmente à convenção, ao delimitar que os direitos de defesa do trabalhador, em caso de confl</w:t>
      </w:r>
      <w:r w:rsidR="003136B7" w:rsidRPr="009A539C">
        <w:rPr>
          <w:rFonts w:eastAsia="Calibri" w:cstheme="minorHAnsi"/>
          <w:lang w:eastAsia="pt-PT"/>
        </w:rPr>
        <w:t>ito, e as regalias</w:t>
      </w:r>
      <w:r w:rsidRPr="009A539C">
        <w:rPr>
          <w:rFonts w:eastAsia="Calibri" w:cstheme="minorHAnsi"/>
          <w:lang w:eastAsia="pt-PT"/>
        </w:rPr>
        <w:t xml:space="preserve"> socias</w:t>
      </w:r>
      <w:r w:rsidR="00070B02" w:rsidRPr="009A539C">
        <w:rPr>
          <w:rFonts w:eastAsia="Calibri" w:cstheme="minorHAnsi"/>
          <w:lang w:eastAsia="pt-PT"/>
        </w:rPr>
        <w:t>,</w:t>
      </w:r>
      <w:r w:rsidRPr="009A539C">
        <w:rPr>
          <w:rFonts w:eastAsia="Calibri" w:cstheme="minorHAnsi"/>
          <w:lang w:eastAsia="pt-PT"/>
        </w:rPr>
        <w:t xml:space="preserve"> só abrangem </w:t>
      </w:r>
      <w:r w:rsidR="00070B02" w:rsidRPr="009A539C">
        <w:rPr>
          <w:rFonts w:eastAsia="Calibri" w:cstheme="minorHAnsi"/>
          <w:lang w:eastAsia="pt-PT"/>
        </w:rPr>
        <w:t>os</w:t>
      </w:r>
      <w:r w:rsidRPr="009A539C">
        <w:rPr>
          <w:rFonts w:eastAsia="Calibri" w:cstheme="minorHAnsi"/>
          <w:lang w:eastAsia="pt-PT"/>
        </w:rPr>
        <w:t xml:space="preserve"> filiados no sindi</w:t>
      </w:r>
      <w:r w:rsidR="003136B7" w:rsidRPr="009A539C">
        <w:rPr>
          <w:rFonts w:eastAsia="Calibri" w:cstheme="minorHAnsi"/>
          <w:lang w:eastAsia="pt-PT"/>
        </w:rPr>
        <w:t>cato, excluindo, deste modo, os trabalhadores</w:t>
      </w:r>
      <w:r w:rsidRPr="009A539C">
        <w:rPr>
          <w:rFonts w:eastAsia="Calibri" w:cstheme="minorHAnsi"/>
          <w:lang w:eastAsia="pt-PT"/>
        </w:rPr>
        <w:t xml:space="preserve"> aderentes </w:t>
      </w:r>
      <w:r w:rsidRPr="009A539C">
        <w:rPr>
          <w:rFonts w:eastAsia="Calibri" w:cstheme="minorHAnsi"/>
          <w:vertAlign w:val="superscript"/>
          <w:lang w:eastAsia="pt-PT"/>
        </w:rPr>
        <w:footnoteReference w:id="163"/>
      </w:r>
      <w:r w:rsidRPr="009A539C">
        <w:rPr>
          <w:rFonts w:eastAsia="Calibri" w:cstheme="minorHAnsi"/>
          <w:lang w:eastAsia="pt-PT"/>
        </w:rPr>
        <w:t xml:space="preserve"> .</w:t>
      </w:r>
      <w:bookmarkEnd w:id="548"/>
      <w:bookmarkEnd w:id="549"/>
      <w:r w:rsidRPr="009A539C">
        <w:rPr>
          <w:rFonts w:eastAsia="Calibri" w:cstheme="minorHAnsi"/>
          <w:lang w:eastAsia="pt-PT"/>
        </w:rPr>
        <w:t xml:space="preserve">  </w:t>
      </w:r>
    </w:p>
    <w:p w14:paraId="478A6C2F" w14:textId="77777777" w:rsidR="008958B2" w:rsidRPr="009A539C" w:rsidRDefault="002067B7" w:rsidP="00941551">
      <w:pPr>
        <w:spacing w:line="360" w:lineRule="auto"/>
        <w:ind w:firstLine="284"/>
        <w:jc w:val="both"/>
        <w:rPr>
          <w:rFonts w:eastAsia="Calibri" w:cstheme="minorHAnsi"/>
          <w:lang w:eastAsia="pt-PT"/>
        </w:rPr>
      </w:pPr>
      <w:bookmarkStart w:id="550" w:name="_Toc42511740"/>
      <w:bookmarkStart w:id="551" w:name="_Toc42514504"/>
      <w:r w:rsidRPr="009A539C">
        <w:rPr>
          <w:rFonts w:eastAsia="Calibri" w:cstheme="minorHAnsi"/>
          <w:lang w:eastAsia="pt-PT"/>
        </w:rPr>
        <w:t>São raras as convenções que disciplinam o que sucede</w:t>
      </w:r>
      <w:r w:rsidR="00070B02" w:rsidRPr="009A539C">
        <w:rPr>
          <w:rFonts w:eastAsia="Calibri" w:cstheme="minorHAnsi"/>
          <w:lang w:eastAsia="pt-PT"/>
        </w:rPr>
        <w:t xml:space="preserve"> em caso de revogação da adesão. H</w:t>
      </w:r>
      <w:r w:rsidRPr="009A539C">
        <w:rPr>
          <w:rFonts w:eastAsia="Calibri" w:cstheme="minorHAnsi"/>
          <w:lang w:eastAsia="pt-PT"/>
        </w:rPr>
        <w:t xml:space="preserve">á, porém, 3 convenções paralelas que </w:t>
      </w:r>
      <w:r w:rsidR="00070B02" w:rsidRPr="009A539C">
        <w:rPr>
          <w:rFonts w:eastAsia="Calibri" w:cstheme="minorHAnsi"/>
          <w:lang w:eastAsia="pt-PT"/>
        </w:rPr>
        <w:t>determinam que</w:t>
      </w:r>
      <w:r w:rsidRPr="009A539C">
        <w:rPr>
          <w:rFonts w:eastAsia="Calibri" w:cstheme="minorHAnsi"/>
          <w:lang w:eastAsia="pt-PT"/>
        </w:rPr>
        <w:t xml:space="preserve">, </w:t>
      </w:r>
      <w:r w:rsidR="00D22C34" w:rsidRPr="009A539C">
        <w:rPr>
          <w:rFonts w:eastAsia="Calibri" w:cstheme="minorHAnsi"/>
          <w:lang w:eastAsia="pt-PT"/>
        </w:rPr>
        <w:t>se ocorrer</w:t>
      </w:r>
      <w:r w:rsidRPr="009A539C">
        <w:rPr>
          <w:rFonts w:eastAsia="Calibri" w:cstheme="minorHAnsi"/>
          <w:lang w:eastAsia="pt-PT"/>
        </w:rPr>
        <w:t xml:space="preserve"> adesão, a convenção </w:t>
      </w:r>
      <w:r w:rsidR="00D22C34" w:rsidRPr="009A539C">
        <w:rPr>
          <w:rFonts w:eastAsia="Calibri" w:cstheme="minorHAnsi"/>
          <w:lang w:eastAsia="pt-PT"/>
        </w:rPr>
        <w:t xml:space="preserve">se </w:t>
      </w:r>
      <w:r w:rsidRPr="009A539C">
        <w:rPr>
          <w:rFonts w:eastAsia="Calibri" w:cstheme="minorHAnsi"/>
          <w:lang w:eastAsia="pt-PT"/>
        </w:rPr>
        <w:t>aplica até ao fim do período de vigência “ainda que seja exercida a faculdade de revogação da escolha”</w:t>
      </w:r>
      <w:r w:rsidRPr="009A539C">
        <w:rPr>
          <w:rFonts w:eastAsia="Calibri" w:cstheme="minorHAnsi"/>
          <w:vertAlign w:val="superscript"/>
          <w:lang w:eastAsia="pt-PT"/>
        </w:rPr>
        <w:footnoteReference w:id="164"/>
      </w:r>
      <w:r w:rsidRPr="009A539C">
        <w:rPr>
          <w:rFonts w:eastAsia="Calibri" w:cstheme="minorHAnsi"/>
          <w:lang w:eastAsia="pt-PT"/>
        </w:rPr>
        <w:t>.</w:t>
      </w:r>
      <w:bookmarkEnd w:id="550"/>
      <w:bookmarkEnd w:id="551"/>
    </w:p>
    <w:p w14:paraId="24652483" w14:textId="77777777" w:rsidR="00CB18ED" w:rsidRPr="009A539C" w:rsidRDefault="00CB18ED" w:rsidP="00F747A9">
      <w:pPr>
        <w:spacing w:line="360" w:lineRule="auto"/>
        <w:jc w:val="both"/>
        <w:rPr>
          <w:rFonts w:eastAsia="Calibri" w:cstheme="minorHAnsi"/>
          <w:lang w:eastAsia="pt-PT"/>
        </w:rPr>
      </w:pPr>
    </w:p>
    <w:p w14:paraId="4C218B5C" w14:textId="77777777" w:rsidR="00670176" w:rsidRPr="009A539C" w:rsidRDefault="00670176" w:rsidP="00F747A9">
      <w:pPr>
        <w:spacing w:line="360" w:lineRule="auto"/>
        <w:jc w:val="both"/>
        <w:rPr>
          <w:rFonts w:eastAsia="Calibri" w:cstheme="minorHAnsi"/>
          <w:lang w:eastAsia="pt-PT"/>
        </w:rPr>
      </w:pPr>
    </w:p>
    <w:p w14:paraId="3DEC1633" w14:textId="77777777" w:rsidR="00670176" w:rsidRPr="009A539C" w:rsidRDefault="00670176" w:rsidP="00F747A9">
      <w:pPr>
        <w:spacing w:line="360" w:lineRule="auto"/>
        <w:jc w:val="both"/>
        <w:rPr>
          <w:rFonts w:eastAsia="Calibri" w:cstheme="minorHAnsi"/>
          <w:lang w:eastAsia="pt-PT"/>
        </w:rPr>
      </w:pPr>
    </w:p>
    <w:p w14:paraId="6052015A" w14:textId="77777777" w:rsidR="000F0BA3" w:rsidRPr="009A539C" w:rsidRDefault="000F0BA3" w:rsidP="00F364BB">
      <w:pPr>
        <w:pStyle w:val="PargrafodaLista"/>
        <w:numPr>
          <w:ilvl w:val="3"/>
          <w:numId w:val="1"/>
        </w:numPr>
        <w:spacing w:line="360" w:lineRule="auto"/>
        <w:ind w:left="1418" w:right="-1"/>
        <w:jc w:val="both"/>
        <w:outlineLvl w:val="3"/>
        <w:rPr>
          <w:rFonts w:ascii="Calibri" w:hAnsi="Calibri" w:cs="Calibri"/>
        </w:rPr>
      </w:pPr>
      <w:r w:rsidRPr="009A539C">
        <w:rPr>
          <w:rFonts w:ascii="Calibri" w:hAnsi="Calibri" w:cs="Calibri"/>
        </w:rPr>
        <w:t> </w:t>
      </w:r>
      <w:bookmarkStart w:id="552" w:name="_Toc45535705"/>
      <w:r w:rsidRPr="009A539C">
        <w:rPr>
          <w:rFonts w:ascii="Calibri" w:hAnsi="Calibri" w:cs="Calibri"/>
        </w:rPr>
        <w:t>Âmbito temporal de aplicação</w:t>
      </w:r>
      <w:bookmarkEnd w:id="552"/>
    </w:p>
    <w:p w14:paraId="09EB8CDE" w14:textId="77777777" w:rsidR="00670176" w:rsidRPr="009A539C" w:rsidRDefault="00670176" w:rsidP="00670176">
      <w:pPr>
        <w:pStyle w:val="PargrafodaLista"/>
        <w:spacing w:line="360" w:lineRule="auto"/>
        <w:ind w:left="1418" w:right="-1"/>
        <w:jc w:val="both"/>
        <w:outlineLvl w:val="3"/>
        <w:rPr>
          <w:rFonts w:ascii="Calibri" w:hAnsi="Calibri" w:cs="Calibri"/>
        </w:rPr>
      </w:pPr>
    </w:p>
    <w:p w14:paraId="450AB9E7" w14:textId="369DC9FD" w:rsidR="004A59D3" w:rsidRPr="009A539C" w:rsidRDefault="004A59D3" w:rsidP="00922B44">
      <w:pPr>
        <w:pStyle w:val="PargrafodaLista"/>
        <w:numPr>
          <w:ilvl w:val="0"/>
          <w:numId w:val="89"/>
        </w:numPr>
        <w:spacing w:line="360" w:lineRule="auto"/>
        <w:ind w:left="284" w:firstLine="425"/>
        <w:jc w:val="both"/>
        <w:rPr>
          <w:rFonts w:ascii="Calibri" w:hAnsi="Calibri" w:cs="Calibri"/>
        </w:rPr>
      </w:pPr>
      <w:r w:rsidRPr="009A539C">
        <w:rPr>
          <w:rFonts w:ascii="Calibri" w:hAnsi="Calibri" w:cs="Calibri"/>
        </w:rPr>
        <w:t>Como nos Relatórios anteriores, dá-se agora nota do período temporal em que as convenções revistas em 2019 permaneceram inalteradas (Quadro 3</w:t>
      </w:r>
      <w:r w:rsidR="00091A97" w:rsidRPr="009A539C">
        <w:rPr>
          <w:rFonts w:ascii="Calibri" w:hAnsi="Calibri" w:cs="Calibri"/>
        </w:rPr>
        <w:t>3</w:t>
      </w:r>
      <w:r w:rsidRPr="009A539C">
        <w:rPr>
          <w:rFonts w:ascii="Calibri" w:hAnsi="Calibri" w:cs="Calibri"/>
        </w:rPr>
        <w:t>). Aqui, observa-se o crescimento do número de convenções que foram revistas até 24 meses, cumprindo o prazo de vigência consagrado em grande parte dos textos convencionados - (2019 - 73,</w:t>
      </w:r>
      <w:r w:rsidR="003136B7" w:rsidRPr="009A539C">
        <w:rPr>
          <w:rFonts w:ascii="Calibri" w:hAnsi="Calibri" w:cs="Calibri"/>
        </w:rPr>
        <w:t xml:space="preserve">7% das convenções -143 em 194) </w:t>
      </w:r>
      <w:r w:rsidRPr="009A539C">
        <w:rPr>
          <w:rFonts w:ascii="Calibri" w:hAnsi="Calibri" w:cs="Calibri"/>
        </w:rPr>
        <w:t xml:space="preserve">(2018 - 65,9 % das convenções -118 em 179) </w:t>
      </w:r>
      <w:r w:rsidRPr="009A539C">
        <w:rPr>
          <w:vertAlign w:val="superscript"/>
        </w:rPr>
        <w:footnoteReference w:id="165"/>
      </w:r>
      <w:r w:rsidRPr="009A539C">
        <w:rPr>
          <w:rFonts w:ascii="Calibri" w:hAnsi="Calibri" w:cs="Calibri"/>
        </w:rPr>
        <w:t>. Neste grupo sobressai o peso relativo de revisões parciais (123 em 143</w:t>
      </w:r>
      <w:r w:rsidR="003136B7" w:rsidRPr="009A539C">
        <w:rPr>
          <w:rFonts w:ascii="Calibri" w:hAnsi="Calibri" w:cs="Calibri"/>
        </w:rPr>
        <w:t xml:space="preserve"> ou 145), que</w:t>
      </w:r>
      <w:r w:rsidR="00BD6744" w:rsidRPr="009A539C">
        <w:rPr>
          <w:rFonts w:ascii="Calibri" w:hAnsi="Calibri" w:cs="Calibri"/>
        </w:rPr>
        <w:t>,</w:t>
      </w:r>
      <w:r w:rsidR="003136B7" w:rsidRPr="009A539C">
        <w:rPr>
          <w:rFonts w:ascii="Calibri" w:hAnsi="Calibri" w:cs="Calibri"/>
        </w:rPr>
        <w:t xml:space="preserve"> como verificamos </w:t>
      </w:r>
      <w:r w:rsidR="00F56132" w:rsidRPr="009A539C">
        <w:rPr>
          <w:rFonts w:ascii="Calibri" w:hAnsi="Calibri" w:cs="Calibri"/>
        </w:rPr>
        <w:t>anteriormente</w:t>
      </w:r>
      <w:r w:rsidR="007575C5" w:rsidRPr="009A539C">
        <w:rPr>
          <w:rStyle w:val="Refdenotaderodap"/>
          <w:rFonts w:ascii="Calibri" w:hAnsi="Calibri" w:cs="Calibri"/>
        </w:rPr>
        <w:footnoteReference w:id="166"/>
      </w:r>
      <w:r w:rsidR="007575C5" w:rsidRPr="009A539C">
        <w:rPr>
          <w:rFonts w:ascii="Calibri" w:hAnsi="Calibri" w:cs="Calibri"/>
        </w:rPr>
        <w:t xml:space="preserve">, </w:t>
      </w:r>
      <w:r w:rsidRPr="009A539C">
        <w:rPr>
          <w:rFonts w:ascii="Calibri" w:hAnsi="Calibri" w:cs="Calibri"/>
        </w:rPr>
        <w:t>disciplinam ess</w:t>
      </w:r>
      <w:r w:rsidR="003136B7" w:rsidRPr="009A539C">
        <w:rPr>
          <w:rFonts w:ascii="Calibri" w:hAnsi="Calibri" w:cs="Calibri"/>
        </w:rPr>
        <w:t xml:space="preserve">encialmente matéria salarial e </w:t>
      </w:r>
      <w:r w:rsidRPr="009A539C">
        <w:rPr>
          <w:rFonts w:ascii="Calibri" w:hAnsi="Calibri" w:cs="Calibri"/>
        </w:rPr>
        <w:t>vigê</w:t>
      </w:r>
      <w:r w:rsidR="007575C5" w:rsidRPr="009A539C">
        <w:rPr>
          <w:rFonts w:ascii="Calibri" w:hAnsi="Calibri" w:cs="Calibri"/>
        </w:rPr>
        <w:t>ncia da convenção</w:t>
      </w:r>
      <w:r w:rsidRPr="009A539C">
        <w:rPr>
          <w:rFonts w:ascii="Calibri" w:hAnsi="Calibri" w:cs="Calibri"/>
        </w:rPr>
        <w:t xml:space="preserve"> .   </w:t>
      </w:r>
    </w:p>
    <w:p w14:paraId="5D048ED9" w14:textId="6C929B5A" w:rsidR="007B7406" w:rsidRPr="009A539C" w:rsidRDefault="004A59D3" w:rsidP="00670176">
      <w:pPr>
        <w:spacing w:line="360" w:lineRule="auto"/>
        <w:ind w:left="284" w:firstLine="425"/>
        <w:jc w:val="both"/>
        <w:rPr>
          <w:rFonts w:ascii="Calibri" w:hAnsi="Calibri" w:cs="Calibri"/>
        </w:rPr>
      </w:pPr>
      <w:r w:rsidRPr="009A539C">
        <w:rPr>
          <w:rFonts w:ascii="Calibri" w:hAnsi="Calibri" w:cs="Calibri"/>
        </w:rPr>
        <w:t xml:space="preserve">Sobe igualmente o grupo de convenções com período de vigência entre 24 e </w:t>
      </w:r>
      <w:r w:rsidR="003136B7" w:rsidRPr="009A539C">
        <w:rPr>
          <w:rFonts w:ascii="Calibri" w:hAnsi="Calibri" w:cs="Calibri"/>
        </w:rPr>
        <w:t>48 meses (34 2019 e 20 em 2018)</w:t>
      </w:r>
      <w:r w:rsidRPr="009A539C">
        <w:rPr>
          <w:rFonts w:ascii="Calibri" w:hAnsi="Calibri" w:cs="Calibri"/>
        </w:rPr>
        <w:t xml:space="preserve">, correspondente à contratação coletiva publicada entre 2015-2017, onde se começou a verificar uma progressiva recuperação, comparativamente ao quadriénio anterior. </w:t>
      </w:r>
      <w:bookmarkStart w:id="553" w:name="_Toc15654972"/>
    </w:p>
    <w:p w14:paraId="09E76684" w14:textId="2CEC06E3" w:rsidR="004A59D3" w:rsidRPr="001843FF" w:rsidRDefault="002B051C" w:rsidP="00914010">
      <w:pPr>
        <w:pStyle w:val="Legenda"/>
        <w:jc w:val="center"/>
        <w:rPr>
          <w:rFonts w:ascii="Calibri" w:hAnsi="Calibri" w:cs="Calibri"/>
          <w:b w:val="0"/>
          <w:bCs w:val="0"/>
          <w:sz w:val="20"/>
          <w:szCs w:val="20"/>
        </w:rPr>
      </w:pPr>
      <w:bookmarkStart w:id="554" w:name="_Toc45716654"/>
      <w:r w:rsidRPr="001843FF">
        <w:rPr>
          <w:b w:val="0"/>
          <w:sz w:val="20"/>
          <w:szCs w:val="20"/>
        </w:rPr>
        <w:t xml:space="preserve">Quadro </w:t>
      </w:r>
      <w:r w:rsidR="00256F15" w:rsidRPr="001843FF">
        <w:rPr>
          <w:b w:val="0"/>
          <w:sz w:val="20"/>
          <w:szCs w:val="20"/>
        </w:rPr>
        <w:fldChar w:fldCharType="begin"/>
      </w:r>
      <w:r w:rsidR="00256F15" w:rsidRPr="001843FF">
        <w:rPr>
          <w:b w:val="0"/>
          <w:sz w:val="20"/>
          <w:szCs w:val="20"/>
        </w:rPr>
        <w:instrText xml:space="preserve"> SEQ Quadro \* ARABIC </w:instrText>
      </w:r>
      <w:r w:rsidR="00256F15" w:rsidRPr="001843FF">
        <w:rPr>
          <w:b w:val="0"/>
          <w:sz w:val="20"/>
          <w:szCs w:val="20"/>
        </w:rPr>
        <w:fldChar w:fldCharType="separate"/>
      </w:r>
      <w:r w:rsidR="00D821DE" w:rsidRPr="001843FF">
        <w:rPr>
          <w:b w:val="0"/>
          <w:noProof/>
          <w:sz w:val="20"/>
          <w:szCs w:val="20"/>
        </w:rPr>
        <w:t>33</w:t>
      </w:r>
      <w:r w:rsidR="00256F15" w:rsidRPr="001843FF">
        <w:rPr>
          <w:b w:val="0"/>
          <w:noProof/>
          <w:sz w:val="20"/>
          <w:szCs w:val="20"/>
        </w:rPr>
        <w:fldChar w:fldCharType="end"/>
      </w:r>
      <w:r w:rsidR="004A59D3" w:rsidRPr="001843FF">
        <w:rPr>
          <w:rFonts w:ascii="Calibri" w:hAnsi="Calibri" w:cs="Calibri"/>
          <w:b w:val="0"/>
          <w:sz w:val="20"/>
          <w:szCs w:val="20"/>
        </w:rPr>
        <w:t xml:space="preserve"> - Períodos em que permaneceram em vigor as convenções revist</w:t>
      </w:r>
      <w:r w:rsidR="00FA2B90" w:rsidRPr="001843FF">
        <w:rPr>
          <w:rFonts w:ascii="Calibri" w:hAnsi="Calibri" w:cs="Calibri"/>
          <w:b w:val="0"/>
          <w:sz w:val="20"/>
          <w:szCs w:val="20"/>
        </w:rPr>
        <w:t xml:space="preserve">as em 2019 (Revisões Parciais e </w:t>
      </w:r>
      <w:r w:rsidR="004A59D3" w:rsidRPr="001843FF">
        <w:rPr>
          <w:rFonts w:ascii="Calibri" w:hAnsi="Calibri" w:cs="Calibri"/>
          <w:b w:val="0"/>
          <w:sz w:val="20"/>
          <w:szCs w:val="20"/>
        </w:rPr>
        <w:t>Globais) - por tipo, subtipo e período de eficácia</w:t>
      </w:r>
      <w:bookmarkEnd w:id="553"/>
      <w:bookmarkEnd w:id="554"/>
    </w:p>
    <w:p w14:paraId="0D5482EA" w14:textId="77777777" w:rsidR="004A59D3" w:rsidRPr="009A539C" w:rsidRDefault="004A59D3" w:rsidP="00034087">
      <w:pPr>
        <w:jc w:val="center"/>
        <w:rPr>
          <w:rFonts w:ascii="Calibri" w:hAnsi="Calibri" w:cs="Calibri"/>
        </w:rPr>
      </w:pPr>
      <w:r w:rsidRPr="009A539C">
        <w:rPr>
          <w:rFonts w:ascii="Calibri" w:hAnsi="Calibri" w:cs="Calibri"/>
          <w:noProof/>
          <w:lang w:eastAsia="pt-PT"/>
        </w:rPr>
        <w:drawing>
          <wp:inline distT="0" distB="0" distL="0" distR="0" wp14:anchorId="53E15CDA" wp14:editId="07B3FFA6">
            <wp:extent cx="5338885" cy="1865376"/>
            <wp:effectExtent l="0" t="0" r="0" b="0"/>
            <wp:docPr id="1149" name="Imagem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38885" cy="1865376"/>
                    </a:xfrm>
                    <a:prstGeom prst="rect">
                      <a:avLst/>
                    </a:prstGeom>
                    <a:noFill/>
                    <a:ln>
                      <a:noFill/>
                    </a:ln>
                  </pic:spPr>
                </pic:pic>
              </a:graphicData>
            </a:graphic>
          </wp:inline>
        </w:drawing>
      </w:r>
    </w:p>
    <w:p w14:paraId="7E2EFDE1" w14:textId="77777777" w:rsidR="004A59D3" w:rsidRPr="009A539C" w:rsidRDefault="004A59D3" w:rsidP="009861DD">
      <w:pPr>
        <w:rPr>
          <w:rFonts w:ascii="Calibri" w:hAnsi="Calibri" w:cs="Calibri"/>
        </w:rPr>
      </w:pPr>
    </w:p>
    <w:p w14:paraId="6BCEADC0" w14:textId="7296B926" w:rsidR="004A59D3" w:rsidRPr="009A539C" w:rsidRDefault="004A59D3" w:rsidP="00941551">
      <w:pPr>
        <w:pStyle w:val="PargrafodaLista"/>
        <w:numPr>
          <w:ilvl w:val="0"/>
          <w:numId w:val="89"/>
        </w:numPr>
        <w:spacing w:line="360" w:lineRule="auto"/>
        <w:ind w:left="0" w:firstLine="284"/>
        <w:jc w:val="both"/>
        <w:rPr>
          <w:rFonts w:ascii="Calibri" w:hAnsi="Calibri" w:cs="Calibri"/>
        </w:rPr>
      </w:pPr>
      <w:r w:rsidRPr="009A539C">
        <w:rPr>
          <w:rFonts w:ascii="Calibri" w:hAnsi="Calibri" w:cs="Calibri"/>
        </w:rPr>
        <w:t>Em contrapartida, decresce o número de convenções com um período de eficácia de 48 a 96 meses (3 em 2019; 15 em 2018) – coincidente com os anos de 2011 a 2016, onde, como se sabe, ocorreu pouca atividade negocial (ver gráfico 7) – e o grupo de convenções que tiveram um período sem alteração igual ou superior a 96 meses (8 anos) – isto é, cuja última publicação foi até 2011 (26 em 2018 e 14 em 2019) .</w:t>
      </w:r>
    </w:p>
    <w:p w14:paraId="72EC9941" w14:textId="77777777" w:rsidR="00A36F1D" w:rsidRPr="009A539C" w:rsidRDefault="00295F4E" w:rsidP="00941551">
      <w:pPr>
        <w:spacing w:line="360" w:lineRule="auto"/>
        <w:ind w:firstLine="284"/>
        <w:jc w:val="both"/>
        <w:rPr>
          <w:rFonts w:ascii="Calibri" w:hAnsi="Calibri" w:cs="Calibri"/>
        </w:rPr>
      </w:pPr>
      <w:r w:rsidRPr="009A539C">
        <w:rPr>
          <w:rFonts w:ascii="Calibri" w:hAnsi="Calibri" w:cs="Calibri"/>
        </w:rPr>
        <w:t>Na repartição se</w:t>
      </w:r>
      <w:r w:rsidR="004A59D3" w:rsidRPr="009A539C">
        <w:rPr>
          <w:rFonts w:ascii="Calibri" w:hAnsi="Calibri" w:cs="Calibri"/>
        </w:rPr>
        <w:t>torial, verifica-se que a renovação mais regular da contratação coletiva, ou seja até 24 mese</w:t>
      </w:r>
      <w:r w:rsidRPr="009A539C">
        <w:rPr>
          <w:rFonts w:ascii="Calibri" w:hAnsi="Calibri" w:cs="Calibri"/>
        </w:rPr>
        <w:t>s, ocorre essencialmente nos se</w:t>
      </w:r>
      <w:r w:rsidR="004A59D3" w:rsidRPr="009A539C">
        <w:rPr>
          <w:rFonts w:ascii="Calibri" w:hAnsi="Calibri" w:cs="Calibri"/>
        </w:rPr>
        <w:t>tores das “indústrias transformadoras” (C) 87%, comércio por grosso e a retalho; reparação de veí</w:t>
      </w:r>
      <w:r w:rsidR="003136B7" w:rsidRPr="009A539C">
        <w:rPr>
          <w:rFonts w:ascii="Calibri" w:hAnsi="Calibri" w:cs="Calibri"/>
        </w:rPr>
        <w:t xml:space="preserve">culos automóveis e motociclos” </w:t>
      </w:r>
      <w:r w:rsidR="004A59D3" w:rsidRPr="009A539C">
        <w:rPr>
          <w:rFonts w:ascii="Calibri" w:hAnsi="Calibri" w:cs="Calibri"/>
        </w:rPr>
        <w:t>(G), 74%, seguida de “transportes e armazenagem”(H), (57%). Mas é também nestes dois últimos setores onde se encontra a larga maioria de convenções revistas em 2019 que igualaram ou ultrapassaram os 96 meses (93%). Neste último grupo (=&gt; 96 meses)</w:t>
      </w:r>
      <w:r w:rsidR="003136B7" w:rsidRPr="009A539C">
        <w:rPr>
          <w:rFonts w:ascii="Calibri" w:hAnsi="Calibri" w:cs="Calibri"/>
        </w:rPr>
        <w:t xml:space="preserve">, e no setor dos transportes, </w:t>
      </w:r>
      <w:r w:rsidR="004A59D3" w:rsidRPr="009A539C">
        <w:rPr>
          <w:rFonts w:ascii="Calibri" w:hAnsi="Calibri" w:cs="Calibri"/>
        </w:rPr>
        <w:t>há uma convenção que não era revista desde 2002</w:t>
      </w:r>
      <w:r w:rsidR="004A59D3" w:rsidRPr="009A539C">
        <w:rPr>
          <w:rFonts w:ascii="Calibri" w:hAnsi="Calibri" w:cs="Calibri"/>
          <w:vertAlign w:val="superscript"/>
        </w:rPr>
        <w:footnoteReference w:id="167"/>
      </w:r>
      <w:r w:rsidR="004A59D3" w:rsidRPr="009A539C">
        <w:rPr>
          <w:rFonts w:ascii="Calibri" w:hAnsi="Calibri" w:cs="Calibri"/>
        </w:rPr>
        <w:t>; outra desde 2003</w:t>
      </w:r>
      <w:r w:rsidR="004A59D3" w:rsidRPr="009A539C">
        <w:rPr>
          <w:rFonts w:ascii="Calibri" w:hAnsi="Calibri" w:cs="Calibri"/>
          <w:vertAlign w:val="superscript"/>
        </w:rPr>
        <w:footnoteReference w:id="168"/>
      </w:r>
      <w:r w:rsidR="004A59D3" w:rsidRPr="009A539C">
        <w:rPr>
          <w:rFonts w:ascii="Calibri" w:hAnsi="Calibri" w:cs="Calibri"/>
        </w:rPr>
        <w:t xml:space="preserve"> e 4 mantinham o texto convencional desde 2006</w:t>
      </w:r>
      <w:r w:rsidR="004A59D3" w:rsidRPr="009A539C">
        <w:rPr>
          <w:rFonts w:ascii="Calibri" w:hAnsi="Calibri" w:cs="Calibri"/>
          <w:vertAlign w:val="superscript"/>
        </w:rPr>
        <w:footnoteReference w:id="169"/>
      </w:r>
    </w:p>
    <w:p w14:paraId="12E9121F" w14:textId="77777777" w:rsidR="007B7406" w:rsidRPr="009A539C" w:rsidRDefault="007B7406" w:rsidP="00F747A9">
      <w:pPr>
        <w:spacing w:line="360" w:lineRule="auto"/>
        <w:ind w:firstLine="284"/>
        <w:rPr>
          <w:rFonts w:ascii="Calibri" w:hAnsi="Calibri" w:cs="Calibri"/>
        </w:rPr>
      </w:pPr>
    </w:p>
    <w:p w14:paraId="79C05237" w14:textId="367E7B8F" w:rsidR="004A59D3" w:rsidRPr="001843FF" w:rsidRDefault="002B051C" w:rsidP="00914010">
      <w:pPr>
        <w:pStyle w:val="Legenda"/>
        <w:jc w:val="center"/>
        <w:rPr>
          <w:rFonts w:ascii="Calibri" w:hAnsi="Calibri" w:cs="Calibri"/>
          <w:b w:val="0"/>
          <w:bCs w:val="0"/>
          <w:sz w:val="20"/>
          <w:szCs w:val="20"/>
        </w:rPr>
      </w:pPr>
      <w:bookmarkStart w:id="555" w:name="_Toc15654973"/>
      <w:bookmarkStart w:id="556" w:name="_Toc45716655"/>
      <w:r w:rsidRPr="001843FF">
        <w:rPr>
          <w:b w:val="0"/>
          <w:sz w:val="20"/>
          <w:szCs w:val="20"/>
        </w:rPr>
        <w:t xml:space="preserve">Quadro </w:t>
      </w:r>
      <w:r w:rsidR="00256F15" w:rsidRPr="001843FF">
        <w:rPr>
          <w:b w:val="0"/>
          <w:sz w:val="20"/>
          <w:szCs w:val="20"/>
        </w:rPr>
        <w:fldChar w:fldCharType="begin"/>
      </w:r>
      <w:r w:rsidR="00256F15" w:rsidRPr="001843FF">
        <w:rPr>
          <w:b w:val="0"/>
          <w:sz w:val="20"/>
          <w:szCs w:val="20"/>
        </w:rPr>
        <w:instrText xml:space="preserve"> SEQ Quadro \* ARABIC </w:instrText>
      </w:r>
      <w:r w:rsidR="00256F15" w:rsidRPr="001843FF">
        <w:rPr>
          <w:b w:val="0"/>
          <w:sz w:val="20"/>
          <w:szCs w:val="20"/>
        </w:rPr>
        <w:fldChar w:fldCharType="separate"/>
      </w:r>
      <w:r w:rsidR="00D821DE" w:rsidRPr="001843FF">
        <w:rPr>
          <w:b w:val="0"/>
          <w:noProof/>
          <w:sz w:val="20"/>
          <w:szCs w:val="20"/>
        </w:rPr>
        <w:t>34</w:t>
      </w:r>
      <w:r w:rsidR="00256F15" w:rsidRPr="001843FF">
        <w:rPr>
          <w:b w:val="0"/>
          <w:noProof/>
          <w:sz w:val="20"/>
          <w:szCs w:val="20"/>
        </w:rPr>
        <w:fldChar w:fldCharType="end"/>
      </w:r>
      <w:r w:rsidR="004A59D3" w:rsidRPr="001843FF">
        <w:rPr>
          <w:rFonts w:ascii="Calibri" w:hAnsi="Calibri" w:cs="Calibri"/>
          <w:b w:val="0"/>
          <w:sz w:val="20"/>
          <w:szCs w:val="20"/>
        </w:rPr>
        <w:t xml:space="preserve"> - Períodos em que permaneceram em vigor as convenções revistas em 2019 (Revisões Parcia</w:t>
      </w:r>
      <w:r w:rsidR="00295F4E" w:rsidRPr="001843FF">
        <w:rPr>
          <w:rFonts w:ascii="Calibri" w:hAnsi="Calibri" w:cs="Calibri"/>
          <w:b w:val="0"/>
          <w:sz w:val="20"/>
          <w:szCs w:val="20"/>
        </w:rPr>
        <w:t>is / Revisões Globais) - por se</w:t>
      </w:r>
      <w:r w:rsidR="004A59D3" w:rsidRPr="001843FF">
        <w:rPr>
          <w:rFonts w:ascii="Calibri" w:hAnsi="Calibri" w:cs="Calibri"/>
          <w:b w:val="0"/>
          <w:sz w:val="20"/>
          <w:szCs w:val="20"/>
        </w:rPr>
        <w:t>tor de atividade e período de eficácia</w:t>
      </w:r>
      <w:bookmarkEnd w:id="555"/>
      <w:bookmarkEnd w:id="556"/>
    </w:p>
    <w:p w14:paraId="621EEEB5" w14:textId="77777777" w:rsidR="004A59D3" w:rsidRPr="009A539C" w:rsidRDefault="004A59D3" w:rsidP="00034087">
      <w:pPr>
        <w:jc w:val="center"/>
        <w:rPr>
          <w:rFonts w:ascii="Calibri" w:hAnsi="Calibri" w:cs="Calibri"/>
        </w:rPr>
      </w:pPr>
      <w:r w:rsidRPr="009A539C">
        <w:rPr>
          <w:rFonts w:ascii="Calibri" w:hAnsi="Calibri" w:cs="Calibri"/>
          <w:noProof/>
          <w:lang w:eastAsia="pt-PT"/>
        </w:rPr>
        <w:drawing>
          <wp:inline distT="0" distB="0" distL="0" distR="0" wp14:anchorId="1F633EBA" wp14:editId="3D6A1A9F">
            <wp:extent cx="4438650" cy="3942978"/>
            <wp:effectExtent l="0" t="0" r="0" b="635"/>
            <wp:docPr id="1150" name="Imagem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437089" cy="3941592"/>
                    </a:xfrm>
                    <a:prstGeom prst="rect">
                      <a:avLst/>
                    </a:prstGeom>
                    <a:noFill/>
                    <a:ln>
                      <a:noFill/>
                    </a:ln>
                  </pic:spPr>
                </pic:pic>
              </a:graphicData>
            </a:graphic>
          </wp:inline>
        </w:drawing>
      </w:r>
    </w:p>
    <w:p w14:paraId="57B870CA" w14:textId="33C6F538" w:rsidR="004A59D3" w:rsidRPr="009A539C" w:rsidRDefault="004A59D3" w:rsidP="00922B44">
      <w:pPr>
        <w:pStyle w:val="PargrafodaLista"/>
        <w:numPr>
          <w:ilvl w:val="0"/>
          <w:numId w:val="89"/>
        </w:numPr>
        <w:spacing w:line="360" w:lineRule="auto"/>
        <w:ind w:left="0" w:firstLine="567"/>
        <w:jc w:val="both"/>
        <w:rPr>
          <w:rFonts w:ascii="Calibri" w:hAnsi="Calibri" w:cs="Calibri"/>
        </w:rPr>
      </w:pPr>
      <w:r w:rsidRPr="009A539C">
        <w:rPr>
          <w:rFonts w:ascii="Calibri" w:hAnsi="Calibri" w:cs="Calibri"/>
        </w:rPr>
        <w:t>Na perspetiva do período de eficácia das convenções coletivas publicadas, verifica-se que, nos últimos cinco anos, o comportamento da contratação coletiva não tem sido sempre linear. O quadro abaixo espelha as oscilações ocorridas neste período</w:t>
      </w:r>
      <w:r w:rsidR="007F571B" w:rsidRPr="009A539C">
        <w:rPr>
          <w:rFonts w:ascii="Calibri" w:hAnsi="Calibri" w:cs="Calibri"/>
        </w:rPr>
        <w:t>.</w:t>
      </w:r>
      <w:r w:rsidRPr="009A539C">
        <w:rPr>
          <w:rFonts w:ascii="Calibri" w:hAnsi="Calibri" w:cs="Calibri"/>
        </w:rPr>
        <w:t xml:space="preserve"> </w:t>
      </w:r>
    </w:p>
    <w:p w14:paraId="59CBE9D2" w14:textId="77777777" w:rsidR="004A59D3" w:rsidRPr="009A539C" w:rsidRDefault="004A59D3" w:rsidP="00034087">
      <w:pPr>
        <w:rPr>
          <w:rFonts w:ascii="Calibri" w:hAnsi="Calibri" w:cs="Calibri"/>
          <w:color w:val="4F81BD" w:themeColor="accent1"/>
          <w:sz w:val="20"/>
          <w:szCs w:val="20"/>
        </w:rPr>
      </w:pPr>
    </w:p>
    <w:p w14:paraId="2C583C60" w14:textId="77777777" w:rsidR="00941551" w:rsidRPr="009A539C" w:rsidRDefault="00941551" w:rsidP="00034087">
      <w:pPr>
        <w:rPr>
          <w:rFonts w:ascii="Calibri" w:hAnsi="Calibri" w:cs="Calibri"/>
          <w:color w:val="4F81BD" w:themeColor="accent1"/>
          <w:sz w:val="20"/>
          <w:szCs w:val="20"/>
        </w:rPr>
      </w:pPr>
    </w:p>
    <w:p w14:paraId="5010E905" w14:textId="33C83CDC" w:rsidR="00941551" w:rsidRPr="009A539C" w:rsidRDefault="00941551">
      <w:pPr>
        <w:rPr>
          <w:rFonts w:ascii="Calibri" w:hAnsi="Calibri" w:cs="Calibri"/>
          <w:color w:val="4F81BD" w:themeColor="accent1"/>
          <w:sz w:val="20"/>
          <w:szCs w:val="20"/>
        </w:rPr>
      </w:pPr>
      <w:r w:rsidRPr="009A539C">
        <w:rPr>
          <w:rFonts w:ascii="Calibri" w:hAnsi="Calibri" w:cs="Calibri"/>
          <w:color w:val="4F81BD" w:themeColor="accent1"/>
          <w:sz w:val="20"/>
          <w:szCs w:val="20"/>
        </w:rPr>
        <w:br w:type="page"/>
      </w:r>
    </w:p>
    <w:p w14:paraId="1B990A9A" w14:textId="1FA6BC9A" w:rsidR="00EB0855" w:rsidRPr="001843FF" w:rsidRDefault="002B051C" w:rsidP="00BA4157">
      <w:pPr>
        <w:pStyle w:val="Legenda"/>
        <w:jc w:val="center"/>
        <w:rPr>
          <w:rFonts w:ascii="Calibri" w:hAnsi="Calibri" w:cs="Calibri"/>
          <w:b w:val="0"/>
          <w:bCs w:val="0"/>
          <w:sz w:val="20"/>
          <w:szCs w:val="20"/>
        </w:rPr>
      </w:pPr>
      <w:bookmarkStart w:id="557" w:name="_Toc15654974"/>
      <w:bookmarkStart w:id="558" w:name="_Toc45716656"/>
      <w:r w:rsidRPr="001843FF">
        <w:rPr>
          <w:b w:val="0"/>
          <w:sz w:val="20"/>
          <w:szCs w:val="20"/>
        </w:rPr>
        <w:t xml:space="preserve">Quadro </w:t>
      </w:r>
      <w:r w:rsidR="00256F15" w:rsidRPr="001843FF">
        <w:rPr>
          <w:b w:val="0"/>
          <w:sz w:val="20"/>
          <w:szCs w:val="20"/>
        </w:rPr>
        <w:fldChar w:fldCharType="begin"/>
      </w:r>
      <w:r w:rsidR="00256F15" w:rsidRPr="001843FF">
        <w:rPr>
          <w:b w:val="0"/>
          <w:sz w:val="20"/>
          <w:szCs w:val="20"/>
        </w:rPr>
        <w:instrText xml:space="preserve"> SEQ Quadro \* ARABIC </w:instrText>
      </w:r>
      <w:r w:rsidR="00256F15" w:rsidRPr="001843FF">
        <w:rPr>
          <w:b w:val="0"/>
          <w:sz w:val="20"/>
          <w:szCs w:val="20"/>
        </w:rPr>
        <w:fldChar w:fldCharType="separate"/>
      </w:r>
      <w:r w:rsidR="00D821DE" w:rsidRPr="001843FF">
        <w:rPr>
          <w:b w:val="0"/>
          <w:noProof/>
          <w:sz w:val="20"/>
          <w:szCs w:val="20"/>
        </w:rPr>
        <w:t>35</w:t>
      </w:r>
      <w:r w:rsidR="00256F15" w:rsidRPr="001843FF">
        <w:rPr>
          <w:b w:val="0"/>
          <w:noProof/>
          <w:sz w:val="20"/>
          <w:szCs w:val="20"/>
        </w:rPr>
        <w:fldChar w:fldCharType="end"/>
      </w:r>
      <w:r w:rsidR="004A59D3" w:rsidRPr="001843FF">
        <w:rPr>
          <w:rFonts w:ascii="Calibri" w:hAnsi="Calibri" w:cs="Calibri"/>
          <w:b w:val="0"/>
          <w:sz w:val="20"/>
          <w:szCs w:val="20"/>
        </w:rPr>
        <w:t xml:space="preserve"> - Períodos em que permaneceram em vigor as convenções revistas</w:t>
      </w:r>
      <w:r w:rsidR="00F469B9" w:rsidRPr="001843FF">
        <w:rPr>
          <w:rFonts w:ascii="Calibri" w:hAnsi="Calibri" w:cs="Calibri"/>
          <w:b w:val="0"/>
          <w:sz w:val="20"/>
          <w:szCs w:val="20"/>
        </w:rPr>
        <w:t xml:space="preserve"> nos anos 2015-2019</w:t>
      </w:r>
      <w:r w:rsidR="004A59D3" w:rsidRPr="001843FF">
        <w:rPr>
          <w:rFonts w:ascii="Calibri" w:hAnsi="Calibri" w:cs="Calibri"/>
          <w:b w:val="0"/>
          <w:sz w:val="20"/>
          <w:szCs w:val="20"/>
        </w:rPr>
        <w:t xml:space="preserve"> - peso relativo dos vários intervalos</w:t>
      </w:r>
      <w:bookmarkEnd w:id="557"/>
      <w:bookmarkEnd w:id="558"/>
    </w:p>
    <w:p w14:paraId="7ED60177" w14:textId="59386A2B" w:rsidR="004A59D3" w:rsidRPr="009A539C" w:rsidRDefault="004A59D3" w:rsidP="00034087">
      <w:pPr>
        <w:jc w:val="center"/>
        <w:rPr>
          <w:rFonts w:ascii="Calibri" w:hAnsi="Calibri" w:cs="Calibri"/>
        </w:rPr>
      </w:pPr>
      <w:r w:rsidRPr="009A539C">
        <w:rPr>
          <w:rFonts w:ascii="Calibri" w:hAnsi="Calibri" w:cs="Calibri"/>
          <w:noProof/>
          <w:lang w:eastAsia="pt-PT"/>
        </w:rPr>
        <w:drawing>
          <wp:inline distT="0" distB="0" distL="0" distR="0" wp14:anchorId="2A8C1051" wp14:editId="5A5AC300">
            <wp:extent cx="4922544" cy="1528876"/>
            <wp:effectExtent l="0" t="0" r="0" b="0"/>
            <wp:docPr id="1151" name="Imagem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924198" cy="1529390"/>
                    </a:xfrm>
                    <a:prstGeom prst="rect">
                      <a:avLst/>
                    </a:prstGeom>
                    <a:noFill/>
                    <a:ln>
                      <a:noFill/>
                    </a:ln>
                  </pic:spPr>
                </pic:pic>
              </a:graphicData>
            </a:graphic>
          </wp:inline>
        </w:drawing>
      </w:r>
    </w:p>
    <w:p w14:paraId="73032CCF" w14:textId="77777777" w:rsidR="004A59D3" w:rsidRPr="009A539C" w:rsidRDefault="004A59D3" w:rsidP="00034087">
      <w:pPr>
        <w:rPr>
          <w:rFonts w:ascii="Calibri" w:hAnsi="Calibri" w:cs="Calibri"/>
        </w:rPr>
      </w:pPr>
    </w:p>
    <w:p w14:paraId="5BDB07B2" w14:textId="621126E0" w:rsidR="004A59D3" w:rsidRPr="009A539C" w:rsidRDefault="004A59D3" w:rsidP="00941551">
      <w:pPr>
        <w:pStyle w:val="PargrafodaLista"/>
        <w:numPr>
          <w:ilvl w:val="0"/>
          <w:numId w:val="89"/>
        </w:numPr>
        <w:spacing w:line="360" w:lineRule="auto"/>
        <w:ind w:left="0" w:firstLine="284"/>
        <w:jc w:val="both"/>
        <w:rPr>
          <w:rFonts w:ascii="Calibri" w:hAnsi="Calibri" w:cs="Calibri"/>
        </w:rPr>
      </w:pPr>
      <w:r w:rsidRPr="009A539C">
        <w:rPr>
          <w:rFonts w:ascii="Calibri" w:hAnsi="Calibri" w:cs="Calibri"/>
        </w:rPr>
        <w:t xml:space="preserve">A análise deste tópico é completada pela contagem do período em que permaneceram em vigor as convenções revistas em 2019 e a respetiva abrangência, em termos de número de trabalhadores potencialmente abrangidos. </w:t>
      </w:r>
    </w:p>
    <w:p w14:paraId="7CC3134C" w14:textId="6FF62B97" w:rsidR="004A59D3" w:rsidRPr="009A539C" w:rsidRDefault="004A59D3" w:rsidP="009861DD">
      <w:pPr>
        <w:spacing w:line="360" w:lineRule="auto"/>
        <w:ind w:firstLine="709"/>
        <w:jc w:val="both"/>
        <w:rPr>
          <w:rFonts w:ascii="Calibri" w:hAnsi="Calibri" w:cs="Calibri"/>
        </w:rPr>
      </w:pPr>
      <w:r w:rsidRPr="009A539C">
        <w:rPr>
          <w:rFonts w:ascii="Calibri" w:hAnsi="Calibri" w:cs="Calibri"/>
        </w:rPr>
        <w:t>Em 2019, não há novidades a assinalar neste domínio, seguindo-se a tendência do ano anterior. Com efeito, a grande maioria de trabalhadores está coberta por convenções com um período de eficácia ”12&lt;24” meses (54,38%)</w:t>
      </w:r>
      <w:r w:rsidRPr="009A539C">
        <w:rPr>
          <w:rFonts w:ascii="Calibri" w:hAnsi="Calibri" w:cs="Calibri"/>
          <w:vertAlign w:val="superscript"/>
        </w:rPr>
        <w:footnoteReference w:id="170"/>
      </w:r>
      <w:r w:rsidR="003C1494" w:rsidRPr="009A539C">
        <w:rPr>
          <w:rFonts w:ascii="Calibri" w:hAnsi="Calibri" w:cs="Calibri"/>
        </w:rPr>
        <w:t xml:space="preserve">, </w:t>
      </w:r>
      <w:r w:rsidRPr="009A539C">
        <w:rPr>
          <w:rFonts w:ascii="Calibri" w:hAnsi="Calibri" w:cs="Calibri"/>
        </w:rPr>
        <w:t xml:space="preserve">coincidindo, aproximadamente, com o período de vigência mais usual fixado nas convenções coletivas (ver </w:t>
      </w:r>
      <w:r w:rsidRPr="009A539C">
        <w:rPr>
          <w:rFonts w:ascii="Calibri" w:hAnsi="Calibri" w:cs="Calibri"/>
          <w:i/>
        </w:rPr>
        <w:t>infra</w:t>
      </w:r>
      <w:r w:rsidRPr="009A539C">
        <w:rPr>
          <w:rFonts w:ascii="Calibri" w:hAnsi="Calibri" w:cs="Calibri"/>
        </w:rPr>
        <w:t xml:space="preserve"> quadro </w:t>
      </w:r>
      <w:r w:rsidR="00091A97" w:rsidRPr="009A539C">
        <w:rPr>
          <w:rFonts w:ascii="Calibri" w:hAnsi="Calibri" w:cs="Calibri"/>
        </w:rPr>
        <w:t>36</w:t>
      </w:r>
      <w:r w:rsidRPr="009A539C">
        <w:rPr>
          <w:rFonts w:ascii="Calibri" w:hAnsi="Calibri" w:cs="Calibri"/>
        </w:rPr>
        <w:t>) e, se  for somado ao primeiro grupo, verifica-se que 85% de trabalhadores  de 2019 tiveram a sua convenção renovada até 24meses. De outra parte, acentua-se a quebra do número de trabalhadores do quarto intervalo, com apenas 389 trabalhadores potencialmente abrangidos por convenções com períodos de eficácia ”48&lt;96” meses, que já se vinha observando desde 2018 (enquanto em 2017 o mesmo grupo cobria 99.494 trabalhadores)</w:t>
      </w:r>
      <w:r w:rsidRPr="009A539C">
        <w:rPr>
          <w:rFonts w:ascii="Calibri" w:hAnsi="Calibri" w:cs="Calibri"/>
          <w:vertAlign w:val="superscript"/>
        </w:rPr>
        <w:footnoteReference w:id="171"/>
      </w:r>
      <w:r w:rsidRPr="009A539C">
        <w:rPr>
          <w:rFonts w:ascii="Calibri" w:hAnsi="Calibri" w:cs="Calibri"/>
        </w:rPr>
        <w:t>.</w:t>
      </w:r>
      <w:bookmarkStart w:id="559" w:name="_Toc517332070"/>
    </w:p>
    <w:p w14:paraId="3CD698BA" w14:textId="77777777" w:rsidR="006E3A3D" w:rsidRPr="009A539C" w:rsidRDefault="006E3A3D" w:rsidP="009861DD">
      <w:pPr>
        <w:spacing w:line="360" w:lineRule="auto"/>
        <w:ind w:firstLine="709"/>
        <w:jc w:val="both"/>
        <w:rPr>
          <w:rFonts w:ascii="Calibri" w:hAnsi="Calibri" w:cs="Calibri"/>
        </w:rPr>
      </w:pPr>
    </w:p>
    <w:p w14:paraId="5E626C03" w14:textId="77777777" w:rsidR="006E3A3D" w:rsidRPr="009A539C" w:rsidRDefault="006E3A3D" w:rsidP="009861DD">
      <w:pPr>
        <w:spacing w:line="360" w:lineRule="auto"/>
        <w:ind w:firstLine="709"/>
        <w:jc w:val="both"/>
        <w:rPr>
          <w:rFonts w:ascii="Calibri" w:hAnsi="Calibri" w:cs="Calibri"/>
        </w:rPr>
      </w:pPr>
    </w:p>
    <w:p w14:paraId="00D685DC" w14:textId="77777777" w:rsidR="006E3A3D" w:rsidRPr="009A539C" w:rsidRDefault="006E3A3D" w:rsidP="009861DD">
      <w:pPr>
        <w:spacing w:line="360" w:lineRule="auto"/>
        <w:ind w:firstLine="709"/>
        <w:jc w:val="both"/>
        <w:rPr>
          <w:rFonts w:ascii="Calibri" w:hAnsi="Calibri" w:cs="Calibri"/>
        </w:rPr>
      </w:pPr>
    </w:p>
    <w:p w14:paraId="40DA096F" w14:textId="77777777" w:rsidR="006E3A3D" w:rsidRPr="009A539C" w:rsidRDefault="006E3A3D" w:rsidP="009861DD">
      <w:pPr>
        <w:spacing w:line="360" w:lineRule="auto"/>
        <w:ind w:firstLine="709"/>
        <w:jc w:val="both"/>
        <w:rPr>
          <w:rFonts w:ascii="Calibri" w:hAnsi="Calibri" w:cs="Calibri"/>
        </w:rPr>
      </w:pPr>
    </w:p>
    <w:p w14:paraId="07A8D03B" w14:textId="72490B65" w:rsidR="006E3A3D" w:rsidRPr="009A539C" w:rsidRDefault="006E3A3D">
      <w:pPr>
        <w:rPr>
          <w:rFonts w:ascii="Calibri" w:hAnsi="Calibri" w:cs="Calibri"/>
        </w:rPr>
      </w:pPr>
      <w:r w:rsidRPr="009A539C">
        <w:rPr>
          <w:rFonts w:ascii="Calibri" w:hAnsi="Calibri" w:cs="Calibri"/>
        </w:rPr>
        <w:br w:type="page"/>
      </w:r>
    </w:p>
    <w:p w14:paraId="00001387" w14:textId="77777777" w:rsidR="006E3A3D" w:rsidRPr="001843FF" w:rsidRDefault="006E3A3D" w:rsidP="00F747A9">
      <w:pPr>
        <w:jc w:val="center"/>
        <w:rPr>
          <w:rFonts w:ascii="Calibri" w:hAnsi="Calibri" w:cs="Calibri"/>
        </w:rPr>
      </w:pPr>
      <w:bookmarkStart w:id="560" w:name="_Toc15654975"/>
      <w:bookmarkEnd w:id="559"/>
    </w:p>
    <w:p w14:paraId="5454203C" w14:textId="229D2C1C" w:rsidR="004A59D3" w:rsidRPr="001843FF" w:rsidRDefault="002B051C" w:rsidP="00F747A9">
      <w:pPr>
        <w:jc w:val="center"/>
        <w:rPr>
          <w:rFonts w:ascii="Calibri" w:hAnsi="Calibri" w:cs="Calibri"/>
          <w:bCs/>
          <w:color w:val="4F81BD" w:themeColor="accent1"/>
          <w:sz w:val="20"/>
          <w:szCs w:val="20"/>
        </w:rPr>
      </w:pPr>
      <w:bookmarkStart w:id="561" w:name="_Toc45716657"/>
      <w:r w:rsidRPr="001843FF">
        <w:rPr>
          <w:rFonts w:ascii="Calibri" w:hAnsi="Calibri" w:cs="Calibri"/>
          <w:bCs/>
          <w:color w:val="4F81BD" w:themeColor="accent1"/>
          <w:sz w:val="20"/>
          <w:szCs w:val="20"/>
        </w:rPr>
        <w:t xml:space="preserve">Quadro </w:t>
      </w:r>
      <w:r w:rsidR="00256F15" w:rsidRPr="001843FF">
        <w:rPr>
          <w:rFonts w:ascii="Calibri" w:hAnsi="Calibri" w:cs="Calibri"/>
          <w:bCs/>
          <w:color w:val="4F81BD" w:themeColor="accent1"/>
          <w:sz w:val="20"/>
          <w:szCs w:val="20"/>
        </w:rPr>
        <w:fldChar w:fldCharType="begin"/>
      </w:r>
      <w:r w:rsidR="00256F15" w:rsidRPr="001843FF">
        <w:rPr>
          <w:rFonts w:ascii="Calibri" w:hAnsi="Calibri" w:cs="Calibri"/>
          <w:bCs/>
          <w:color w:val="4F81BD" w:themeColor="accent1"/>
          <w:sz w:val="20"/>
          <w:szCs w:val="20"/>
        </w:rPr>
        <w:instrText xml:space="preserve"> SEQ Quadro \* ARABIC </w:instrText>
      </w:r>
      <w:r w:rsidR="00256F15" w:rsidRPr="001843FF">
        <w:rPr>
          <w:rFonts w:ascii="Calibri" w:hAnsi="Calibri" w:cs="Calibri"/>
          <w:bCs/>
          <w:color w:val="4F81BD" w:themeColor="accent1"/>
          <w:sz w:val="20"/>
          <w:szCs w:val="20"/>
        </w:rPr>
        <w:fldChar w:fldCharType="separate"/>
      </w:r>
      <w:r w:rsidR="00D821DE" w:rsidRPr="001843FF">
        <w:rPr>
          <w:rFonts w:ascii="Calibri" w:hAnsi="Calibri" w:cs="Calibri"/>
          <w:bCs/>
          <w:noProof/>
          <w:color w:val="4F81BD" w:themeColor="accent1"/>
          <w:sz w:val="20"/>
          <w:szCs w:val="20"/>
        </w:rPr>
        <w:t>36</w:t>
      </w:r>
      <w:r w:rsidR="00256F15" w:rsidRPr="001843FF">
        <w:rPr>
          <w:rFonts w:ascii="Calibri" w:hAnsi="Calibri" w:cs="Calibri"/>
          <w:bCs/>
          <w:color w:val="4F81BD" w:themeColor="accent1"/>
          <w:sz w:val="20"/>
          <w:szCs w:val="20"/>
        </w:rPr>
        <w:fldChar w:fldCharType="end"/>
      </w:r>
      <w:r w:rsidR="004A59D3" w:rsidRPr="001843FF">
        <w:rPr>
          <w:rFonts w:ascii="Calibri" w:hAnsi="Calibri" w:cs="Calibri"/>
          <w:bCs/>
          <w:color w:val="4F81BD" w:themeColor="accent1"/>
          <w:sz w:val="20"/>
          <w:szCs w:val="20"/>
        </w:rPr>
        <w:t xml:space="preserve"> - Períodos em que permaneceram em vigor as convenções revistas em 2019 - Classificação por período de eficácia e número de trabalhadores</w:t>
      </w:r>
      <w:bookmarkEnd w:id="560"/>
      <w:bookmarkEnd w:id="561"/>
    </w:p>
    <w:p w14:paraId="3A6571B8" w14:textId="77777777" w:rsidR="004A59D3" w:rsidRPr="009A539C" w:rsidRDefault="004A59D3" w:rsidP="001843FF">
      <w:pPr>
        <w:jc w:val="center"/>
        <w:rPr>
          <w:rFonts w:ascii="Calibri" w:hAnsi="Calibri" w:cs="Calibri"/>
        </w:rPr>
      </w:pPr>
      <w:r w:rsidRPr="009A539C">
        <w:rPr>
          <w:rFonts w:ascii="Calibri" w:hAnsi="Calibri" w:cs="Calibri"/>
          <w:noProof/>
          <w:lang w:eastAsia="pt-PT"/>
        </w:rPr>
        <w:drawing>
          <wp:inline distT="0" distB="0" distL="0" distR="0" wp14:anchorId="66F7AD17" wp14:editId="46B8403E">
            <wp:extent cx="4977052" cy="1932167"/>
            <wp:effectExtent l="0" t="0" r="0" b="0"/>
            <wp:docPr id="1152" name="Imagem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976953" cy="1932129"/>
                    </a:xfrm>
                    <a:prstGeom prst="rect">
                      <a:avLst/>
                    </a:prstGeom>
                    <a:noFill/>
                    <a:ln>
                      <a:noFill/>
                    </a:ln>
                  </pic:spPr>
                </pic:pic>
              </a:graphicData>
            </a:graphic>
          </wp:inline>
        </w:drawing>
      </w:r>
    </w:p>
    <w:p w14:paraId="60C8641A" w14:textId="77777777" w:rsidR="004A59D3" w:rsidRPr="009A539C" w:rsidRDefault="004A59D3" w:rsidP="00034087">
      <w:pPr>
        <w:rPr>
          <w:rFonts w:ascii="Calibri" w:hAnsi="Calibri" w:cs="Calibri"/>
        </w:rPr>
      </w:pPr>
    </w:p>
    <w:p w14:paraId="02B5257F" w14:textId="4C2B07C4" w:rsidR="004A59D3" w:rsidRPr="009A539C" w:rsidRDefault="004A59D3" w:rsidP="00922B44">
      <w:pPr>
        <w:pStyle w:val="PargrafodaLista"/>
        <w:numPr>
          <w:ilvl w:val="0"/>
          <w:numId w:val="89"/>
        </w:numPr>
        <w:spacing w:line="360" w:lineRule="auto"/>
        <w:ind w:left="0" w:firstLine="0"/>
        <w:jc w:val="both"/>
        <w:rPr>
          <w:rFonts w:ascii="Calibri" w:hAnsi="Calibri" w:cs="Calibri"/>
        </w:rPr>
      </w:pPr>
      <w:r w:rsidRPr="009A539C">
        <w:rPr>
          <w:rFonts w:ascii="Calibri" w:hAnsi="Calibri" w:cs="Calibri"/>
        </w:rPr>
        <w:t xml:space="preserve">Apresenta-se, de seguida, o resultado dos apuramentos sobre o modo como as convenções disciplinam o seu período de vigência. Em 2019, o regime foi regulado em 62% (149/240) das convenções coletivas (2018 - 57,3%), com particular destaque para as revisões parciais (48% de 149). Relacionadas com o âmbito temporal de vigência, encontram-se previsões em matéria de período de vigência da convenção, renovação automática, situação em que deve ser promovida a denúncia e, em alguns casos, sobrevigência e caducidade (Quadro </w:t>
      </w:r>
      <w:r w:rsidR="00E06868" w:rsidRPr="009A539C">
        <w:rPr>
          <w:rFonts w:ascii="Calibri" w:hAnsi="Calibri" w:cs="Calibri"/>
        </w:rPr>
        <w:t>37</w:t>
      </w:r>
      <w:r w:rsidRPr="009A539C">
        <w:rPr>
          <w:rFonts w:ascii="Calibri" w:hAnsi="Calibri" w:cs="Calibri"/>
        </w:rPr>
        <w:t>).</w:t>
      </w:r>
    </w:p>
    <w:p w14:paraId="7A6C29C3" w14:textId="27F5D651" w:rsidR="004A59D3" w:rsidRPr="000E365A" w:rsidRDefault="002B051C" w:rsidP="00F747A9">
      <w:pPr>
        <w:jc w:val="center"/>
        <w:rPr>
          <w:rFonts w:ascii="Calibri" w:hAnsi="Calibri" w:cs="Calibri"/>
          <w:bCs/>
          <w:color w:val="4F81BD" w:themeColor="accent1"/>
          <w:sz w:val="20"/>
          <w:szCs w:val="20"/>
        </w:rPr>
      </w:pPr>
      <w:bookmarkStart w:id="562" w:name="_Toc15654976"/>
      <w:bookmarkStart w:id="563" w:name="_Toc45716658"/>
      <w:r w:rsidRPr="000E365A">
        <w:rPr>
          <w:rFonts w:ascii="Calibri" w:hAnsi="Calibri" w:cs="Calibri"/>
          <w:bCs/>
          <w:color w:val="4F81BD" w:themeColor="accent1"/>
          <w:sz w:val="20"/>
          <w:szCs w:val="20"/>
        </w:rPr>
        <w:t xml:space="preserve">Quadro </w:t>
      </w:r>
      <w:r w:rsidR="00256F15" w:rsidRPr="000E365A">
        <w:rPr>
          <w:rFonts w:ascii="Calibri" w:hAnsi="Calibri" w:cs="Calibri"/>
          <w:bCs/>
          <w:color w:val="4F81BD" w:themeColor="accent1"/>
          <w:sz w:val="20"/>
          <w:szCs w:val="20"/>
        </w:rPr>
        <w:fldChar w:fldCharType="begin"/>
      </w:r>
      <w:r w:rsidR="00256F15" w:rsidRPr="000E365A">
        <w:rPr>
          <w:rFonts w:ascii="Calibri" w:hAnsi="Calibri" w:cs="Calibri"/>
          <w:bCs/>
          <w:color w:val="4F81BD" w:themeColor="accent1"/>
          <w:sz w:val="20"/>
          <w:szCs w:val="20"/>
        </w:rPr>
        <w:instrText xml:space="preserve"> SEQ Quadro \* ARABIC </w:instrText>
      </w:r>
      <w:r w:rsidR="00256F15" w:rsidRPr="000E365A">
        <w:rPr>
          <w:rFonts w:ascii="Calibri" w:hAnsi="Calibri" w:cs="Calibri"/>
          <w:bCs/>
          <w:color w:val="4F81BD" w:themeColor="accent1"/>
          <w:sz w:val="20"/>
          <w:szCs w:val="20"/>
        </w:rPr>
        <w:fldChar w:fldCharType="separate"/>
      </w:r>
      <w:r w:rsidR="00D821DE" w:rsidRPr="000E365A">
        <w:rPr>
          <w:rFonts w:ascii="Calibri" w:hAnsi="Calibri" w:cs="Calibri"/>
          <w:bCs/>
          <w:noProof/>
          <w:color w:val="4F81BD" w:themeColor="accent1"/>
          <w:sz w:val="20"/>
          <w:szCs w:val="20"/>
        </w:rPr>
        <w:t>37</w:t>
      </w:r>
      <w:r w:rsidR="00256F15" w:rsidRPr="000E365A">
        <w:rPr>
          <w:rFonts w:ascii="Calibri" w:hAnsi="Calibri" w:cs="Calibri"/>
          <w:bCs/>
          <w:color w:val="4F81BD" w:themeColor="accent1"/>
          <w:sz w:val="20"/>
          <w:szCs w:val="20"/>
        </w:rPr>
        <w:fldChar w:fldCharType="end"/>
      </w:r>
      <w:r w:rsidR="004A59D3" w:rsidRPr="000E365A">
        <w:rPr>
          <w:rFonts w:ascii="Calibri" w:hAnsi="Calibri" w:cs="Calibri"/>
          <w:bCs/>
          <w:color w:val="4F81BD" w:themeColor="accent1"/>
          <w:sz w:val="20"/>
          <w:szCs w:val="20"/>
        </w:rPr>
        <w:t xml:space="preserve"> - Convenções publicadas em 2019 com cláusulas relativas a Vigência da Convenção e/ou Caducidade (por tipo e subtipo)</w:t>
      </w:r>
      <w:bookmarkEnd w:id="562"/>
      <w:bookmarkEnd w:id="563"/>
    </w:p>
    <w:p w14:paraId="228B19A0" w14:textId="77777777" w:rsidR="004A59D3" w:rsidRPr="009A539C" w:rsidRDefault="004A59D3" w:rsidP="00034087">
      <w:pPr>
        <w:jc w:val="center"/>
        <w:rPr>
          <w:rFonts w:ascii="Calibri" w:hAnsi="Calibri" w:cs="Calibri"/>
        </w:rPr>
      </w:pPr>
      <w:r w:rsidRPr="009A539C">
        <w:rPr>
          <w:rFonts w:ascii="Calibri" w:hAnsi="Calibri" w:cs="Calibri"/>
          <w:noProof/>
          <w:lang w:eastAsia="pt-PT"/>
        </w:rPr>
        <w:drawing>
          <wp:inline distT="0" distB="0" distL="0" distR="0" wp14:anchorId="25857227" wp14:editId="0B78FDAA">
            <wp:extent cx="3561420" cy="1543508"/>
            <wp:effectExtent l="0" t="0" r="1270" b="0"/>
            <wp:docPr id="1153" name="Imagem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561770" cy="1543659"/>
                    </a:xfrm>
                    <a:prstGeom prst="rect">
                      <a:avLst/>
                    </a:prstGeom>
                    <a:noFill/>
                    <a:ln>
                      <a:noFill/>
                    </a:ln>
                  </pic:spPr>
                </pic:pic>
              </a:graphicData>
            </a:graphic>
          </wp:inline>
        </w:drawing>
      </w:r>
    </w:p>
    <w:p w14:paraId="64AD3321" w14:textId="77777777" w:rsidR="007F571B" w:rsidRPr="009A539C" w:rsidRDefault="004A59D3" w:rsidP="00F747A9">
      <w:pPr>
        <w:spacing w:line="360" w:lineRule="auto"/>
        <w:ind w:firstLine="284"/>
        <w:jc w:val="both"/>
        <w:rPr>
          <w:rFonts w:ascii="Calibri" w:hAnsi="Calibri" w:cs="Calibri"/>
        </w:rPr>
      </w:pPr>
      <w:r w:rsidRPr="009A539C">
        <w:rPr>
          <w:rFonts w:ascii="Calibri" w:hAnsi="Calibri" w:cs="Calibri"/>
        </w:rPr>
        <w:t xml:space="preserve"> Em 129 das 240 convenções analisadas é definido o respetivo período de vigência (Quadro 39), observando-se que é mais comum a fixação de um período de 24 meses (em 54 das convenções que regulam a matéria), sendo o período mais curto encontrado de 12meses</w:t>
      </w:r>
      <w:r w:rsidRPr="009A539C">
        <w:rPr>
          <w:rFonts w:ascii="Calibri" w:hAnsi="Calibri" w:cs="Calibri"/>
          <w:vertAlign w:val="superscript"/>
        </w:rPr>
        <w:footnoteReference w:id="172"/>
      </w:r>
      <w:r w:rsidR="003C1494" w:rsidRPr="009A539C">
        <w:rPr>
          <w:rFonts w:ascii="Calibri" w:hAnsi="Calibri" w:cs="Calibri"/>
        </w:rPr>
        <w:t xml:space="preserve"> (</w:t>
      </w:r>
      <w:r w:rsidRPr="009A539C">
        <w:rPr>
          <w:rFonts w:ascii="Calibri" w:hAnsi="Calibri" w:cs="Calibri"/>
        </w:rPr>
        <w:t>22 convenções) e o de maior duração de 60 meses</w:t>
      </w:r>
      <w:r w:rsidRPr="009A539C">
        <w:rPr>
          <w:rFonts w:ascii="Calibri" w:hAnsi="Calibri" w:cs="Calibri"/>
          <w:vertAlign w:val="superscript"/>
        </w:rPr>
        <w:footnoteReference w:id="173"/>
      </w:r>
      <w:r w:rsidRPr="009A539C">
        <w:rPr>
          <w:rFonts w:ascii="Calibri" w:hAnsi="Calibri" w:cs="Calibri"/>
        </w:rPr>
        <w:t xml:space="preserve"> (15 convençõe</w:t>
      </w:r>
      <w:r w:rsidR="003C1494" w:rsidRPr="009A539C">
        <w:rPr>
          <w:rFonts w:ascii="Calibri" w:hAnsi="Calibri" w:cs="Calibri"/>
        </w:rPr>
        <w:t>s)</w:t>
      </w:r>
      <w:r w:rsidRPr="009A539C">
        <w:rPr>
          <w:rFonts w:ascii="Calibri" w:hAnsi="Calibri" w:cs="Calibri"/>
        </w:rPr>
        <w:t>. Continua a ser predominante a previsão de um período autónomo de vigência para a tabela salarial, em regra de 12 meses (apenas assim não é em 4 casos)</w:t>
      </w:r>
      <w:r w:rsidRPr="009A539C">
        <w:rPr>
          <w:rFonts w:ascii="Calibri" w:hAnsi="Calibri" w:cs="Calibri"/>
          <w:vertAlign w:val="superscript"/>
        </w:rPr>
        <w:footnoteReference w:id="174"/>
      </w:r>
      <w:r w:rsidRPr="009A539C">
        <w:rPr>
          <w:rFonts w:ascii="Calibri" w:hAnsi="Calibri" w:cs="Calibri"/>
        </w:rPr>
        <w:t>.</w:t>
      </w:r>
    </w:p>
    <w:p w14:paraId="638F542D" w14:textId="4A5F866B" w:rsidR="004A59D3" w:rsidRPr="000E365A" w:rsidRDefault="004A59D3" w:rsidP="00BA4157">
      <w:pPr>
        <w:jc w:val="center"/>
        <w:rPr>
          <w:rFonts w:ascii="Calibri" w:hAnsi="Calibri" w:cs="Calibri"/>
          <w:bCs/>
          <w:color w:val="4F81BD" w:themeColor="accent1"/>
          <w:sz w:val="20"/>
          <w:szCs w:val="20"/>
        </w:rPr>
      </w:pPr>
      <w:bookmarkStart w:id="564" w:name="_Toc15654977"/>
      <w:bookmarkStart w:id="565" w:name="_Toc45716659"/>
      <w:r w:rsidRPr="000E365A">
        <w:rPr>
          <w:rFonts w:ascii="Calibri" w:hAnsi="Calibri" w:cs="Calibri"/>
          <w:bCs/>
          <w:color w:val="4F81BD" w:themeColor="accent1"/>
          <w:sz w:val="20"/>
          <w:szCs w:val="20"/>
        </w:rPr>
        <w:t xml:space="preserve">Quadro </w:t>
      </w:r>
      <w:r w:rsidR="009972BC" w:rsidRPr="000E365A">
        <w:rPr>
          <w:rFonts w:ascii="Calibri" w:hAnsi="Calibri" w:cs="Calibri"/>
          <w:bCs/>
          <w:color w:val="4F81BD" w:themeColor="accent1"/>
          <w:sz w:val="20"/>
          <w:szCs w:val="20"/>
        </w:rPr>
        <w:fldChar w:fldCharType="begin"/>
      </w:r>
      <w:r w:rsidRPr="000E365A">
        <w:rPr>
          <w:rFonts w:ascii="Calibri" w:hAnsi="Calibri" w:cs="Calibri"/>
          <w:bCs/>
          <w:color w:val="4F81BD" w:themeColor="accent1"/>
          <w:sz w:val="20"/>
          <w:szCs w:val="20"/>
        </w:rPr>
        <w:instrText xml:space="preserve"> SEQ Quadro \* ARABIC </w:instrText>
      </w:r>
      <w:r w:rsidR="009972BC" w:rsidRPr="000E365A">
        <w:rPr>
          <w:rFonts w:ascii="Calibri" w:hAnsi="Calibri" w:cs="Calibri"/>
          <w:bCs/>
          <w:color w:val="4F81BD" w:themeColor="accent1"/>
          <w:sz w:val="20"/>
          <w:szCs w:val="20"/>
        </w:rPr>
        <w:fldChar w:fldCharType="separate"/>
      </w:r>
      <w:r w:rsidR="00D821DE" w:rsidRPr="000E365A">
        <w:rPr>
          <w:rFonts w:ascii="Calibri" w:hAnsi="Calibri" w:cs="Calibri"/>
          <w:bCs/>
          <w:noProof/>
          <w:color w:val="4F81BD" w:themeColor="accent1"/>
          <w:sz w:val="20"/>
          <w:szCs w:val="20"/>
        </w:rPr>
        <w:t>38</w:t>
      </w:r>
      <w:r w:rsidR="009972BC" w:rsidRPr="000E365A">
        <w:rPr>
          <w:rFonts w:ascii="Calibri" w:hAnsi="Calibri" w:cs="Calibri"/>
          <w:color w:val="4F81BD" w:themeColor="accent1"/>
          <w:sz w:val="20"/>
          <w:szCs w:val="20"/>
        </w:rPr>
        <w:fldChar w:fldCharType="end"/>
      </w:r>
      <w:r w:rsidRPr="000E365A">
        <w:rPr>
          <w:rFonts w:ascii="Calibri" w:hAnsi="Calibri" w:cs="Calibri"/>
          <w:bCs/>
          <w:color w:val="4F81BD" w:themeColor="accent1"/>
          <w:sz w:val="20"/>
          <w:szCs w:val="20"/>
        </w:rPr>
        <w:t xml:space="preserve"> - Convenções publicadas em 2019 com cláusulas sobre Vigência da Convenção (</w:t>
      </w:r>
      <w:r w:rsidR="001C06FF" w:rsidRPr="000E365A">
        <w:rPr>
          <w:rFonts w:ascii="Calibri" w:hAnsi="Calibri" w:cs="Calibri"/>
          <w:bCs/>
          <w:color w:val="4F81BD" w:themeColor="accent1"/>
          <w:sz w:val="20"/>
          <w:szCs w:val="20"/>
        </w:rPr>
        <w:t xml:space="preserve">classificação por prazo de </w:t>
      </w:r>
      <w:r w:rsidRPr="000E365A">
        <w:rPr>
          <w:rFonts w:ascii="Calibri" w:hAnsi="Calibri" w:cs="Calibri"/>
          <w:bCs/>
          <w:color w:val="4F81BD" w:themeColor="accent1"/>
          <w:sz w:val="20"/>
          <w:szCs w:val="20"/>
        </w:rPr>
        <w:t>vigência)</w:t>
      </w:r>
      <w:bookmarkEnd w:id="564"/>
      <w:bookmarkEnd w:id="565"/>
    </w:p>
    <w:p w14:paraId="0C9D1E5D" w14:textId="77777777" w:rsidR="004A59D3" w:rsidRPr="009A539C" w:rsidRDefault="004A59D3" w:rsidP="00034087">
      <w:pPr>
        <w:jc w:val="center"/>
        <w:rPr>
          <w:rFonts w:ascii="Calibri" w:hAnsi="Calibri" w:cs="Calibri"/>
        </w:rPr>
      </w:pPr>
      <w:r w:rsidRPr="009A539C">
        <w:rPr>
          <w:rFonts w:ascii="Calibri" w:hAnsi="Calibri" w:cs="Calibri"/>
          <w:noProof/>
          <w:lang w:eastAsia="pt-PT"/>
        </w:rPr>
        <w:drawing>
          <wp:inline distT="0" distB="0" distL="0" distR="0" wp14:anchorId="3BA81EC7" wp14:editId="3BB17EBA">
            <wp:extent cx="3255264" cy="1884954"/>
            <wp:effectExtent l="0" t="0" r="0" b="0"/>
            <wp:docPr id="1154" name="Imagem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64344" cy="1890212"/>
                    </a:xfrm>
                    <a:prstGeom prst="rect">
                      <a:avLst/>
                    </a:prstGeom>
                    <a:noFill/>
                    <a:ln>
                      <a:noFill/>
                    </a:ln>
                  </pic:spPr>
                </pic:pic>
              </a:graphicData>
            </a:graphic>
          </wp:inline>
        </w:drawing>
      </w:r>
    </w:p>
    <w:p w14:paraId="02A28B5D" w14:textId="77777777" w:rsidR="007F571B" w:rsidRPr="009A539C" w:rsidRDefault="007F571B" w:rsidP="00F747A9">
      <w:pPr>
        <w:spacing w:line="360" w:lineRule="auto"/>
        <w:rPr>
          <w:rFonts w:ascii="Calibri" w:hAnsi="Calibri" w:cs="Calibri"/>
        </w:rPr>
      </w:pPr>
    </w:p>
    <w:p w14:paraId="52F90583" w14:textId="483DD13F" w:rsidR="00521E6F" w:rsidRPr="009A539C" w:rsidRDefault="004A59D3" w:rsidP="00D232D5">
      <w:pPr>
        <w:spacing w:line="360" w:lineRule="auto"/>
        <w:ind w:firstLine="284"/>
        <w:jc w:val="both"/>
        <w:rPr>
          <w:rFonts w:ascii="Calibri" w:hAnsi="Calibri" w:cs="Calibri"/>
        </w:rPr>
      </w:pPr>
      <w:r w:rsidRPr="009A539C">
        <w:rPr>
          <w:rFonts w:ascii="Calibri" w:hAnsi="Calibri" w:cs="Calibri"/>
        </w:rPr>
        <w:t xml:space="preserve">São poucas (10) as convenções que acolhem o regime legal supletivo de vigência temporal de um ano com renovação automática por igual </w:t>
      </w:r>
      <w:r w:rsidR="003C1494" w:rsidRPr="009A539C">
        <w:rPr>
          <w:rFonts w:ascii="Calibri" w:hAnsi="Calibri" w:cs="Calibri"/>
        </w:rPr>
        <w:t xml:space="preserve">período (art. 499.º, 2 do CT). </w:t>
      </w:r>
      <w:r w:rsidRPr="009A539C">
        <w:rPr>
          <w:rFonts w:ascii="Calibri" w:hAnsi="Calibri" w:cs="Calibri"/>
        </w:rPr>
        <w:t>Há convenções que consagram durações maiores para o primeiro período de vigência, seguido de renovações com menor duração: por exemplo, 5</w:t>
      </w:r>
      <w:r w:rsidRPr="009A539C">
        <w:rPr>
          <w:rFonts w:ascii="Calibri" w:hAnsi="Calibri" w:cs="Calibri"/>
          <w:vertAlign w:val="superscript"/>
        </w:rPr>
        <w:footnoteReference w:id="175"/>
      </w:r>
      <w:r w:rsidRPr="009A539C">
        <w:rPr>
          <w:rFonts w:ascii="Calibri" w:hAnsi="Calibri" w:cs="Calibri"/>
        </w:rPr>
        <w:t xml:space="preserve"> ou 3 anos</w:t>
      </w:r>
      <w:r w:rsidRPr="009A539C">
        <w:rPr>
          <w:rFonts w:ascii="Calibri" w:hAnsi="Calibri" w:cs="Calibri"/>
          <w:vertAlign w:val="superscript"/>
        </w:rPr>
        <w:footnoteReference w:id="176"/>
      </w:r>
      <w:r w:rsidRPr="009A539C">
        <w:rPr>
          <w:rFonts w:ascii="Calibri" w:hAnsi="Calibri" w:cs="Calibri"/>
        </w:rPr>
        <w:t xml:space="preserve"> para o prazo inicial com renovações de 1 ano. No geral, a duração mais frequente do período de renovação é de um ano, enquanto 60 meses corresponde ao período mais dilatado (Quadro </w:t>
      </w:r>
      <w:r w:rsidR="00521E6F" w:rsidRPr="009A539C">
        <w:rPr>
          <w:rFonts w:ascii="Calibri" w:hAnsi="Calibri" w:cs="Calibri"/>
        </w:rPr>
        <w:t>39</w:t>
      </w:r>
      <w:r w:rsidRPr="009A539C">
        <w:rPr>
          <w:rFonts w:ascii="Calibri" w:hAnsi="Calibri" w:cs="Calibri"/>
        </w:rPr>
        <w:t>).</w:t>
      </w:r>
    </w:p>
    <w:p w14:paraId="68BD23FF" w14:textId="77777777" w:rsidR="00D232D5" w:rsidRPr="009A539C" w:rsidRDefault="00D232D5" w:rsidP="00D232D5">
      <w:pPr>
        <w:spacing w:line="360" w:lineRule="auto"/>
        <w:ind w:firstLine="284"/>
        <w:jc w:val="both"/>
        <w:rPr>
          <w:rFonts w:ascii="Calibri" w:hAnsi="Calibri" w:cs="Calibri"/>
        </w:rPr>
      </w:pPr>
    </w:p>
    <w:p w14:paraId="3B1AD5A3" w14:textId="77777777" w:rsidR="00D232D5" w:rsidRPr="009A539C" w:rsidRDefault="00D232D5" w:rsidP="00D232D5">
      <w:pPr>
        <w:spacing w:line="360" w:lineRule="auto"/>
        <w:ind w:firstLine="284"/>
        <w:jc w:val="both"/>
        <w:rPr>
          <w:rFonts w:ascii="Calibri" w:hAnsi="Calibri" w:cs="Calibri"/>
        </w:rPr>
      </w:pPr>
    </w:p>
    <w:p w14:paraId="0F82AC8E" w14:textId="77777777" w:rsidR="00D232D5" w:rsidRPr="009A539C" w:rsidRDefault="00D232D5" w:rsidP="00D232D5">
      <w:pPr>
        <w:spacing w:line="360" w:lineRule="auto"/>
        <w:ind w:firstLine="284"/>
        <w:jc w:val="both"/>
        <w:rPr>
          <w:rFonts w:ascii="Calibri" w:hAnsi="Calibri" w:cs="Calibri"/>
        </w:rPr>
      </w:pPr>
    </w:p>
    <w:p w14:paraId="23226B00" w14:textId="77777777" w:rsidR="00D232D5" w:rsidRPr="009A539C" w:rsidRDefault="00D232D5" w:rsidP="00D232D5">
      <w:pPr>
        <w:spacing w:line="360" w:lineRule="auto"/>
        <w:ind w:firstLine="284"/>
        <w:jc w:val="both"/>
        <w:rPr>
          <w:rFonts w:ascii="Calibri" w:hAnsi="Calibri" w:cs="Calibri"/>
        </w:rPr>
      </w:pPr>
    </w:p>
    <w:p w14:paraId="7A6FA74D" w14:textId="77777777" w:rsidR="00D232D5" w:rsidRPr="009A539C" w:rsidRDefault="00D232D5" w:rsidP="00D232D5">
      <w:pPr>
        <w:spacing w:line="360" w:lineRule="auto"/>
        <w:ind w:firstLine="284"/>
        <w:jc w:val="both"/>
        <w:rPr>
          <w:rFonts w:ascii="Calibri" w:hAnsi="Calibri" w:cs="Calibri"/>
        </w:rPr>
      </w:pPr>
    </w:p>
    <w:p w14:paraId="2872400B" w14:textId="77777777" w:rsidR="00D232D5" w:rsidRPr="009A539C" w:rsidRDefault="00D232D5" w:rsidP="00D232D5">
      <w:pPr>
        <w:spacing w:line="360" w:lineRule="auto"/>
        <w:ind w:firstLine="284"/>
        <w:jc w:val="both"/>
        <w:rPr>
          <w:rFonts w:ascii="Calibri" w:hAnsi="Calibri" w:cs="Calibri"/>
        </w:rPr>
      </w:pPr>
    </w:p>
    <w:p w14:paraId="420F9E44" w14:textId="77777777" w:rsidR="00D232D5" w:rsidRPr="009A539C" w:rsidRDefault="00D232D5" w:rsidP="00D232D5">
      <w:pPr>
        <w:spacing w:line="360" w:lineRule="auto"/>
        <w:ind w:firstLine="284"/>
        <w:jc w:val="both"/>
        <w:rPr>
          <w:rFonts w:ascii="Calibri" w:hAnsi="Calibri" w:cs="Calibri"/>
        </w:rPr>
      </w:pPr>
    </w:p>
    <w:p w14:paraId="6C37805A" w14:textId="2843DAE2" w:rsidR="00D232D5" w:rsidRPr="009A539C" w:rsidRDefault="00D232D5">
      <w:pPr>
        <w:rPr>
          <w:rFonts w:ascii="Calibri" w:hAnsi="Calibri" w:cs="Calibri"/>
        </w:rPr>
      </w:pPr>
      <w:r w:rsidRPr="009A539C">
        <w:rPr>
          <w:rFonts w:ascii="Calibri" w:hAnsi="Calibri" w:cs="Calibri"/>
        </w:rPr>
        <w:br w:type="page"/>
      </w:r>
    </w:p>
    <w:p w14:paraId="2E795E6C" w14:textId="7464C73E" w:rsidR="007F571B" w:rsidRPr="000E365A" w:rsidRDefault="002B051C" w:rsidP="00BA4157">
      <w:pPr>
        <w:pStyle w:val="Legenda"/>
        <w:jc w:val="center"/>
        <w:rPr>
          <w:rFonts w:ascii="Calibri" w:hAnsi="Calibri" w:cs="Calibri"/>
          <w:b w:val="0"/>
          <w:sz w:val="20"/>
          <w:szCs w:val="20"/>
        </w:rPr>
      </w:pPr>
      <w:bookmarkStart w:id="566" w:name="_Toc15654978"/>
      <w:bookmarkStart w:id="567" w:name="_Toc45716660"/>
      <w:r w:rsidRPr="000E365A">
        <w:rPr>
          <w:b w:val="0"/>
          <w:sz w:val="20"/>
          <w:szCs w:val="20"/>
        </w:rPr>
        <w:t xml:space="preserve">Quadro </w:t>
      </w:r>
      <w:r w:rsidR="00256F15" w:rsidRPr="000E365A">
        <w:rPr>
          <w:b w:val="0"/>
          <w:sz w:val="20"/>
          <w:szCs w:val="20"/>
        </w:rPr>
        <w:fldChar w:fldCharType="begin"/>
      </w:r>
      <w:r w:rsidR="00256F15" w:rsidRPr="000E365A">
        <w:rPr>
          <w:b w:val="0"/>
          <w:sz w:val="20"/>
          <w:szCs w:val="20"/>
        </w:rPr>
        <w:instrText xml:space="preserve"> SEQ Quadro \* ARABIC </w:instrText>
      </w:r>
      <w:r w:rsidR="00256F15" w:rsidRPr="000E365A">
        <w:rPr>
          <w:b w:val="0"/>
          <w:sz w:val="20"/>
          <w:szCs w:val="20"/>
        </w:rPr>
        <w:fldChar w:fldCharType="separate"/>
      </w:r>
      <w:r w:rsidR="00D821DE" w:rsidRPr="000E365A">
        <w:rPr>
          <w:b w:val="0"/>
          <w:noProof/>
          <w:sz w:val="20"/>
          <w:szCs w:val="20"/>
        </w:rPr>
        <w:t>39</w:t>
      </w:r>
      <w:r w:rsidR="00256F15" w:rsidRPr="000E365A">
        <w:rPr>
          <w:b w:val="0"/>
          <w:noProof/>
          <w:sz w:val="20"/>
          <w:szCs w:val="20"/>
        </w:rPr>
        <w:fldChar w:fldCharType="end"/>
      </w:r>
      <w:r w:rsidR="004A59D3" w:rsidRPr="000E365A">
        <w:rPr>
          <w:rFonts w:ascii="Calibri" w:hAnsi="Calibri" w:cs="Calibri"/>
          <w:b w:val="0"/>
          <w:sz w:val="20"/>
          <w:szCs w:val="20"/>
        </w:rPr>
        <w:t xml:space="preserve"> - Convenções publicadas em 2019 com cláusulas sobre Renovação Automática das </w:t>
      </w:r>
      <w:bookmarkEnd w:id="566"/>
      <w:r w:rsidR="007F571B" w:rsidRPr="000E365A">
        <w:rPr>
          <w:rFonts w:ascii="Calibri" w:hAnsi="Calibri" w:cs="Calibri"/>
          <w:b w:val="0"/>
          <w:sz w:val="20"/>
          <w:szCs w:val="20"/>
        </w:rPr>
        <w:t>Convenções (p</w:t>
      </w:r>
      <w:r w:rsidR="001C06FF" w:rsidRPr="000E365A">
        <w:rPr>
          <w:rFonts w:ascii="Calibri" w:hAnsi="Calibri" w:cs="Calibri"/>
          <w:b w:val="0"/>
          <w:sz w:val="20"/>
          <w:szCs w:val="20"/>
        </w:rPr>
        <w:t>or</w:t>
      </w:r>
      <w:r w:rsidR="007F571B" w:rsidRPr="000E365A">
        <w:rPr>
          <w:rFonts w:ascii="Calibri" w:hAnsi="Calibri" w:cs="Calibri"/>
          <w:b w:val="0"/>
          <w:sz w:val="20"/>
          <w:szCs w:val="20"/>
        </w:rPr>
        <w:t xml:space="preserve"> prazo de renovação)</w:t>
      </w:r>
      <w:bookmarkEnd w:id="567"/>
    </w:p>
    <w:p w14:paraId="76F18FEA" w14:textId="2C794306" w:rsidR="00FE5A5C" w:rsidRPr="009A539C" w:rsidRDefault="00FE5A5C" w:rsidP="00FE5A5C">
      <w:pPr>
        <w:jc w:val="center"/>
      </w:pPr>
      <w:r w:rsidRPr="009A539C">
        <w:rPr>
          <w:noProof/>
          <w:lang w:eastAsia="pt-PT"/>
        </w:rPr>
        <w:drawing>
          <wp:inline distT="0" distB="0" distL="0" distR="0" wp14:anchorId="63E080DD" wp14:editId="6C652573">
            <wp:extent cx="4448175" cy="2734676"/>
            <wp:effectExtent l="0" t="0" r="0" b="0"/>
            <wp:docPr id="1174" name="Imagem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48175" cy="2734676"/>
                    </a:xfrm>
                    <a:prstGeom prst="rect">
                      <a:avLst/>
                    </a:prstGeom>
                    <a:noFill/>
                    <a:ln>
                      <a:noFill/>
                    </a:ln>
                  </pic:spPr>
                </pic:pic>
              </a:graphicData>
            </a:graphic>
          </wp:inline>
        </w:drawing>
      </w:r>
    </w:p>
    <w:p w14:paraId="2C2B08B5" w14:textId="77777777" w:rsidR="00FE5A5C" w:rsidRPr="009A539C" w:rsidRDefault="00FE5A5C" w:rsidP="00FE5A5C"/>
    <w:p w14:paraId="3D42E1F3" w14:textId="430D160B" w:rsidR="00FE5A5C" w:rsidRPr="009A539C" w:rsidRDefault="00FE5A5C" w:rsidP="00FE5A5C"/>
    <w:p w14:paraId="4AC3C50C" w14:textId="77777777" w:rsidR="003509CA" w:rsidRPr="009A539C" w:rsidRDefault="003509CA" w:rsidP="00034087">
      <w:pPr>
        <w:rPr>
          <w:rFonts w:ascii="Calibri" w:hAnsi="Calibri" w:cs="Calibri"/>
          <w:b/>
          <w:bCs/>
        </w:rPr>
      </w:pPr>
    </w:p>
    <w:p w14:paraId="22CC89D9" w14:textId="77777777" w:rsidR="000F0BA3" w:rsidRPr="009A539C" w:rsidRDefault="000F0BA3" w:rsidP="00F364BB">
      <w:pPr>
        <w:pStyle w:val="PargrafodaLista"/>
        <w:numPr>
          <w:ilvl w:val="3"/>
          <w:numId w:val="1"/>
        </w:numPr>
        <w:spacing w:line="360" w:lineRule="auto"/>
        <w:ind w:left="1418" w:right="-1"/>
        <w:outlineLvl w:val="3"/>
        <w:rPr>
          <w:rFonts w:ascii="Calibri" w:hAnsi="Calibri" w:cs="Calibri"/>
        </w:rPr>
      </w:pPr>
      <w:bookmarkStart w:id="568" w:name="_Toc45535706"/>
      <w:r w:rsidRPr="009A539C">
        <w:rPr>
          <w:rFonts w:ascii="Calibri" w:hAnsi="Calibri" w:cs="Calibri"/>
        </w:rPr>
        <w:t>Caducidade e sobrevigência</w:t>
      </w:r>
      <w:bookmarkEnd w:id="568"/>
    </w:p>
    <w:p w14:paraId="1BD11DFB" w14:textId="3A563597" w:rsidR="008958B2" w:rsidRPr="009A539C" w:rsidRDefault="004A59D3" w:rsidP="00A53637">
      <w:pPr>
        <w:spacing w:line="360" w:lineRule="auto"/>
        <w:ind w:firstLine="284"/>
        <w:jc w:val="both"/>
        <w:rPr>
          <w:rFonts w:ascii="Calibri" w:hAnsi="Calibri" w:cs="Calibri"/>
        </w:rPr>
      </w:pPr>
      <w:bookmarkStart w:id="569" w:name="_Toc42511743"/>
      <w:bookmarkStart w:id="570" w:name="_Toc42514507"/>
      <w:r w:rsidRPr="009A539C">
        <w:rPr>
          <w:rFonts w:ascii="Calibri" w:hAnsi="Calibri" w:cs="Calibri"/>
        </w:rPr>
        <w:t xml:space="preserve">Continua a ser pouco comum as convenções regularem as matérias da caducidade e da sobrevigência: num total de 240 convenções celebradas em 2019, 22 regulam a sobrevigência e </w:t>
      </w:r>
      <w:r w:rsidR="00B0109D" w:rsidRPr="009A539C">
        <w:rPr>
          <w:rFonts w:ascii="Calibri" w:hAnsi="Calibri" w:cs="Calibri"/>
        </w:rPr>
        <w:t xml:space="preserve">25 </w:t>
      </w:r>
      <w:r w:rsidR="00050F59" w:rsidRPr="009A539C">
        <w:rPr>
          <w:rFonts w:ascii="Calibri" w:hAnsi="Calibri" w:cs="Calibri"/>
        </w:rPr>
        <w:t>preveem</w:t>
      </w:r>
      <w:r w:rsidR="003C1494" w:rsidRPr="009A539C">
        <w:rPr>
          <w:rFonts w:ascii="Calibri" w:hAnsi="Calibri" w:cs="Calibri"/>
        </w:rPr>
        <w:t xml:space="preserve"> expressamente a caducidade. </w:t>
      </w:r>
      <w:r w:rsidRPr="009A539C">
        <w:rPr>
          <w:rFonts w:ascii="Calibri" w:hAnsi="Calibri" w:cs="Calibri"/>
        </w:rPr>
        <w:t>Este ano apenas 3 convenções remetem para a lei, embora a maioria das soluções se aproximem do regime legal de sobrevigência, ao fixar os 12 meses previstos na lei (5) (art.501º, 3, CT) ou ao admitir como período máximo, inclui</w:t>
      </w:r>
      <w:r w:rsidR="003C1494" w:rsidRPr="009A539C">
        <w:rPr>
          <w:rFonts w:ascii="Calibri" w:hAnsi="Calibri" w:cs="Calibri"/>
        </w:rPr>
        <w:t xml:space="preserve">ndo processo de negociação, os 18 meses </w:t>
      </w:r>
      <w:r w:rsidRPr="009A539C">
        <w:rPr>
          <w:rFonts w:ascii="Calibri" w:hAnsi="Calibri" w:cs="Calibri"/>
        </w:rPr>
        <w:t>de sobrevigência ( 4) (art.501º, 5, CT) (ver Quadros 4</w:t>
      </w:r>
      <w:r w:rsidR="006B6061" w:rsidRPr="009A539C">
        <w:rPr>
          <w:rFonts w:ascii="Calibri" w:hAnsi="Calibri" w:cs="Calibri"/>
        </w:rPr>
        <w:t>0</w:t>
      </w:r>
      <w:r w:rsidRPr="009A539C">
        <w:rPr>
          <w:rFonts w:ascii="Calibri" w:hAnsi="Calibri" w:cs="Calibri"/>
        </w:rPr>
        <w:t xml:space="preserve"> e 4</w:t>
      </w:r>
      <w:r w:rsidR="006B6061" w:rsidRPr="009A539C">
        <w:rPr>
          <w:rFonts w:ascii="Calibri" w:hAnsi="Calibri" w:cs="Calibri"/>
        </w:rPr>
        <w:t>1</w:t>
      </w:r>
      <w:r w:rsidRPr="009A539C">
        <w:rPr>
          <w:rFonts w:ascii="Calibri" w:hAnsi="Calibri" w:cs="Calibri"/>
        </w:rPr>
        <w:t xml:space="preserve">). Por outro lado, a fisionomia do regime convencional mantém-se tendencialmente constante, apenas se verificando uma revisão </w:t>
      </w:r>
      <w:r w:rsidR="006C11BB" w:rsidRPr="009A539C">
        <w:rPr>
          <w:rFonts w:ascii="Calibri" w:hAnsi="Calibri" w:cs="Calibri"/>
        </w:rPr>
        <w:t>global</w:t>
      </w:r>
      <w:r w:rsidRPr="009A539C">
        <w:rPr>
          <w:rFonts w:ascii="Calibri" w:hAnsi="Calibri" w:cs="Calibri"/>
        </w:rPr>
        <w:t xml:space="preserve"> que alterou a redação do seu clausulado, neste domínio </w:t>
      </w:r>
      <w:r w:rsidRPr="009A539C">
        <w:rPr>
          <w:rFonts w:ascii="Calibri" w:hAnsi="Calibri" w:cs="Calibri"/>
          <w:vertAlign w:val="superscript"/>
        </w:rPr>
        <w:footnoteReference w:id="177"/>
      </w:r>
      <w:r w:rsidR="008958B2" w:rsidRPr="009A539C">
        <w:rPr>
          <w:rFonts w:ascii="Calibri" w:hAnsi="Calibri" w:cs="Calibri"/>
        </w:rPr>
        <w:t>.</w:t>
      </w:r>
      <w:bookmarkEnd w:id="569"/>
      <w:bookmarkEnd w:id="570"/>
    </w:p>
    <w:p w14:paraId="167832AA" w14:textId="1C3C560A" w:rsidR="00A53637" w:rsidRPr="009A539C" w:rsidRDefault="004B14DF" w:rsidP="00A53637">
      <w:pPr>
        <w:spacing w:line="360" w:lineRule="auto"/>
        <w:ind w:firstLine="284"/>
        <w:jc w:val="both"/>
        <w:rPr>
          <w:rFonts w:ascii="Calibri" w:hAnsi="Calibri" w:cs="Calibri"/>
        </w:rPr>
      </w:pPr>
      <w:r w:rsidRPr="009A539C">
        <w:rPr>
          <w:rFonts w:ascii="Calibri" w:hAnsi="Calibri" w:cs="Calibri"/>
        </w:rPr>
        <w:t xml:space="preserve">Cabe referir que a </w:t>
      </w:r>
      <w:r w:rsidR="005678D5" w:rsidRPr="009A539C">
        <w:rPr>
          <w:rFonts w:ascii="Calibri" w:hAnsi="Calibri" w:cs="Calibri"/>
        </w:rPr>
        <w:t>n</w:t>
      </w:r>
      <w:r w:rsidR="0084201E" w:rsidRPr="009A539C">
        <w:rPr>
          <w:rFonts w:ascii="Calibri" w:hAnsi="Calibri" w:cs="Calibri"/>
        </w:rPr>
        <w:t>ova redação do</w:t>
      </w:r>
      <w:r w:rsidR="006C11BB" w:rsidRPr="009A539C">
        <w:rPr>
          <w:rFonts w:ascii="Calibri" w:hAnsi="Calibri" w:cs="Calibri"/>
        </w:rPr>
        <w:t xml:space="preserve"> art. 500ª,CT (</w:t>
      </w:r>
      <w:r w:rsidR="0084201E" w:rsidRPr="009A539C">
        <w:rPr>
          <w:rFonts w:ascii="Calibri" w:hAnsi="Calibri" w:cs="Calibri"/>
        </w:rPr>
        <w:t>conferida pel</w:t>
      </w:r>
      <w:r w:rsidR="006C11BB" w:rsidRPr="009A539C">
        <w:rPr>
          <w:rFonts w:ascii="Calibri" w:hAnsi="Calibri" w:cs="Calibri"/>
        </w:rPr>
        <w:t>a Lei 93/2019, de 4 d</w:t>
      </w:r>
      <w:r w:rsidR="0084201E" w:rsidRPr="009A539C">
        <w:rPr>
          <w:rFonts w:ascii="Calibri" w:hAnsi="Calibri" w:cs="Calibri"/>
        </w:rPr>
        <w:t>e setembro), passou a exigir que, para além de proposta negocial global, dela conste a fundamentação sobr</w:t>
      </w:r>
      <w:r w:rsidR="00544AF3" w:rsidRPr="009A539C">
        <w:rPr>
          <w:rFonts w:ascii="Calibri" w:hAnsi="Calibri" w:cs="Calibri"/>
        </w:rPr>
        <w:t>e</w:t>
      </w:r>
      <w:r w:rsidR="00B91953" w:rsidRPr="009A539C">
        <w:rPr>
          <w:rFonts w:ascii="Calibri" w:hAnsi="Calibri" w:cs="Calibri"/>
        </w:rPr>
        <w:t xml:space="preserve"> “</w:t>
      </w:r>
      <w:r w:rsidR="0084201E" w:rsidRPr="009A539C">
        <w:rPr>
          <w:rFonts w:ascii="Calibri" w:hAnsi="Calibri" w:cs="Calibri"/>
        </w:rPr>
        <w:t>motivos de ordem económica, estrutural ou a desajustamentos do regime da convenção denunciada</w:t>
      </w:r>
      <w:r w:rsidR="00B91953" w:rsidRPr="009A539C">
        <w:rPr>
          <w:rFonts w:ascii="Calibri" w:hAnsi="Calibri" w:cs="Calibri"/>
        </w:rPr>
        <w:t>”; e seja enviada cópia para o</w:t>
      </w:r>
      <w:r w:rsidR="0084201E" w:rsidRPr="009A539C">
        <w:rPr>
          <w:rFonts w:ascii="Calibri" w:hAnsi="Calibri" w:cs="Calibri"/>
        </w:rPr>
        <w:t xml:space="preserve"> serviço competente do ministério responsável pela área laboral</w:t>
      </w:r>
      <w:r w:rsidR="004F5352" w:rsidRPr="009A539C">
        <w:rPr>
          <w:rStyle w:val="Refdenotaderodap"/>
          <w:rFonts w:ascii="Calibri" w:hAnsi="Calibri" w:cs="Calibri"/>
        </w:rPr>
        <w:footnoteReference w:id="178"/>
      </w:r>
      <w:r w:rsidR="004F5352" w:rsidRPr="009A539C">
        <w:rPr>
          <w:rFonts w:ascii="Calibri" w:hAnsi="Calibri" w:cs="Calibri"/>
        </w:rPr>
        <w:t>.</w:t>
      </w:r>
      <w:r w:rsidR="00544AF3" w:rsidRPr="009A539C">
        <w:rPr>
          <w:rFonts w:ascii="Calibri" w:hAnsi="Calibri" w:cs="Calibri"/>
        </w:rPr>
        <w:t xml:space="preserve"> Em 2019, encontram-se </w:t>
      </w:r>
      <w:r w:rsidRPr="009A539C">
        <w:rPr>
          <w:rFonts w:ascii="Calibri" w:hAnsi="Calibri" w:cs="Calibri"/>
        </w:rPr>
        <w:t xml:space="preserve">sete </w:t>
      </w:r>
      <w:r w:rsidR="00544AF3" w:rsidRPr="009A539C">
        <w:rPr>
          <w:rFonts w:ascii="Calibri" w:hAnsi="Calibri" w:cs="Calibri"/>
        </w:rPr>
        <w:t>convenções que aludem, de modo geral, à fundamentaç</w:t>
      </w:r>
      <w:r w:rsidR="001939C9" w:rsidRPr="009A539C">
        <w:rPr>
          <w:rFonts w:ascii="Calibri" w:hAnsi="Calibri" w:cs="Calibri"/>
        </w:rPr>
        <w:t>ão, sempre que uma dos outorgantes apresente a</w:t>
      </w:r>
      <w:r w:rsidR="00544AF3" w:rsidRPr="009A539C">
        <w:rPr>
          <w:rFonts w:ascii="Calibri" w:hAnsi="Calibri" w:cs="Calibri"/>
        </w:rPr>
        <w:t xml:space="preserve"> denúncia da convenção</w:t>
      </w:r>
      <w:r w:rsidR="001939C9" w:rsidRPr="009A539C">
        <w:rPr>
          <w:rFonts w:ascii="Calibri" w:hAnsi="Calibri" w:cs="Calibri"/>
        </w:rPr>
        <w:t>.</w:t>
      </w:r>
      <w:r w:rsidR="00544AF3" w:rsidRPr="009A539C">
        <w:rPr>
          <w:rFonts w:ascii="Calibri" w:hAnsi="Calibri" w:cs="Calibri"/>
        </w:rPr>
        <w:t xml:space="preserve"> </w:t>
      </w:r>
    </w:p>
    <w:p w14:paraId="51BD6C8A" w14:textId="77777777" w:rsidR="00A53637" w:rsidRPr="009A539C" w:rsidRDefault="00A53637" w:rsidP="00A53637">
      <w:pPr>
        <w:spacing w:line="360" w:lineRule="auto"/>
        <w:ind w:firstLine="284"/>
        <w:jc w:val="both"/>
        <w:rPr>
          <w:rFonts w:ascii="Calibri" w:hAnsi="Calibri" w:cs="Calibri"/>
        </w:rPr>
      </w:pPr>
    </w:p>
    <w:p w14:paraId="6F2CB213" w14:textId="1B9EA1B2" w:rsidR="004A59D3" w:rsidRPr="009A539C" w:rsidRDefault="002B051C" w:rsidP="00B0109D">
      <w:pPr>
        <w:pStyle w:val="Legenda"/>
        <w:jc w:val="center"/>
        <w:rPr>
          <w:rFonts w:ascii="Calibri" w:hAnsi="Calibri" w:cs="Calibri"/>
          <w:color w:val="0070C0"/>
          <w:sz w:val="20"/>
          <w:szCs w:val="20"/>
        </w:rPr>
      </w:pPr>
      <w:bookmarkStart w:id="571" w:name="_Toc15654979"/>
      <w:bookmarkStart w:id="572" w:name="_Toc42511744"/>
      <w:bookmarkStart w:id="573" w:name="_Toc42514508"/>
      <w:bookmarkStart w:id="574" w:name="_Toc45716661"/>
      <w:r w:rsidRPr="000E365A">
        <w:rPr>
          <w:b w:val="0"/>
          <w:sz w:val="20"/>
          <w:szCs w:val="20"/>
        </w:rPr>
        <w:t xml:space="preserve">Quadro </w:t>
      </w:r>
      <w:r w:rsidR="00256F15" w:rsidRPr="000E365A">
        <w:rPr>
          <w:b w:val="0"/>
          <w:sz w:val="20"/>
          <w:szCs w:val="20"/>
        </w:rPr>
        <w:fldChar w:fldCharType="begin"/>
      </w:r>
      <w:r w:rsidR="00256F15" w:rsidRPr="000E365A">
        <w:rPr>
          <w:b w:val="0"/>
          <w:sz w:val="20"/>
          <w:szCs w:val="20"/>
        </w:rPr>
        <w:instrText xml:space="preserve"> SEQ Quadro \* ARABIC </w:instrText>
      </w:r>
      <w:r w:rsidR="00256F15" w:rsidRPr="000E365A">
        <w:rPr>
          <w:b w:val="0"/>
          <w:sz w:val="20"/>
          <w:szCs w:val="20"/>
        </w:rPr>
        <w:fldChar w:fldCharType="separate"/>
      </w:r>
      <w:r w:rsidR="00D821DE" w:rsidRPr="000E365A">
        <w:rPr>
          <w:b w:val="0"/>
          <w:noProof/>
          <w:sz w:val="20"/>
          <w:szCs w:val="20"/>
        </w:rPr>
        <w:t>40</w:t>
      </w:r>
      <w:r w:rsidR="00256F15" w:rsidRPr="000E365A">
        <w:rPr>
          <w:b w:val="0"/>
          <w:noProof/>
          <w:sz w:val="20"/>
          <w:szCs w:val="20"/>
        </w:rPr>
        <w:fldChar w:fldCharType="end"/>
      </w:r>
      <w:r w:rsidR="004A59D3" w:rsidRPr="000E365A">
        <w:rPr>
          <w:rFonts w:ascii="Calibri" w:hAnsi="Calibri" w:cs="Calibri"/>
          <w:b w:val="0"/>
          <w:sz w:val="20"/>
          <w:szCs w:val="20"/>
        </w:rPr>
        <w:t xml:space="preserve"> - Convenções publicadas em 2019 com cláusulas sobre sobrevigência (por tipo e período</w:t>
      </w:r>
      <w:r w:rsidR="004A59D3" w:rsidRPr="009A539C">
        <w:rPr>
          <w:rFonts w:ascii="Calibri" w:hAnsi="Calibri" w:cs="Calibri"/>
          <w:sz w:val="20"/>
          <w:szCs w:val="20"/>
        </w:rPr>
        <w:t>)</w:t>
      </w:r>
      <w:bookmarkEnd w:id="571"/>
      <w:bookmarkEnd w:id="572"/>
      <w:bookmarkEnd w:id="573"/>
      <w:bookmarkEnd w:id="574"/>
    </w:p>
    <w:p w14:paraId="20B86E5A" w14:textId="77777777" w:rsidR="004A59D3" w:rsidRPr="009A539C" w:rsidRDefault="004A59D3" w:rsidP="00034087">
      <w:pPr>
        <w:jc w:val="center"/>
        <w:rPr>
          <w:rFonts w:ascii="Calibri" w:hAnsi="Calibri" w:cs="Calibri"/>
        </w:rPr>
      </w:pPr>
      <w:bookmarkStart w:id="575" w:name="_Toc42511745"/>
      <w:bookmarkStart w:id="576" w:name="_Toc42514509"/>
      <w:r w:rsidRPr="009A539C">
        <w:rPr>
          <w:rFonts w:ascii="Calibri" w:hAnsi="Calibri" w:cs="Calibri"/>
          <w:noProof/>
          <w:lang w:eastAsia="pt-PT"/>
        </w:rPr>
        <w:drawing>
          <wp:inline distT="0" distB="0" distL="0" distR="0" wp14:anchorId="6EA081BF" wp14:editId="40E9993C">
            <wp:extent cx="3573780" cy="2561626"/>
            <wp:effectExtent l="0" t="0" r="7620" b="0"/>
            <wp:docPr id="1156" name="Imagem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600517" cy="2580791"/>
                    </a:xfrm>
                    <a:prstGeom prst="rect">
                      <a:avLst/>
                    </a:prstGeom>
                    <a:noFill/>
                    <a:ln>
                      <a:noFill/>
                    </a:ln>
                  </pic:spPr>
                </pic:pic>
              </a:graphicData>
            </a:graphic>
          </wp:inline>
        </w:drawing>
      </w:r>
      <w:bookmarkEnd w:id="575"/>
      <w:bookmarkEnd w:id="576"/>
    </w:p>
    <w:p w14:paraId="5E6E3874" w14:textId="09E7D809" w:rsidR="004A59D3" w:rsidRPr="009A539C" w:rsidRDefault="003C1494" w:rsidP="00A53637">
      <w:pPr>
        <w:spacing w:line="360" w:lineRule="auto"/>
        <w:ind w:firstLine="284"/>
        <w:jc w:val="both"/>
        <w:rPr>
          <w:rFonts w:ascii="Calibri" w:hAnsi="Calibri" w:cs="Calibri"/>
        </w:rPr>
      </w:pPr>
      <w:bookmarkStart w:id="577" w:name="_Toc42511746"/>
      <w:bookmarkStart w:id="578" w:name="_Toc42514510"/>
      <w:r w:rsidRPr="009A539C">
        <w:rPr>
          <w:rFonts w:ascii="Calibri" w:hAnsi="Calibri" w:cs="Calibri"/>
        </w:rPr>
        <w:t xml:space="preserve">O próximo quadro </w:t>
      </w:r>
      <w:r w:rsidR="004A59D3" w:rsidRPr="009A539C">
        <w:rPr>
          <w:rFonts w:ascii="Calibri" w:hAnsi="Calibri" w:cs="Calibri"/>
        </w:rPr>
        <w:t>identifica as convenções que se referem à sobrevigência e/ou à caducidade. No conjunto das 2</w:t>
      </w:r>
      <w:r w:rsidR="00B0109D" w:rsidRPr="009A539C">
        <w:rPr>
          <w:rFonts w:ascii="Calibri" w:hAnsi="Calibri" w:cs="Calibri"/>
        </w:rPr>
        <w:t xml:space="preserve">5 </w:t>
      </w:r>
      <w:r w:rsidR="004A59D3" w:rsidRPr="009A539C">
        <w:rPr>
          <w:rFonts w:ascii="Calibri" w:hAnsi="Calibri" w:cs="Calibri"/>
        </w:rPr>
        <w:t>convenções que preveem expressamente a caducidade, encontramos 1</w:t>
      </w:r>
      <w:r w:rsidR="00B0109D" w:rsidRPr="009A539C">
        <w:rPr>
          <w:rFonts w:ascii="Calibri" w:hAnsi="Calibri" w:cs="Calibri"/>
        </w:rPr>
        <w:t xml:space="preserve">3 </w:t>
      </w:r>
      <w:r w:rsidR="004A59D3" w:rsidRPr="009A539C">
        <w:rPr>
          <w:rFonts w:ascii="Calibri" w:hAnsi="Calibri" w:cs="Calibri"/>
        </w:rPr>
        <w:t>cujas disposições indicam expressamente os efeitos</w:t>
      </w:r>
      <w:r w:rsidR="00FD4415" w:rsidRPr="009A539C">
        <w:rPr>
          <w:rFonts w:ascii="Calibri" w:hAnsi="Calibri" w:cs="Calibri"/>
        </w:rPr>
        <w:t xml:space="preserve"> na pós eficácia da convenção em caso de</w:t>
      </w:r>
      <w:r w:rsidR="004A59D3" w:rsidRPr="009A539C">
        <w:rPr>
          <w:rFonts w:ascii="Calibri" w:hAnsi="Calibri" w:cs="Calibri"/>
        </w:rPr>
        <w:t xml:space="preserve"> caducidade</w:t>
      </w:r>
      <w:r w:rsidR="004A59D3" w:rsidRPr="009A539C">
        <w:rPr>
          <w:rFonts w:ascii="Calibri" w:hAnsi="Calibri" w:cs="Calibri"/>
          <w:vertAlign w:val="superscript"/>
        </w:rPr>
        <w:footnoteReference w:id="179"/>
      </w:r>
      <w:r w:rsidR="004A59D3" w:rsidRPr="009A539C">
        <w:rPr>
          <w:rFonts w:ascii="Calibri" w:hAnsi="Calibri" w:cs="Calibri"/>
        </w:rPr>
        <w:t>. Recorde-se que a Lei n.º</w:t>
      </w:r>
      <w:r w:rsidR="006535CF" w:rsidRPr="009A539C">
        <w:rPr>
          <w:rFonts w:ascii="Calibri" w:hAnsi="Calibri" w:cs="Calibri"/>
        </w:rPr>
        <w:t xml:space="preserve"> </w:t>
      </w:r>
      <w:r w:rsidR="004A59D3" w:rsidRPr="009A539C">
        <w:rPr>
          <w:rFonts w:ascii="Calibri" w:hAnsi="Calibri" w:cs="Calibri"/>
        </w:rPr>
        <w:t>93/2019, de 4 de setembro aditou os aspetos relativos à “parentalidade e a Segurança e Saúde” (no art.501º,n.8 CT) ao conj</w:t>
      </w:r>
      <w:r w:rsidRPr="009A539C">
        <w:rPr>
          <w:rFonts w:ascii="Calibri" w:hAnsi="Calibri" w:cs="Calibri"/>
        </w:rPr>
        <w:t xml:space="preserve">unto de matérias cujos efeitos </w:t>
      </w:r>
      <w:r w:rsidR="00FD4415" w:rsidRPr="009A539C">
        <w:rPr>
          <w:rFonts w:ascii="Calibri" w:hAnsi="Calibri" w:cs="Calibri"/>
        </w:rPr>
        <w:t>permanecem</w:t>
      </w:r>
      <w:r w:rsidR="004A59D3" w:rsidRPr="009A539C">
        <w:rPr>
          <w:rFonts w:ascii="Calibri" w:hAnsi="Calibri" w:cs="Calibri"/>
        </w:rPr>
        <w:t xml:space="preserve"> na esfera jurídica dos trabalhadores, até à celebração de nova convenção ou à emissão de decisão arbitral, na ausência de acordo das partes</w:t>
      </w:r>
      <w:r w:rsidR="00FF6AE7" w:rsidRPr="009A539C">
        <w:rPr>
          <w:rStyle w:val="Refdenotaderodap"/>
          <w:rFonts w:ascii="Calibri" w:hAnsi="Calibri" w:cs="Calibri"/>
        </w:rPr>
        <w:footnoteReference w:id="180"/>
      </w:r>
      <w:r w:rsidR="004A59D3" w:rsidRPr="009A539C">
        <w:rPr>
          <w:rFonts w:ascii="Calibri" w:hAnsi="Calibri" w:cs="Calibri"/>
        </w:rPr>
        <w:t>. Em 2019, porém, es</w:t>
      </w:r>
      <w:r w:rsidRPr="009A539C">
        <w:rPr>
          <w:rFonts w:ascii="Calibri" w:hAnsi="Calibri" w:cs="Calibri"/>
        </w:rPr>
        <w:t xml:space="preserve">tas matérias ainda não figuram </w:t>
      </w:r>
      <w:r w:rsidR="004A59D3" w:rsidRPr="009A539C">
        <w:rPr>
          <w:rFonts w:ascii="Calibri" w:hAnsi="Calibri" w:cs="Calibri"/>
        </w:rPr>
        <w:t>em qualque</w:t>
      </w:r>
      <w:r w:rsidRPr="009A539C">
        <w:rPr>
          <w:rFonts w:ascii="Calibri" w:hAnsi="Calibri" w:cs="Calibri"/>
        </w:rPr>
        <w:t>r convenção</w:t>
      </w:r>
      <w:r w:rsidR="006535CF" w:rsidRPr="009A539C">
        <w:rPr>
          <w:rFonts w:ascii="Calibri" w:hAnsi="Calibri" w:cs="Calibri"/>
        </w:rPr>
        <w:t>. Observam-se</w:t>
      </w:r>
      <w:r w:rsidR="004A59D3" w:rsidRPr="009A539C">
        <w:rPr>
          <w:rFonts w:ascii="Calibri" w:hAnsi="Calibri" w:cs="Calibri"/>
        </w:rPr>
        <w:t>, fundamentalmente, três modalidades de regulação</w:t>
      </w:r>
      <w:r w:rsidR="004A59D3" w:rsidRPr="009A539C">
        <w:rPr>
          <w:rFonts w:ascii="Calibri" w:hAnsi="Calibri" w:cs="Calibri"/>
          <w:vertAlign w:val="superscript"/>
        </w:rPr>
        <w:footnoteReference w:id="181"/>
      </w:r>
      <w:r w:rsidR="004A59D3" w:rsidRPr="009A539C">
        <w:rPr>
          <w:rFonts w:ascii="Calibri" w:hAnsi="Calibri" w:cs="Calibri"/>
        </w:rPr>
        <w:t>:</w:t>
      </w:r>
      <w:bookmarkEnd w:id="577"/>
      <w:bookmarkEnd w:id="578"/>
      <w:r w:rsidR="004A59D3" w:rsidRPr="009A539C">
        <w:rPr>
          <w:rFonts w:ascii="Calibri" w:hAnsi="Calibri" w:cs="Calibri"/>
        </w:rPr>
        <w:t xml:space="preserve"> </w:t>
      </w:r>
    </w:p>
    <w:p w14:paraId="4578981A" w14:textId="77777777" w:rsidR="004A59D3" w:rsidRPr="009A539C" w:rsidRDefault="004A59D3" w:rsidP="00A53637">
      <w:pPr>
        <w:pStyle w:val="PargrafodaLista"/>
        <w:numPr>
          <w:ilvl w:val="0"/>
          <w:numId w:val="62"/>
        </w:numPr>
        <w:spacing w:line="360" w:lineRule="auto"/>
        <w:ind w:firstLine="284"/>
        <w:rPr>
          <w:rFonts w:ascii="Calibri" w:hAnsi="Calibri" w:cs="Calibri"/>
        </w:rPr>
      </w:pPr>
      <w:bookmarkStart w:id="579" w:name="_Toc42511747"/>
      <w:bookmarkStart w:id="580" w:name="_Toc42514511"/>
      <w:r w:rsidRPr="009A539C">
        <w:rPr>
          <w:rFonts w:ascii="Calibri" w:hAnsi="Calibri" w:cs="Calibri"/>
        </w:rPr>
        <w:t>menção de apenas uma parte das matérias previstas na lei</w:t>
      </w:r>
      <w:r w:rsidRPr="009A539C">
        <w:rPr>
          <w:vertAlign w:val="superscript"/>
        </w:rPr>
        <w:footnoteReference w:id="182"/>
      </w:r>
      <w:r w:rsidRPr="009A539C">
        <w:rPr>
          <w:rFonts w:ascii="Calibri" w:hAnsi="Calibri" w:cs="Calibri"/>
        </w:rPr>
        <w:t>;</w:t>
      </w:r>
      <w:bookmarkEnd w:id="579"/>
      <w:bookmarkEnd w:id="580"/>
    </w:p>
    <w:p w14:paraId="3E6FEEBE" w14:textId="77777777" w:rsidR="004A59D3" w:rsidRPr="009A539C" w:rsidRDefault="004A59D3" w:rsidP="00A53637">
      <w:pPr>
        <w:pStyle w:val="PargrafodaLista"/>
        <w:numPr>
          <w:ilvl w:val="0"/>
          <w:numId w:val="62"/>
        </w:numPr>
        <w:spacing w:line="360" w:lineRule="auto"/>
        <w:ind w:firstLine="284"/>
        <w:rPr>
          <w:rFonts w:ascii="Calibri" w:hAnsi="Calibri" w:cs="Calibri"/>
        </w:rPr>
      </w:pPr>
      <w:bookmarkStart w:id="581" w:name="_Toc42511748"/>
      <w:bookmarkStart w:id="582" w:name="_Toc42514512"/>
      <w:r w:rsidRPr="009A539C">
        <w:rPr>
          <w:rFonts w:ascii="Calibri" w:hAnsi="Calibri" w:cs="Calibri"/>
        </w:rPr>
        <w:t>redação semelhante à da lei</w:t>
      </w:r>
      <w:r w:rsidRPr="009A539C">
        <w:rPr>
          <w:vertAlign w:val="superscript"/>
        </w:rPr>
        <w:footnoteReference w:id="183"/>
      </w:r>
      <w:r w:rsidRPr="009A539C">
        <w:rPr>
          <w:rFonts w:ascii="Calibri" w:hAnsi="Calibri" w:cs="Calibri"/>
        </w:rPr>
        <w:t>;</w:t>
      </w:r>
      <w:bookmarkEnd w:id="581"/>
      <w:bookmarkEnd w:id="582"/>
    </w:p>
    <w:p w14:paraId="6726CBEF" w14:textId="77777777" w:rsidR="004A59D3" w:rsidRPr="009A539C" w:rsidRDefault="004A59D3" w:rsidP="00A53637">
      <w:pPr>
        <w:pStyle w:val="PargrafodaLista"/>
        <w:numPr>
          <w:ilvl w:val="0"/>
          <w:numId w:val="62"/>
        </w:numPr>
        <w:spacing w:line="360" w:lineRule="auto"/>
        <w:ind w:firstLine="284"/>
        <w:rPr>
          <w:rFonts w:ascii="Calibri" w:hAnsi="Calibri" w:cs="Calibri"/>
        </w:rPr>
      </w:pPr>
      <w:bookmarkStart w:id="583" w:name="_Toc42511749"/>
      <w:bookmarkStart w:id="584" w:name="_Toc42514513"/>
      <w:r w:rsidRPr="009A539C">
        <w:rPr>
          <w:rFonts w:ascii="Calibri" w:hAnsi="Calibri" w:cs="Calibri"/>
        </w:rPr>
        <w:t>Indicação de apenas alguns dos pontos referidos na lei, mas com aditamento de outras matérias</w:t>
      </w:r>
      <w:r w:rsidRPr="009A539C">
        <w:rPr>
          <w:vertAlign w:val="superscript"/>
        </w:rPr>
        <w:footnoteReference w:id="184"/>
      </w:r>
      <w:r w:rsidRPr="009A539C">
        <w:rPr>
          <w:rFonts w:ascii="Calibri" w:hAnsi="Calibri" w:cs="Calibri"/>
        </w:rPr>
        <w:t>.</w:t>
      </w:r>
      <w:bookmarkEnd w:id="583"/>
      <w:bookmarkEnd w:id="584"/>
    </w:p>
    <w:p w14:paraId="467EA203" w14:textId="1637C55E" w:rsidR="00BA4157" w:rsidRPr="009A539C" w:rsidRDefault="004A59D3" w:rsidP="000D71EA">
      <w:pPr>
        <w:spacing w:line="360" w:lineRule="auto"/>
        <w:ind w:firstLine="284"/>
        <w:jc w:val="both"/>
        <w:rPr>
          <w:rFonts w:ascii="Calibri" w:hAnsi="Calibri" w:cs="Calibri"/>
        </w:rPr>
      </w:pPr>
      <w:bookmarkStart w:id="585" w:name="_Toc42511750"/>
      <w:bookmarkStart w:id="586" w:name="_Toc42514514"/>
      <w:r w:rsidRPr="009A539C">
        <w:rPr>
          <w:rFonts w:ascii="Calibri" w:hAnsi="Calibri" w:cs="Calibri"/>
        </w:rPr>
        <w:t>Encontra-se, por último, três convenções paralelas que não regulam expressamente o regime de caducidade e sobrevigência, mas,</w:t>
      </w:r>
      <w:r w:rsidR="003C1494" w:rsidRPr="009A539C">
        <w:rPr>
          <w:rFonts w:ascii="Calibri" w:hAnsi="Calibri" w:cs="Calibri"/>
        </w:rPr>
        <w:t xml:space="preserve"> em contrapartida, menciona</w:t>
      </w:r>
      <w:r w:rsidR="006535CF" w:rsidRPr="009A539C">
        <w:rPr>
          <w:rFonts w:ascii="Calibri" w:hAnsi="Calibri" w:cs="Calibri"/>
        </w:rPr>
        <w:t>m</w:t>
      </w:r>
      <w:r w:rsidR="003C1494" w:rsidRPr="009A539C">
        <w:rPr>
          <w:rFonts w:ascii="Calibri" w:hAnsi="Calibri" w:cs="Calibri"/>
        </w:rPr>
        <w:t xml:space="preserve"> os direitos dos trabalhadores </w:t>
      </w:r>
      <w:r w:rsidRPr="009A539C">
        <w:rPr>
          <w:rFonts w:ascii="Calibri" w:hAnsi="Calibri" w:cs="Calibri"/>
        </w:rPr>
        <w:t xml:space="preserve">preservados em caso de caducidade </w:t>
      </w:r>
      <w:r w:rsidRPr="009A539C">
        <w:rPr>
          <w:rFonts w:ascii="Calibri" w:hAnsi="Calibri" w:cs="Calibri"/>
          <w:vertAlign w:val="superscript"/>
        </w:rPr>
        <w:footnoteReference w:id="185"/>
      </w:r>
      <w:r w:rsidRPr="009A539C">
        <w:rPr>
          <w:rFonts w:ascii="Calibri" w:hAnsi="Calibri" w:cs="Calibri"/>
        </w:rPr>
        <w:t>.</w:t>
      </w:r>
      <w:bookmarkStart w:id="587" w:name="_Toc15654980"/>
      <w:bookmarkStart w:id="588" w:name="_Toc42511751"/>
      <w:bookmarkStart w:id="589" w:name="_Toc42514515"/>
      <w:bookmarkEnd w:id="585"/>
      <w:bookmarkEnd w:id="586"/>
    </w:p>
    <w:p w14:paraId="2AFB749F" w14:textId="5DDD36EB" w:rsidR="00A53637" w:rsidRPr="009A539C" w:rsidRDefault="00A53637">
      <w:pPr>
        <w:rPr>
          <w:rFonts w:ascii="Calibri" w:hAnsi="Calibri" w:cs="Calibri"/>
        </w:rPr>
      </w:pPr>
      <w:r w:rsidRPr="009A539C">
        <w:rPr>
          <w:rFonts w:ascii="Calibri" w:hAnsi="Calibri" w:cs="Calibri"/>
        </w:rPr>
        <w:br w:type="page"/>
      </w:r>
    </w:p>
    <w:p w14:paraId="1BF36BCA" w14:textId="77777777" w:rsidR="00774EFE" w:rsidRPr="00AC25EB" w:rsidRDefault="002B051C" w:rsidP="00774EFE">
      <w:pPr>
        <w:pStyle w:val="Legenda"/>
        <w:jc w:val="center"/>
        <w:rPr>
          <w:rFonts w:ascii="Calibri" w:hAnsi="Calibri" w:cs="Calibri"/>
          <w:b w:val="0"/>
          <w:sz w:val="20"/>
          <w:szCs w:val="20"/>
        </w:rPr>
      </w:pPr>
      <w:bookmarkStart w:id="590" w:name="_Toc45716662"/>
      <w:r w:rsidRPr="00AC25EB">
        <w:rPr>
          <w:b w:val="0"/>
          <w:sz w:val="20"/>
          <w:szCs w:val="20"/>
        </w:rPr>
        <w:t xml:space="preserve">Quadro </w:t>
      </w:r>
      <w:r w:rsidR="00256F15" w:rsidRPr="00AC25EB">
        <w:rPr>
          <w:b w:val="0"/>
          <w:sz w:val="20"/>
          <w:szCs w:val="20"/>
        </w:rPr>
        <w:fldChar w:fldCharType="begin"/>
      </w:r>
      <w:r w:rsidR="00256F15" w:rsidRPr="00AC25EB">
        <w:rPr>
          <w:b w:val="0"/>
          <w:sz w:val="20"/>
          <w:szCs w:val="20"/>
        </w:rPr>
        <w:instrText xml:space="preserve"> SEQ Quadro \* ARABIC </w:instrText>
      </w:r>
      <w:r w:rsidR="00256F15" w:rsidRPr="00AC25EB">
        <w:rPr>
          <w:b w:val="0"/>
          <w:sz w:val="20"/>
          <w:szCs w:val="20"/>
        </w:rPr>
        <w:fldChar w:fldCharType="separate"/>
      </w:r>
      <w:r w:rsidR="00D821DE" w:rsidRPr="00AC25EB">
        <w:rPr>
          <w:b w:val="0"/>
          <w:noProof/>
          <w:sz w:val="20"/>
          <w:szCs w:val="20"/>
        </w:rPr>
        <w:t>41</w:t>
      </w:r>
      <w:r w:rsidR="00256F15" w:rsidRPr="00AC25EB">
        <w:rPr>
          <w:b w:val="0"/>
          <w:noProof/>
          <w:sz w:val="20"/>
          <w:szCs w:val="20"/>
        </w:rPr>
        <w:fldChar w:fldCharType="end"/>
      </w:r>
      <w:r w:rsidR="004A59D3" w:rsidRPr="00AC25EB">
        <w:rPr>
          <w:rFonts w:ascii="Calibri" w:hAnsi="Calibri" w:cs="Calibri"/>
          <w:b w:val="0"/>
          <w:sz w:val="20"/>
          <w:szCs w:val="20"/>
        </w:rPr>
        <w:t xml:space="preserve"> - Convenções publicadas em 2019 com cláusulas sobre sobrevigência e caducidade</w:t>
      </w:r>
      <w:bookmarkEnd w:id="587"/>
      <w:bookmarkEnd w:id="588"/>
      <w:bookmarkEnd w:id="589"/>
      <w:bookmarkEnd w:id="590"/>
    </w:p>
    <w:p w14:paraId="6928C774" w14:textId="647AE27F" w:rsidR="00A64B85" w:rsidRPr="009A539C" w:rsidRDefault="00774EFE" w:rsidP="00774EFE">
      <w:pPr>
        <w:pStyle w:val="Legenda"/>
        <w:jc w:val="center"/>
        <w:rPr>
          <w:rFonts w:ascii="Calibri" w:hAnsi="Calibri" w:cs="Calibri"/>
          <w:b w:val="0"/>
          <w:bCs w:val="0"/>
          <w:color w:val="0070C0"/>
        </w:rPr>
      </w:pPr>
      <w:r w:rsidRPr="009A539C">
        <w:rPr>
          <w:noProof/>
          <w:lang w:eastAsia="pt-PT"/>
        </w:rPr>
        <w:drawing>
          <wp:inline distT="0" distB="0" distL="0" distR="0" wp14:anchorId="6BC146FB" wp14:editId="0FDBB8D8">
            <wp:extent cx="5080772" cy="7820025"/>
            <wp:effectExtent l="0" t="0" r="5715" b="0"/>
            <wp:docPr id="1195" name="Imagem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79998" cy="7818833"/>
                    </a:xfrm>
                    <a:prstGeom prst="rect">
                      <a:avLst/>
                    </a:prstGeom>
                    <a:noFill/>
                    <a:ln>
                      <a:noFill/>
                    </a:ln>
                  </pic:spPr>
                </pic:pic>
              </a:graphicData>
            </a:graphic>
          </wp:inline>
        </w:drawing>
      </w:r>
    </w:p>
    <w:p w14:paraId="5B0F6990" w14:textId="77777777" w:rsidR="003509CA" w:rsidRPr="009A539C" w:rsidRDefault="003509CA" w:rsidP="00034087">
      <w:pPr>
        <w:rPr>
          <w:rFonts w:ascii="Calibri" w:hAnsi="Calibri" w:cs="Calibri"/>
          <w:b/>
          <w:bCs/>
          <w:color w:val="0070C0"/>
        </w:rPr>
      </w:pPr>
    </w:p>
    <w:p w14:paraId="1D77C6B9" w14:textId="6F8E2100" w:rsidR="004A59D3" w:rsidRPr="009A539C" w:rsidRDefault="004A59D3" w:rsidP="000D71EA">
      <w:pPr>
        <w:spacing w:line="360" w:lineRule="auto"/>
        <w:ind w:firstLine="567"/>
        <w:jc w:val="both"/>
        <w:rPr>
          <w:rFonts w:ascii="Calibri" w:hAnsi="Calibri" w:cs="Calibri"/>
        </w:rPr>
      </w:pPr>
      <w:bookmarkStart w:id="591" w:name="_Toc42511753"/>
      <w:bookmarkStart w:id="592" w:name="_Toc42514517"/>
      <w:r w:rsidRPr="009A539C">
        <w:rPr>
          <w:rFonts w:ascii="Calibri" w:hAnsi="Calibri" w:cs="Calibri"/>
        </w:rPr>
        <w:t>Em 2019, foram publicados dois avisos de cessação de vigência, o que não se verificava desde 2016, conforme mencionado</w:t>
      </w:r>
      <w:r w:rsidRPr="009A539C">
        <w:rPr>
          <w:rFonts w:ascii="Calibri" w:hAnsi="Calibri" w:cs="Calibri"/>
          <w:i/>
        </w:rPr>
        <w:t xml:space="preserve"> supra</w:t>
      </w:r>
      <w:r w:rsidRPr="009A539C">
        <w:rPr>
          <w:rFonts w:ascii="Calibri" w:hAnsi="Calibri" w:cs="Calibri"/>
        </w:rPr>
        <w:t>. Os dois avisos</w:t>
      </w:r>
      <w:r w:rsidRPr="009A539C">
        <w:rPr>
          <w:vertAlign w:val="superscript"/>
        </w:rPr>
        <w:footnoteReference w:id="186"/>
      </w:r>
      <w:r w:rsidR="003C1494" w:rsidRPr="009A539C">
        <w:rPr>
          <w:rFonts w:ascii="Calibri" w:hAnsi="Calibri" w:cs="Calibri"/>
        </w:rPr>
        <w:t xml:space="preserve">, </w:t>
      </w:r>
      <w:r w:rsidR="00672FB3">
        <w:rPr>
          <w:rFonts w:ascii="Calibri" w:hAnsi="Calibri" w:cs="Calibri"/>
        </w:rPr>
        <w:t>do</w:t>
      </w:r>
      <w:r w:rsidR="00672FB3" w:rsidRPr="009A539C">
        <w:rPr>
          <w:rFonts w:ascii="Calibri" w:hAnsi="Calibri" w:cs="Calibri"/>
        </w:rPr>
        <w:t xml:space="preserve"> setor dos transportes</w:t>
      </w:r>
      <w:r w:rsidR="00672FB3">
        <w:rPr>
          <w:rFonts w:ascii="Calibri" w:hAnsi="Calibri" w:cs="Calibri"/>
        </w:rPr>
        <w:t xml:space="preserve"> e </w:t>
      </w:r>
      <w:r w:rsidRPr="009A539C">
        <w:rPr>
          <w:rFonts w:ascii="Calibri" w:hAnsi="Calibri" w:cs="Calibri"/>
        </w:rPr>
        <w:t>assinalados no quadro abaixo, foram publicados a requerimento de uma das partes, ao abrigo do regime transitório consagrado no artigo 10.º, 5, alínea b), da Lei n.º 7/2009</w:t>
      </w:r>
      <w:r w:rsidRPr="009A539C">
        <w:rPr>
          <w:vertAlign w:val="superscript"/>
        </w:rPr>
        <w:footnoteReference w:id="187"/>
      </w:r>
      <w:r w:rsidR="003C1494" w:rsidRPr="009A539C">
        <w:rPr>
          <w:rFonts w:ascii="Calibri" w:hAnsi="Calibri" w:cs="Calibri"/>
        </w:rPr>
        <w:t xml:space="preserve">. </w:t>
      </w:r>
      <w:r w:rsidRPr="009A539C">
        <w:rPr>
          <w:rFonts w:ascii="Calibri" w:hAnsi="Calibri" w:cs="Calibri"/>
        </w:rPr>
        <w:t>Por outro lado, também no ano em análise, foi publicada uma primeira convenção que cobre, pelo menos parcialmente, as mesmas relações de trabalho de uma outra em que foi publicado aviso de cessação de vigência em 2016</w:t>
      </w:r>
      <w:r w:rsidRPr="009A539C">
        <w:rPr>
          <w:vertAlign w:val="superscript"/>
        </w:rPr>
        <w:footnoteReference w:id="188"/>
      </w:r>
      <w:r w:rsidRPr="009A539C">
        <w:rPr>
          <w:rFonts w:ascii="Calibri" w:hAnsi="Calibri" w:cs="Calibri"/>
        </w:rPr>
        <w:t>.</w:t>
      </w:r>
      <w:bookmarkEnd w:id="591"/>
      <w:bookmarkEnd w:id="592"/>
    </w:p>
    <w:p w14:paraId="44500F26" w14:textId="06BF58D8" w:rsidR="004A59D3" w:rsidRPr="00AC25EB" w:rsidRDefault="002B051C" w:rsidP="00292956">
      <w:pPr>
        <w:pStyle w:val="Legenda"/>
        <w:jc w:val="center"/>
        <w:rPr>
          <w:rFonts w:ascii="Calibri" w:hAnsi="Calibri" w:cs="Calibri"/>
          <w:b w:val="0"/>
          <w:bCs w:val="0"/>
          <w:sz w:val="22"/>
          <w:szCs w:val="22"/>
        </w:rPr>
      </w:pPr>
      <w:bookmarkStart w:id="593" w:name="_Toc42511754"/>
      <w:bookmarkStart w:id="594" w:name="_Toc42514518"/>
      <w:bookmarkStart w:id="595" w:name="_Toc45716663"/>
      <w:r w:rsidRPr="00AC25EB">
        <w:rPr>
          <w:b w:val="0"/>
          <w:sz w:val="22"/>
          <w:szCs w:val="22"/>
        </w:rPr>
        <w:t xml:space="preserve">Quadro </w:t>
      </w:r>
      <w:r w:rsidR="00256F15" w:rsidRPr="00AC25EB">
        <w:rPr>
          <w:b w:val="0"/>
          <w:sz w:val="22"/>
          <w:szCs w:val="22"/>
        </w:rPr>
        <w:fldChar w:fldCharType="begin"/>
      </w:r>
      <w:r w:rsidR="00256F15" w:rsidRPr="00AC25EB">
        <w:rPr>
          <w:b w:val="0"/>
          <w:sz w:val="22"/>
          <w:szCs w:val="22"/>
        </w:rPr>
        <w:instrText xml:space="preserve"> SEQ Quadro \* ARABIC </w:instrText>
      </w:r>
      <w:r w:rsidR="00256F15" w:rsidRPr="00AC25EB">
        <w:rPr>
          <w:b w:val="0"/>
          <w:sz w:val="22"/>
          <w:szCs w:val="22"/>
        </w:rPr>
        <w:fldChar w:fldCharType="separate"/>
      </w:r>
      <w:r w:rsidR="00D821DE" w:rsidRPr="00AC25EB">
        <w:rPr>
          <w:b w:val="0"/>
          <w:noProof/>
          <w:sz w:val="22"/>
          <w:szCs w:val="22"/>
        </w:rPr>
        <w:t>42</w:t>
      </w:r>
      <w:r w:rsidR="00256F15" w:rsidRPr="00AC25EB">
        <w:rPr>
          <w:b w:val="0"/>
          <w:noProof/>
          <w:sz w:val="22"/>
          <w:szCs w:val="22"/>
        </w:rPr>
        <w:fldChar w:fldCharType="end"/>
      </w:r>
      <w:r w:rsidR="006948C4" w:rsidRPr="00AC25EB">
        <w:rPr>
          <w:rFonts w:ascii="Calibri" w:hAnsi="Calibri" w:cs="Calibri"/>
          <w:b w:val="0"/>
          <w:sz w:val="22"/>
          <w:szCs w:val="22"/>
        </w:rPr>
        <w:t xml:space="preserve"> </w:t>
      </w:r>
      <w:r w:rsidR="004A59D3" w:rsidRPr="00AC25EB">
        <w:rPr>
          <w:rFonts w:ascii="Calibri" w:hAnsi="Calibri" w:cs="Calibri"/>
          <w:b w:val="0"/>
          <w:sz w:val="22"/>
          <w:szCs w:val="22"/>
        </w:rPr>
        <w:t>-</w:t>
      </w:r>
      <w:r w:rsidR="00A725E6" w:rsidRPr="00AC25EB">
        <w:rPr>
          <w:rFonts w:ascii="Calibri" w:hAnsi="Calibri" w:cs="Calibri"/>
          <w:b w:val="0"/>
          <w:sz w:val="22"/>
          <w:szCs w:val="22"/>
        </w:rPr>
        <w:t xml:space="preserve"> </w:t>
      </w:r>
      <w:r w:rsidR="004A59D3" w:rsidRPr="00AC25EB">
        <w:rPr>
          <w:rFonts w:ascii="Calibri" w:hAnsi="Calibri" w:cs="Calibri"/>
          <w:b w:val="0"/>
          <w:sz w:val="22"/>
          <w:szCs w:val="22"/>
        </w:rPr>
        <w:t>Aviso</w:t>
      </w:r>
      <w:r w:rsidR="00BD0E05" w:rsidRPr="00AC25EB">
        <w:rPr>
          <w:rFonts w:ascii="Calibri" w:hAnsi="Calibri" w:cs="Calibri"/>
          <w:b w:val="0"/>
          <w:sz w:val="22"/>
          <w:szCs w:val="22"/>
        </w:rPr>
        <w:t>s</w:t>
      </w:r>
      <w:r w:rsidR="004A59D3" w:rsidRPr="00AC25EB">
        <w:rPr>
          <w:rFonts w:ascii="Calibri" w:hAnsi="Calibri" w:cs="Calibri"/>
          <w:b w:val="0"/>
          <w:sz w:val="22"/>
          <w:szCs w:val="22"/>
        </w:rPr>
        <w:t xml:space="preserve"> sobre a data da cessação da vigência</w:t>
      </w:r>
      <w:r w:rsidR="00A725E6" w:rsidRPr="00AC25EB">
        <w:rPr>
          <w:rFonts w:ascii="Calibri" w:hAnsi="Calibri" w:cs="Calibri"/>
          <w:b w:val="0"/>
          <w:sz w:val="22"/>
          <w:szCs w:val="22"/>
        </w:rPr>
        <w:t xml:space="preserve"> </w:t>
      </w:r>
      <w:r w:rsidR="00EF3CC4" w:rsidRPr="00AC25EB">
        <w:rPr>
          <w:rFonts w:ascii="Calibri" w:hAnsi="Calibri" w:cs="Calibri"/>
          <w:b w:val="0"/>
          <w:sz w:val="22"/>
          <w:szCs w:val="22"/>
        </w:rPr>
        <w:t>(</w:t>
      </w:r>
      <w:r w:rsidR="00A725E6" w:rsidRPr="00AC25EB">
        <w:rPr>
          <w:rFonts w:ascii="Calibri" w:hAnsi="Calibri" w:cs="Calibri"/>
          <w:b w:val="0"/>
          <w:sz w:val="22"/>
          <w:szCs w:val="22"/>
        </w:rPr>
        <w:t>2019</w:t>
      </w:r>
      <w:bookmarkEnd w:id="593"/>
      <w:bookmarkEnd w:id="594"/>
      <w:r w:rsidR="00EF3CC4" w:rsidRPr="00AC25EB">
        <w:rPr>
          <w:rFonts w:ascii="Calibri" w:hAnsi="Calibri" w:cs="Calibri"/>
          <w:b w:val="0"/>
          <w:sz w:val="22"/>
          <w:szCs w:val="22"/>
        </w:rPr>
        <w:t>)</w:t>
      </w:r>
      <w:bookmarkEnd w:id="595"/>
    </w:p>
    <w:p w14:paraId="4E62095C" w14:textId="28C36D6B" w:rsidR="004A59D3" w:rsidRPr="009A539C" w:rsidRDefault="00292956" w:rsidP="00292956">
      <w:pPr>
        <w:jc w:val="center"/>
        <w:rPr>
          <w:rFonts w:ascii="Calibri" w:hAnsi="Calibri" w:cs="Calibri"/>
        </w:rPr>
      </w:pPr>
      <w:r w:rsidRPr="00292956">
        <w:rPr>
          <w:noProof/>
          <w:lang w:eastAsia="pt-PT"/>
        </w:rPr>
        <w:drawing>
          <wp:inline distT="0" distB="0" distL="0" distR="0" wp14:anchorId="786BC863" wp14:editId="5DB9E411">
            <wp:extent cx="6296025" cy="2343099"/>
            <wp:effectExtent l="0" t="0" r="0" b="635"/>
            <wp:docPr id="1143" name="Imagem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94711" cy="2342610"/>
                    </a:xfrm>
                    <a:prstGeom prst="rect">
                      <a:avLst/>
                    </a:prstGeom>
                    <a:noFill/>
                    <a:ln>
                      <a:noFill/>
                    </a:ln>
                  </pic:spPr>
                </pic:pic>
              </a:graphicData>
            </a:graphic>
          </wp:inline>
        </w:drawing>
      </w:r>
    </w:p>
    <w:p w14:paraId="2152FC4F" w14:textId="77777777" w:rsidR="00B45708" w:rsidRPr="009A539C" w:rsidRDefault="00B45708" w:rsidP="00C368EB">
      <w:pPr>
        <w:spacing w:line="360" w:lineRule="auto"/>
        <w:jc w:val="both"/>
        <w:rPr>
          <w:rFonts w:ascii="Calibri" w:hAnsi="Calibri" w:cs="Calibri"/>
        </w:rPr>
      </w:pPr>
      <w:bookmarkStart w:id="596" w:name="_Toc42511756"/>
      <w:bookmarkStart w:id="597" w:name="_Toc42514520"/>
    </w:p>
    <w:p w14:paraId="220DDF1F" w14:textId="77777777" w:rsidR="0032160B" w:rsidRPr="009A539C" w:rsidRDefault="004A59D3" w:rsidP="00A53637">
      <w:pPr>
        <w:spacing w:line="360" w:lineRule="auto"/>
        <w:ind w:firstLine="284"/>
        <w:jc w:val="both"/>
        <w:rPr>
          <w:rFonts w:ascii="Calibri" w:hAnsi="Calibri" w:cs="Calibri"/>
        </w:rPr>
      </w:pPr>
      <w:r w:rsidRPr="009A539C">
        <w:rPr>
          <w:rFonts w:ascii="Calibri" w:hAnsi="Calibri" w:cs="Calibri"/>
        </w:rPr>
        <w:t>Neste período, foi ainda publicado um acordo de revogação, no sentido de</w:t>
      </w:r>
      <w:r w:rsidR="003C1494" w:rsidRPr="009A539C">
        <w:rPr>
          <w:rFonts w:ascii="Calibri" w:hAnsi="Calibri" w:cs="Calibri"/>
        </w:rPr>
        <w:t xml:space="preserve"> eliminar da ordem jurídica um </w:t>
      </w:r>
      <w:r w:rsidRPr="009A539C">
        <w:rPr>
          <w:rFonts w:ascii="Calibri" w:hAnsi="Calibri" w:cs="Calibri"/>
        </w:rPr>
        <w:t>acordo de empresa celebrado com um só sindicato, que, por sua vez, passou a outorgar o AE entre o mesmo empregad</w:t>
      </w:r>
      <w:r w:rsidR="003C1494" w:rsidRPr="009A539C">
        <w:rPr>
          <w:rFonts w:ascii="Calibri" w:hAnsi="Calibri" w:cs="Calibri"/>
        </w:rPr>
        <w:t xml:space="preserve">or e uma unidade de negociação </w:t>
      </w:r>
      <w:r w:rsidRPr="009A539C">
        <w:rPr>
          <w:rFonts w:ascii="Calibri" w:hAnsi="Calibri" w:cs="Calibri"/>
        </w:rPr>
        <w:t>alargada a 11 associações sindicais</w:t>
      </w:r>
      <w:r w:rsidRPr="009A539C">
        <w:rPr>
          <w:rFonts w:ascii="Calibri" w:hAnsi="Calibri" w:cs="Calibri"/>
          <w:vertAlign w:val="superscript"/>
        </w:rPr>
        <w:footnoteReference w:id="189"/>
      </w:r>
      <w:r w:rsidRPr="009A539C">
        <w:rPr>
          <w:rFonts w:ascii="Calibri" w:hAnsi="Calibri" w:cs="Calibri"/>
        </w:rPr>
        <w:t>.</w:t>
      </w:r>
      <w:bookmarkEnd w:id="596"/>
      <w:bookmarkEnd w:id="597"/>
    </w:p>
    <w:p w14:paraId="093573CB" w14:textId="77777777" w:rsidR="008958B2" w:rsidRPr="009A539C" w:rsidRDefault="008958B2" w:rsidP="00A53637">
      <w:pPr>
        <w:spacing w:line="360" w:lineRule="auto"/>
        <w:ind w:left="338" w:right="-1" w:firstLine="284"/>
        <w:jc w:val="both"/>
        <w:outlineLvl w:val="3"/>
        <w:rPr>
          <w:rFonts w:ascii="Calibri" w:hAnsi="Calibri" w:cs="Calibri"/>
        </w:rPr>
      </w:pPr>
    </w:p>
    <w:p w14:paraId="6543826D" w14:textId="77777777" w:rsidR="00BD7AE8" w:rsidRPr="009A539C" w:rsidRDefault="00BD7AE8" w:rsidP="00A53637">
      <w:pPr>
        <w:ind w:firstLine="284"/>
        <w:rPr>
          <w:rFonts w:ascii="Calibri" w:hAnsi="Calibri" w:cs="Calibri"/>
        </w:rPr>
      </w:pPr>
    </w:p>
    <w:p w14:paraId="1268E956" w14:textId="77777777" w:rsidR="007B7406" w:rsidRPr="009A539C" w:rsidRDefault="007B7406" w:rsidP="00A53637">
      <w:pPr>
        <w:ind w:firstLine="284"/>
        <w:rPr>
          <w:rFonts w:ascii="Calibri" w:hAnsi="Calibri" w:cs="Calibri"/>
        </w:rPr>
      </w:pPr>
    </w:p>
    <w:p w14:paraId="62A7E9D1" w14:textId="7DCB82A5" w:rsidR="000F0BA3" w:rsidRPr="009A539C" w:rsidRDefault="000F0BA3" w:rsidP="00F364BB">
      <w:pPr>
        <w:pStyle w:val="PargrafodaLista"/>
        <w:numPr>
          <w:ilvl w:val="3"/>
          <w:numId w:val="1"/>
        </w:numPr>
        <w:spacing w:line="360" w:lineRule="auto"/>
        <w:ind w:left="1418" w:right="-1"/>
        <w:outlineLvl w:val="3"/>
        <w:rPr>
          <w:rFonts w:ascii="Calibri" w:hAnsi="Calibri" w:cs="Calibri"/>
        </w:rPr>
      </w:pPr>
      <w:r w:rsidRPr="009A539C">
        <w:rPr>
          <w:rFonts w:ascii="Calibri" w:hAnsi="Calibri" w:cs="Calibri"/>
        </w:rPr>
        <w:t> </w:t>
      </w:r>
      <w:bookmarkStart w:id="598" w:name="_Toc45535707"/>
      <w:r w:rsidRPr="009A539C">
        <w:rPr>
          <w:rFonts w:ascii="Calibri" w:hAnsi="Calibri" w:cs="Calibri"/>
        </w:rPr>
        <w:t>Aplicação de diferentes convenções - cláusulas de articulação ou conjugação de disposições de várias convenções</w:t>
      </w:r>
      <w:bookmarkEnd w:id="598"/>
      <w:r w:rsidR="00C42E04" w:rsidRPr="009A539C">
        <w:rPr>
          <w:rFonts w:ascii="Calibri" w:hAnsi="Calibri" w:cs="Calibri"/>
        </w:rPr>
        <w:t xml:space="preserve"> </w:t>
      </w:r>
    </w:p>
    <w:p w14:paraId="5EC1E42B" w14:textId="1243C777" w:rsidR="004A59D3" w:rsidRPr="009A539C" w:rsidRDefault="004A59D3" w:rsidP="00A95C56">
      <w:pPr>
        <w:numPr>
          <w:ilvl w:val="0"/>
          <w:numId w:val="29"/>
        </w:numPr>
        <w:tabs>
          <w:tab w:val="left" w:pos="0"/>
        </w:tabs>
        <w:spacing w:before="240" w:after="0" w:line="360" w:lineRule="auto"/>
        <w:ind w:left="0" w:right="-1" w:firstLine="774"/>
        <w:jc w:val="both"/>
        <w:rPr>
          <w:rFonts w:eastAsia="Calibri" w:cstheme="minorHAnsi"/>
          <w:lang w:eastAsia="pt-PT"/>
        </w:rPr>
      </w:pPr>
      <w:r w:rsidRPr="009A539C">
        <w:rPr>
          <w:rFonts w:eastAsia="Calibri" w:cstheme="minorHAnsi"/>
          <w:lang w:eastAsia="pt-PT"/>
        </w:rPr>
        <w:t>O artigo 482.º, n.º 5</w:t>
      </w:r>
      <w:r w:rsidR="00C42E04" w:rsidRPr="009A539C">
        <w:rPr>
          <w:rFonts w:eastAsia="Calibri" w:cstheme="minorHAnsi"/>
          <w:lang w:eastAsia="pt-PT"/>
        </w:rPr>
        <w:t>, CT</w:t>
      </w:r>
      <w:r w:rsidRPr="009A539C">
        <w:rPr>
          <w:rFonts w:eastAsia="Calibri" w:cstheme="minorHAnsi"/>
          <w:lang w:eastAsia="pt-PT"/>
        </w:rPr>
        <w:t xml:space="preserve"> estabelece a possibilidade de as convenções coletivas estabelecerem cláusulas de articulação com vista a permitir a aplicação de mais de uma convenção coletiva em simultânea às mesmas situações jurídicas com preterição dos critérios de preferência estabelecidos nos números anteriores daquele artigo que visam a aplicação em cada momento de apenas uma conve</w:t>
      </w:r>
      <w:r w:rsidR="00FA24BD">
        <w:rPr>
          <w:rFonts w:eastAsia="Calibri" w:cstheme="minorHAnsi"/>
          <w:lang w:eastAsia="pt-PT"/>
        </w:rPr>
        <w:t>n</w:t>
      </w:r>
      <w:r w:rsidRPr="009A539C">
        <w:rPr>
          <w:rFonts w:eastAsia="Calibri" w:cstheme="minorHAnsi"/>
          <w:lang w:eastAsia="pt-PT"/>
        </w:rPr>
        <w:t xml:space="preserve">ção coletiva. A dinâmica da contratação coletiva revela que são necessárias outras disposições de natureza transitória para salvaguardar direitos adquiridos que passam por manter regimes previstos em convenções coletivas anteriores para determinados trabalhadores com efeito equivalente ao do artigo 503.º, n.º 4, ou através do estabelecimento de regimes diferenciados para esses universos fechados. Cumpre notar que as disposições transitórias não se limitam a salvaguardar direitos adquiridos, mas que estabelecem verdadeiras disposições transitórias formais e materiais, mantendo em vigor regimes convencionais. Julga-se assim que importa separar as </w:t>
      </w:r>
      <w:r w:rsidR="003C1494" w:rsidRPr="009A539C">
        <w:rPr>
          <w:rFonts w:eastAsia="Calibri" w:cstheme="minorHAnsi"/>
          <w:lang w:eastAsia="pt-PT"/>
        </w:rPr>
        <w:t>cláusulas</w:t>
      </w:r>
      <w:r w:rsidRPr="009A539C">
        <w:rPr>
          <w:rFonts w:eastAsia="Calibri" w:cstheme="minorHAnsi"/>
          <w:lang w:eastAsia="pt-PT"/>
        </w:rPr>
        <w:t xml:space="preserve"> de articulação das disposições transitórias, embora nalguns casos se afigure complexo fazê-lo pela utilização conjunta nomeadamente no caso de sucessão de instrumentos de regulamentação coletiva de diferente nível. </w:t>
      </w:r>
    </w:p>
    <w:p w14:paraId="4F5B3F61" w14:textId="77777777" w:rsidR="004A59D3" w:rsidRPr="009A539C" w:rsidRDefault="004A59D3" w:rsidP="00A95C56">
      <w:pPr>
        <w:numPr>
          <w:ilvl w:val="0"/>
          <w:numId w:val="29"/>
        </w:numPr>
        <w:tabs>
          <w:tab w:val="left" w:pos="0"/>
        </w:tabs>
        <w:spacing w:before="240" w:after="0" w:line="360" w:lineRule="auto"/>
        <w:ind w:left="0" w:right="-1" w:firstLine="774"/>
        <w:jc w:val="both"/>
        <w:rPr>
          <w:rFonts w:eastAsia="Calibri" w:cstheme="minorHAnsi"/>
          <w:lang w:eastAsia="pt-PT"/>
        </w:rPr>
      </w:pPr>
      <w:r w:rsidRPr="009A539C">
        <w:rPr>
          <w:rFonts w:cstheme="minorHAnsi"/>
        </w:rPr>
        <w:t xml:space="preserve">  </w:t>
      </w:r>
      <w:r w:rsidRPr="009A539C">
        <w:rPr>
          <w:rFonts w:eastAsia="Calibri" w:cstheme="minorHAnsi"/>
          <w:lang w:eastAsia="pt-PT"/>
        </w:rPr>
        <w:t>No domínio da aplicação das convenções, continua-se a acompanhar as cláusulas que tratam da articulação ou conjugação de disposições de várias convenções, ainda que algumas dessas disposições possam não se reconduzir às situações previstas no art. 482.º, 5, do CT</w:t>
      </w:r>
      <w:r w:rsidRPr="009A539C">
        <w:rPr>
          <w:rFonts w:eastAsia="Calibri" w:cstheme="minorHAnsi"/>
          <w:vertAlign w:val="superscript"/>
          <w:lang w:eastAsia="pt-PT"/>
        </w:rPr>
        <w:footnoteReference w:id="190"/>
      </w:r>
      <w:r w:rsidRPr="009A539C">
        <w:rPr>
          <w:rFonts w:eastAsia="Calibri" w:cstheme="minorHAnsi"/>
          <w:vertAlign w:val="superscript"/>
          <w:lang w:eastAsia="pt-PT"/>
        </w:rPr>
        <w:t>.</w:t>
      </w:r>
      <w:r w:rsidRPr="009A539C">
        <w:rPr>
          <w:rFonts w:eastAsia="Calibri" w:cstheme="minorHAnsi"/>
          <w:lang w:eastAsia="pt-PT"/>
        </w:rPr>
        <w:t>Apenas em nove casos se encontraram cláusulas do tipo indicado (Quadros 44 e</w:t>
      </w:r>
      <w:r w:rsidRPr="009A539C">
        <w:rPr>
          <w:rFonts w:ascii="Calibri" w:eastAsia="Calibri" w:hAnsi="Calibri" w:cstheme="minorHAnsi"/>
          <w:sz w:val="23"/>
          <w:szCs w:val="23"/>
          <w:lang w:eastAsia="pt-PT"/>
        </w:rPr>
        <w:t xml:space="preserve"> 45).</w:t>
      </w:r>
    </w:p>
    <w:p w14:paraId="10E5B68D" w14:textId="77777777" w:rsidR="00DF6AD8" w:rsidRPr="009A539C" w:rsidRDefault="00DF6AD8" w:rsidP="00DF6AD8">
      <w:pPr>
        <w:tabs>
          <w:tab w:val="left" w:pos="0"/>
        </w:tabs>
        <w:spacing w:before="240" w:after="0" w:line="360" w:lineRule="auto"/>
        <w:ind w:right="-1"/>
        <w:jc w:val="both"/>
        <w:rPr>
          <w:rFonts w:eastAsia="Calibri" w:cstheme="minorHAnsi"/>
          <w:lang w:eastAsia="pt-PT"/>
        </w:rPr>
      </w:pPr>
    </w:p>
    <w:p w14:paraId="32D093F2" w14:textId="398B3175" w:rsidR="004A59D3" w:rsidRPr="00AC25EB" w:rsidRDefault="002B051C" w:rsidP="00BA4157">
      <w:pPr>
        <w:pStyle w:val="Legenda"/>
        <w:jc w:val="center"/>
        <w:rPr>
          <w:b w:val="0"/>
          <w:sz w:val="22"/>
          <w:szCs w:val="22"/>
        </w:rPr>
      </w:pPr>
      <w:bookmarkStart w:id="599" w:name="_Toc517332076"/>
      <w:bookmarkStart w:id="600" w:name="_Toc15654981"/>
      <w:bookmarkStart w:id="601" w:name="_Toc45716664"/>
      <w:r w:rsidRPr="00AC25EB">
        <w:rPr>
          <w:b w:val="0"/>
          <w:sz w:val="22"/>
          <w:szCs w:val="22"/>
        </w:rPr>
        <w:t xml:space="preserve">Quadro </w:t>
      </w:r>
      <w:r w:rsidR="00256F15" w:rsidRPr="00AC25EB">
        <w:rPr>
          <w:b w:val="0"/>
          <w:sz w:val="22"/>
          <w:szCs w:val="22"/>
        </w:rPr>
        <w:fldChar w:fldCharType="begin"/>
      </w:r>
      <w:r w:rsidR="00256F15" w:rsidRPr="00AC25EB">
        <w:rPr>
          <w:b w:val="0"/>
          <w:sz w:val="22"/>
          <w:szCs w:val="22"/>
        </w:rPr>
        <w:instrText xml:space="preserve"> SEQ Quadro \* ARABIC </w:instrText>
      </w:r>
      <w:r w:rsidR="00256F15" w:rsidRPr="00AC25EB">
        <w:rPr>
          <w:b w:val="0"/>
          <w:sz w:val="22"/>
          <w:szCs w:val="22"/>
        </w:rPr>
        <w:fldChar w:fldCharType="separate"/>
      </w:r>
      <w:r w:rsidR="00D821DE" w:rsidRPr="00AC25EB">
        <w:rPr>
          <w:b w:val="0"/>
          <w:noProof/>
          <w:sz w:val="22"/>
          <w:szCs w:val="22"/>
        </w:rPr>
        <w:t>43</w:t>
      </w:r>
      <w:r w:rsidR="00256F15" w:rsidRPr="00AC25EB">
        <w:rPr>
          <w:b w:val="0"/>
          <w:noProof/>
          <w:sz w:val="22"/>
          <w:szCs w:val="22"/>
        </w:rPr>
        <w:fldChar w:fldCharType="end"/>
      </w:r>
      <w:r w:rsidR="004A59D3" w:rsidRPr="00AC25EB">
        <w:rPr>
          <w:b w:val="0"/>
          <w:sz w:val="22"/>
          <w:szCs w:val="22"/>
        </w:rPr>
        <w:t xml:space="preserve"> - Cláusulas de articulação de várias convenções coletivas</w:t>
      </w:r>
      <w:bookmarkEnd w:id="599"/>
      <w:bookmarkEnd w:id="600"/>
      <w:r w:rsidR="001267D1" w:rsidRPr="00AC25EB">
        <w:rPr>
          <w:b w:val="0"/>
          <w:sz w:val="22"/>
          <w:szCs w:val="22"/>
        </w:rPr>
        <w:t xml:space="preserve"> </w:t>
      </w:r>
      <w:r w:rsidR="001E7E99" w:rsidRPr="00AC25EB">
        <w:rPr>
          <w:b w:val="0"/>
          <w:sz w:val="22"/>
          <w:szCs w:val="22"/>
        </w:rPr>
        <w:t>(</w:t>
      </w:r>
      <w:r w:rsidR="001267D1" w:rsidRPr="00AC25EB">
        <w:rPr>
          <w:b w:val="0"/>
          <w:sz w:val="22"/>
          <w:szCs w:val="22"/>
        </w:rPr>
        <w:t>2019</w:t>
      </w:r>
      <w:r w:rsidR="001E7E99" w:rsidRPr="00AC25EB">
        <w:rPr>
          <w:b w:val="0"/>
          <w:sz w:val="22"/>
          <w:szCs w:val="22"/>
        </w:rPr>
        <w:t>-2018)</w:t>
      </w:r>
      <w:bookmarkEnd w:id="601"/>
    </w:p>
    <w:p w14:paraId="54CABB18" w14:textId="08EF46D5" w:rsidR="004A59D3" w:rsidRPr="009A539C" w:rsidRDefault="00BD7AE8" w:rsidP="009D7D16">
      <w:pPr>
        <w:tabs>
          <w:tab w:val="left" w:pos="0"/>
        </w:tabs>
        <w:spacing w:before="240" w:line="360" w:lineRule="auto"/>
        <w:ind w:left="774" w:right="-1" w:hanging="774"/>
        <w:jc w:val="center"/>
        <w:rPr>
          <w:rFonts w:ascii="Calibri" w:eastAsia="Calibri" w:hAnsi="Calibri" w:cstheme="minorHAnsi"/>
          <w:sz w:val="23"/>
          <w:szCs w:val="23"/>
          <w:lang w:eastAsia="pt-PT"/>
        </w:rPr>
      </w:pPr>
      <w:r w:rsidRPr="009A539C">
        <w:rPr>
          <w:noProof/>
          <w:lang w:eastAsia="pt-PT"/>
        </w:rPr>
        <w:drawing>
          <wp:inline distT="0" distB="0" distL="0" distR="0" wp14:anchorId="0163123A" wp14:editId="77E1E274">
            <wp:extent cx="4313207" cy="1411898"/>
            <wp:effectExtent l="0" t="0" r="0" b="0"/>
            <wp:docPr id="1185" name="Imagem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13439" cy="1411974"/>
                    </a:xfrm>
                    <a:prstGeom prst="rect">
                      <a:avLst/>
                    </a:prstGeom>
                    <a:noFill/>
                    <a:ln>
                      <a:noFill/>
                    </a:ln>
                  </pic:spPr>
                </pic:pic>
              </a:graphicData>
            </a:graphic>
          </wp:inline>
        </w:drawing>
      </w:r>
    </w:p>
    <w:p w14:paraId="296B0CC6" w14:textId="0183AF19" w:rsidR="004A59D3" w:rsidRPr="009A539C" w:rsidRDefault="004A59D3" w:rsidP="00BD7AE8">
      <w:pPr>
        <w:tabs>
          <w:tab w:val="left" w:pos="851"/>
        </w:tabs>
        <w:spacing w:line="360" w:lineRule="auto"/>
        <w:ind w:right="-1" w:firstLine="414"/>
        <w:jc w:val="both"/>
      </w:pPr>
      <w:r w:rsidRPr="009A539C">
        <w:t>Como tem sido habit</w:t>
      </w:r>
      <w:r w:rsidR="003C1494" w:rsidRPr="009A539C">
        <w:t xml:space="preserve">ual, observa-se a concentração </w:t>
      </w:r>
      <w:r w:rsidRPr="009A539C">
        <w:t>desta matéria num conjunto determinado de setores de atividade, de entre os qua</w:t>
      </w:r>
      <w:r w:rsidR="003C1494" w:rsidRPr="009A539C">
        <w:t xml:space="preserve">is, em 2019, prevalece o setor </w:t>
      </w:r>
      <w:r w:rsidRPr="009A539C">
        <w:t>segurador, como se verifica no quadro seguinte.</w:t>
      </w:r>
    </w:p>
    <w:p w14:paraId="33E0FEE4" w14:textId="77777777" w:rsidR="000768BB" w:rsidRPr="009A539C" w:rsidRDefault="000768BB" w:rsidP="00BD7AE8">
      <w:pPr>
        <w:tabs>
          <w:tab w:val="left" w:pos="851"/>
        </w:tabs>
        <w:spacing w:line="360" w:lineRule="auto"/>
        <w:ind w:right="-1" w:firstLine="414"/>
        <w:jc w:val="both"/>
      </w:pPr>
    </w:p>
    <w:p w14:paraId="0AD5C4B4" w14:textId="00F69662" w:rsidR="002C2F91" w:rsidRPr="00AC25EB" w:rsidRDefault="002B051C" w:rsidP="007B7406">
      <w:pPr>
        <w:pStyle w:val="Legenda"/>
        <w:jc w:val="center"/>
        <w:rPr>
          <w:b w:val="0"/>
          <w:sz w:val="22"/>
          <w:szCs w:val="22"/>
        </w:rPr>
      </w:pPr>
      <w:bookmarkStart w:id="602" w:name="_Toc15654982"/>
      <w:bookmarkStart w:id="603" w:name="_Toc45716665"/>
      <w:r w:rsidRPr="00AC25EB">
        <w:rPr>
          <w:b w:val="0"/>
          <w:sz w:val="22"/>
          <w:szCs w:val="22"/>
        </w:rPr>
        <w:t xml:space="preserve">Quadro </w:t>
      </w:r>
      <w:r w:rsidR="00256F15" w:rsidRPr="00AC25EB">
        <w:rPr>
          <w:b w:val="0"/>
          <w:sz w:val="22"/>
          <w:szCs w:val="22"/>
        </w:rPr>
        <w:fldChar w:fldCharType="begin"/>
      </w:r>
      <w:r w:rsidR="00256F15" w:rsidRPr="00AC25EB">
        <w:rPr>
          <w:b w:val="0"/>
          <w:sz w:val="22"/>
          <w:szCs w:val="22"/>
        </w:rPr>
        <w:instrText xml:space="preserve"> SEQ Quadro \* ARABIC </w:instrText>
      </w:r>
      <w:r w:rsidR="00256F15" w:rsidRPr="00AC25EB">
        <w:rPr>
          <w:b w:val="0"/>
          <w:sz w:val="22"/>
          <w:szCs w:val="22"/>
        </w:rPr>
        <w:fldChar w:fldCharType="separate"/>
      </w:r>
      <w:r w:rsidR="00D821DE" w:rsidRPr="00AC25EB">
        <w:rPr>
          <w:b w:val="0"/>
          <w:noProof/>
          <w:sz w:val="22"/>
          <w:szCs w:val="22"/>
        </w:rPr>
        <w:t>44</w:t>
      </w:r>
      <w:r w:rsidR="00256F15" w:rsidRPr="00AC25EB">
        <w:rPr>
          <w:b w:val="0"/>
          <w:noProof/>
          <w:sz w:val="22"/>
          <w:szCs w:val="22"/>
        </w:rPr>
        <w:fldChar w:fldCharType="end"/>
      </w:r>
      <w:r w:rsidR="004A59D3" w:rsidRPr="00AC25EB">
        <w:rPr>
          <w:b w:val="0"/>
          <w:sz w:val="22"/>
          <w:szCs w:val="22"/>
        </w:rPr>
        <w:t xml:space="preserve"> - Cláusulas de articulação</w:t>
      </w:r>
      <w:bookmarkEnd w:id="602"/>
      <w:r w:rsidR="00732A5E" w:rsidRPr="00AC25EB">
        <w:rPr>
          <w:b w:val="0"/>
          <w:sz w:val="22"/>
          <w:szCs w:val="22"/>
        </w:rPr>
        <w:t xml:space="preserve"> (</w:t>
      </w:r>
      <w:r w:rsidR="006948C4" w:rsidRPr="00AC25EB">
        <w:rPr>
          <w:b w:val="0"/>
          <w:sz w:val="22"/>
          <w:szCs w:val="22"/>
        </w:rPr>
        <w:t>2019</w:t>
      </w:r>
      <w:r w:rsidR="00732A5E" w:rsidRPr="00AC25EB">
        <w:rPr>
          <w:b w:val="0"/>
          <w:sz w:val="22"/>
          <w:szCs w:val="22"/>
        </w:rPr>
        <w:t>)</w:t>
      </w:r>
      <w:bookmarkEnd w:id="603"/>
    </w:p>
    <w:p w14:paraId="0DCFE992" w14:textId="174718D0" w:rsidR="00F434B9" w:rsidRPr="009A539C" w:rsidRDefault="00F434B9" w:rsidP="0061695B">
      <w:pPr>
        <w:ind w:right="-1"/>
        <w:jc w:val="center"/>
        <w:rPr>
          <w:noProof/>
          <w:sz w:val="18"/>
          <w:szCs w:val="18"/>
          <w:lang w:eastAsia="pt-PT"/>
        </w:rPr>
      </w:pPr>
      <w:r w:rsidRPr="009A539C">
        <w:rPr>
          <w:noProof/>
          <w:lang w:eastAsia="pt-PT"/>
        </w:rPr>
        <w:drawing>
          <wp:inline distT="0" distB="0" distL="0" distR="0" wp14:anchorId="3FAE327E" wp14:editId="26763ED6">
            <wp:extent cx="6375119" cy="3433313"/>
            <wp:effectExtent l="0" t="0" r="698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81883" cy="3436956"/>
                    </a:xfrm>
                    <a:prstGeom prst="rect">
                      <a:avLst/>
                    </a:prstGeom>
                    <a:noFill/>
                    <a:ln>
                      <a:noFill/>
                    </a:ln>
                  </pic:spPr>
                </pic:pic>
              </a:graphicData>
            </a:graphic>
          </wp:inline>
        </w:drawing>
      </w:r>
    </w:p>
    <w:p w14:paraId="7C404A98" w14:textId="77777777" w:rsidR="00F434B9" w:rsidRPr="009A539C" w:rsidRDefault="00F434B9" w:rsidP="00B90788">
      <w:pPr>
        <w:ind w:right="-1"/>
        <w:rPr>
          <w:noProof/>
          <w:sz w:val="18"/>
          <w:szCs w:val="18"/>
          <w:lang w:eastAsia="pt-PT"/>
        </w:rPr>
      </w:pPr>
    </w:p>
    <w:p w14:paraId="1D8FAF6E" w14:textId="77777777" w:rsidR="0061695B" w:rsidRPr="009A539C" w:rsidRDefault="001971EE" w:rsidP="00A95C56">
      <w:pPr>
        <w:numPr>
          <w:ilvl w:val="0"/>
          <w:numId w:val="29"/>
        </w:numPr>
        <w:tabs>
          <w:tab w:val="left" w:pos="0"/>
        </w:tabs>
        <w:spacing w:before="240" w:after="0" w:line="360" w:lineRule="auto"/>
        <w:ind w:left="0" w:right="-1" w:firstLine="774"/>
        <w:jc w:val="both"/>
        <w:rPr>
          <w:rFonts w:cstheme="minorHAnsi"/>
        </w:rPr>
      </w:pPr>
      <w:r w:rsidRPr="009A539C">
        <w:rPr>
          <w:rFonts w:eastAsia="Calibri" w:cstheme="minorHAnsi"/>
          <w:lang w:eastAsia="pt-PT"/>
        </w:rPr>
        <w:t xml:space="preserve"> </w:t>
      </w:r>
      <w:r w:rsidR="004A59D3" w:rsidRPr="009A539C">
        <w:rPr>
          <w:rFonts w:cstheme="minorHAnsi"/>
        </w:rPr>
        <w:t xml:space="preserve">Existe ainda um conjunto assinalável de convenções que regulam a articulação com regimes convencionais anteriores, admitindo a aplicação destes ou de um regime especial aos trabalhadores cobertos pela convenção anterior ou, ainda, prevendo que algumas cláusulas da anterior convenção se continuem a aplicar temporariamente. Estas normas transitórias podem fazer perdurar os efeitos de uma convenção, mesmo quando ela é expressamente revogada pela nova convenção (com base no art. 503.º, 4, do CT) ou na </w:t>
      </w:r>
      <w:r w:rsidR="00381861" w:rsidRPr="009A539C">
        <w:rPr>
          <w:rFonts w:cstheme="minorHAnsi"/>
        </w:rPr>
        <w:t>sequência</w:t>
      </w:r>
      <w:r w:rsidR="004A59D3" w:rsidRPr="009A539C">
        <w:rPr>
          <w:rFonts w:cstheme="minorHAnsi"/>
        </w:rPr>
        <w:t xml:space="preserve"> de procedimento de caducidade, promo</w:t>
      </w:r>
      <w:r w:rsidR="003C1494" w:rsidRPr="009A539C">
        <w:rPr>
          <w:rFonts w:cstheme="minorHAnsi"/>
        </w:rPr>
        <w:t xml:space="preserve">vido </w:t>
      </w:r>
      <w:r w:rsidR="004A59D3" w:rsidRPr="009A539C">
        <w:rPr>
          <w:rFonts w:cstheme="minorHAnsi"/>
        </w:rPr>
        <w:t>nos termos do art. 501º,do CT</w:t>
      </w:r>
      <w:r w:rsidR="004A59D3" w:rsidRPr="009A539C">
        <w:rPr>
          <w:vertAlign w:val="superscript"/>
        </w:rPr>
        <w:footnoteReference w:id="191"/>
      </w:r>
      <w:r w:rsidR="004A59D3" w:rsidRPr="009A539C">
        <w:rPr>
          <w:rFonts w:cstheme="minorHAnsi"/>
        </w:rPr>
        <w:t xml:space="preserve">. As matérias abrangidas por estas cláusulas sobre direitos decorrentes de convenções anteriores são diversificadas: categorias profissionais, descanso semanal, regimes sociais complementares, organização do tempo de trabalho, acréscimos remuneratórios, férias. </w:t>
      </w:r>
      <w:r w:rsidR="0061695B" w:rsidRPr="009A539C">
        <w:rPr>
          <w:rFonts w:cstheme="minorHAnsi"/>
        </w:rPr>
        <w:t xml:space="preserve"> </w:t>
      </w:r>
    </w:p>
    <w:p w14:paraId="4864FF6B" w14:textId="3746DA49" w:rsidR="004A59D3" w:rsidRPr="009A539C" w:rsidRDefault="007C12AC" w:rsidP="0061695B">
      <w:pPr>
        <w:tabs>
          <w:tab w:val="left" w:pos="0"/>
        </w:tabs>
        <w:spacing w:before="240" w:after="0" w:line="360" w:lineRule="auto"/>
        <w:ind w:right="-1" w:firstLine="774"/>
        <w:jc w:val="both"/>
        <w:rPr>
          <w:rStyle w:val="ListLabel4"/>
          <w:rFonts w:cstheme="minorHAnsi"/>
          <w:color w:val="auto"/>
        </w:rPr>
      </w:pPr>
      <w:r>
        <w:rPr>
          <w:rFonts w:cstheme="minorHAnsi"/>
        </w:rPr>
        <w:t>O ano de 2019 foi particularmente</w:t>
      </w:r>
      <w:r w:rsidR="0061695B" w:rsidRPr="009A539C">
        <w:rPr>
          <w:rFonts w:cstheme="minorHAnsi"/>
        </w:rPr>
        <w:t xml:space="preserve"> profí</w:t>
      </w:r>
      <w:r>
        <w:rPr>
          <w:rFonts w:cstheme="minorHAnsi"/>
        </w:rPr>
        <w:t xml:space="preserve">cuo em </w:t>
      </w:r>
      <w:r w:rsidR="0061695B" w:rsidRPr="009A539C">
        <w:rPr>
          <w:rFonts w:cstheme="minorHAnsi"/>
        </w:rPr>
        <w:t>conteúdos desta natureza (27 em 240, contra 5 em 220 convenções em 2018</w:t>
      </w:r>
      <w:bookmarkStart w:id="604" w:name="_Toc42511758"/>
      <w:bookmarkStart w:id="605" w:name="_Toc42514522"/>
      <w:bookmarkStart w:id="606" w:name="_Toc7786941"/>
      <w:bookmarkStart w:id="607" w:name="_Toc7789440"/>
      <w:bookmarkStart w:id="608" w:name="_Toc8908516"/>
      <w:bookmarkStart w:id="609" w:name="_Toc8913237"/>
      <w:r w:rsidR="00893E01" w:rsidRPr="009A539C">
        <w:rPr>
          <w:rFonts w:cstheme="minorHAnsi"/>
        </w:rPr>
        <w:t>)</w:t>
      </w:r>
      <w:r w:rsidR="0061695B" w:rsidRPr="009A539C">
        <w:rPr>
          <w:rFonts w:cstheme="minorHAnsi"/>
        </w:rPr>
        <w:t xml:space="preserve">. </w:t>
      </w:r>
      <w:r w:rsidR="004A59D3" w:rsidRPr="009A539C">
        <w:rPr>
          <w:rFonts w:cstheme="minorHAnsi"/>
        </w:rPr>
        <w:t>O quadro seguinte retrata as convenções com regimes transitórios, os quais estão presentes</w:t>
      </w:r>
      <w:r w:rsidR="004A59D3" w:rsidRPr="009A539C">
        <w:rPr>
          <w:rStyle w:val="ListLabel4"/>
        </w:rPr>
        <w:t xml:space="preserve"> também em primeiras convenções. Este facto parece indiciar que os trabalhadores estavam anteriormente abrangidos por IRCT.</w:t>
      </w:r>
      <w:bookmarkEnd w:id="604"/>
      <w:bookmarkEnd w:id="605"/>
    </w:p>
    <w:bookmarkEnd w:id="606"/>
    <w:bookmarkEnd w:id="607"/>
    <w:bookmarkEnd w:id="608"/>
    <w:bookmarkEnd w:id="609"/>
    <w:p w14:paraId="65A794C5" w14:textId="77777777" w:rsidR="003C1494" w:rsidRPr="009A539C" w:rsidRDefault="003C1494" w:rsidP="00B90788">
      <w:pPr>
        <w:ind w:right="-1"/>
      </w:pPr>
    </w:p>
    <w:p w14:paraId="1215A2E2" w14:textId="77777777" w:rsidR="00AC3089" w:rsidRPr="009A539C" w:rsidRDefault="00AC3089" w:rsidP="00B90788">
      <w:pPr>
        <w:pStyle w:val="Legenda"/>
        <w:ind w:right="-1"/>
        <w:jc w:val="center"/>
      </w:pPr>
      <w:bookmarkStart w:id="610" w:name="_Toc15654983"/>
    </w:p>
    <w:p w14:paraId="53401507" w14:textId="4AD02248" w:rsidR="004A59D3" w:rsidRPr="00AC25EB" w:rsidRDefault="002B051C" w:rsidP="007B7406">
      <w:pPr>
        <w:pStyle w:val="Legenda"/>
        <w:jc w:val="center"/>
        <w:rPr>
          <w:b w:val="0"/>
          <w:sz w:val="22"/>
          <w:szCs w:val="22"/>
        </w:rPr>
      </w:pPr>
      <w:bookmarkStart w:id="611" w:name="_Toc45716666"/>
      <w:r w:rsidRPr="00AC25EB">
        <w:rPr>
          <w:b w:val="0"/>
          <w:sz w:val="22"/>
          <w:szCs w:val="22"/>
        </w:rPr>
        <w:t xml:space="preserve">Quadro </w:t>
      </w:r>
      <w:r w:rsidR="00256F15" w:rsidRPr="00AC25EB">
        <w:rPr>
          <w:b w:val="0"/>
          <w:sz w:val="22"/>
          <w:szCs w:val="22"/>
        </w:rPr>
        <w:fldChar w:fldCharType="begin"/>
      </w:r>
      <w:r w:rsidR="00256F15" w:rsidRPr="00AC25EB">
        <w:rPr>
          <w:b w:val="0"/>
          <w:sz w:val="22"/>
          <w:szCs w:val="22"/>
        </w:rPr>
        <w:instrText xml:space="preserve"> SEQ Quadro \* ARABIC </w:instrText>
      </w:r>
      <w:r w:rsidR="00256F15" w:rsidRPr="00AC25EB">
        <w:rPr>
          <w:b w:val="0"/>
          <w:sz w:val="22"/>
          <w:szCs w:val="22"/>
        </w:rPr>
        <w:fldChar w:fldCharType="separate"/>
      </w:r>
      <w:r w:rsidR="00D821DE" w:rsidRPr="00AC25EB">
        <w:rPr>
          <w:b w:val="0"/>
          <w:noProof/>
          <w:sz w:val="22"/>
          <w:szCs w:val="22"/>
        </w:rPr>
        <w:t>45</w:t>
      </w:r>
      <w:r w:rsidR="00256F15" w:rsidRPr="00AC25EB">
        <w:rPr>
          <w:b w:val="0"/>
          <w:noProof/>
          <w:sz w:val="22"/>
          <w:szCs w:val="22"/>
        </w:rPr>
        <w:fldChar w:fldCharType="end"/>
      </w:r>
      <w:r w:rsidR="005678D5" w:rsidRPr="00AC25EB">
        <w:rPr>
          <w:b w:val="0"/>
          <w:sz w:val="22"/>
          <w:szCs w:val="22"/>
        </w:rPr>
        <w:t xml:space="preserve"> </w:t>
      </w:r>
      <w:r w:rsidR="001267D1" w:rsidRPr="00AC25EB">
        <w:rPr>
          <w:b w:val="0"/>
          <w:sz w:val="22"/>
          <w:szCs w:val="22"/>
        </w:rPr>
        <w:t xml:space="preserve">- Regimes transitórios </w:t>
      </w:r>
      <w:r w:rsidR="005E4887" w:rsidRPr="00AC25EB">
        <w:rPr>
          <w:b w:val="0"/>
          <w:sz w:val="22"/>
          <w:szCs w:val="22"/>
        </w:rPr>
        <w:t>–</w:t>
      </w:r>
      <w:r w:rsidR="001267D1" w:rsidRPr="00AC25EB">
        <w:rPr>
          <w:b w:val="0"/>
          <w:sz w:val="22"/>
          <w:szCs w:val="22"/>
        </w:rPr>
        <w:t xml:space="preserve"> </w:t>
      </w:r>
      <w:r w:rsidR="004A59D3" w:rsidRPr="00AC25EB">
        <w:rPr>
          <w:b w:val="0"/>
          <w:sz w:val="22"/>
          <w:szCs w:val="22"/>
        </w:rPr>
        <w:t>2019</w:t>
      </w:r>
      <w:bookmarkEnd w:id="610"/>
      <w:bookmarkEnd w:id="611"/>
    </w:p>
    <w:p w14:paraId="192D3D2E" w14:textId="1ECCF587" w:rsidR="005E4887" w:rsidRPr="009A539C" w:rsidRDefault="00AC3089" w:rsidP="007E0464">
      <w:pPr>
        <w:jc w:val="center"/>
      </w:pPr>
      <w:r w:rsidRPr="009A539C">
        <w:rPr>
          <w:noProof/>
          <w:lang w:eastAsia="pt-PT"/>
        </w:rPr>
        <w:drawing>
          <wp:inline distT="0" distB="0" distL="0" distR="0" wp14:anchorId="09EE5A4D" wp14:editId="257639E9">
            <wp:extent cx="6038850" cy="7053853"/>
            <wp:effectExtent l="0" t="0" r="0" b="0"/>
            <wp:docPr id="1142" name="Imagem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38850" cy="7053853"/>
                    </a:xfrm>
                    <a:prstGeom prst="rect">
                      <a:avLst/>
                    </a:prstGeom>
                    <a:noFill/>
                    <a:ln>
                      <a:noFill/>
                    </a:ln>
                  </pic:spPr>
                </pic:pic>
              </a:graphicData>
            </a:graphic>
          </wp:inline>
        </w:drawing>
      </w:r>
    </w:p>
    <w:p w14:paraId="59C10DE1" w14:textId="2CC125A8" w:rsidR="004A59D3" w:rsidRPr="009A539C" w:rsidRDefault="00AC3089" w:rsidP="005E4887">
      <w:pPr>
        <w:ind w:right="-1"/>
        <w:jc w:val="center"/>
      </w:pPr>
      <w:r w:rsidRPr="009A539C">
        <w:rPr>
          <w:noProof/>
          <w:lang w:eastAsia="pt-PT"/>
        </w:rPr>
        <w:t xml:space="preserve">  </w:t>
      </w:r>
      <w:r w:rsidR="00922B44" w:rsidRPr="009A539C">
        <w:rPr>
          <w:noProof/>
          <w:lang w:eastAsia="pt-PT"/>
        </w:rPr>
        <w:drawing>
          <wp:inline distT="0" distB="0" distL="0" distR="0" wp14:anchorId="516AA62B" wp14:editId="41253FE6">
            <wp:extent cx="5493653" cy="1171575"/>
            <wp:effectExtent l="0" t="0" r="0" b="0"/>
            <wp:docPr id="1126" name="Imagem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06956" cy="1174412"/>
                    </a:xfrm>
                    <a:prstGeom prst="rect">
                      <a:avLst/>
                    </a:prstGeom>
                    <a:noFill/>
                    <a:ln>
                      <a:noFill/>
                    </a:ln>
                  </pic:spPr>
                </pic:pic>
              </a:graphicData>
            </a:graphic>
          </wp:inline>
        </w:drawing>
      </w:r>
    </w:p>
    <w:p w14:paraId="5E3E6720" w14:textId="77777777" w:rsidR="00FC36E5" w:rsidRPr="009A539C" w:rsidRDefault="00FC36E5" w:rsidP="00B90788">
      <w:pPr>
        <w:ind w:right="-1"/>
      </w:pPr>
    </w:p>
    <w:p w14:paraId="1B07102B" w14:textId="77777777" w:rsidR="00A46E5D" w:rsidRPr="009A539C" w:rsidRDefault="000F0BA3" w:rsidP="00F364BB">
      <w:pPr>
        <w:pStyle w:val="PargrafodaLista"/>
        <w:numPr>
          <w:ilvl w:val="3"/>
          <w:numId w:val="1"/>
        </w:numPr>
        <w:spacing w:line="360" w:lineRule="auto"/>
        <w:ind w:left="1418" w:right="-1"/>
        <w:outlineLvl w:val="3"/>
        <w:rPr>
          <w:rFonts w:ascii="Calibri" w:hAnsi="Calibri" w:cs="Calibri"/>
        </w:rPr>
      </w:pPr>
      <w:bookmarkStart w:id="612" w:name="_Toc45535708"/>
      <w:r w:rsidRPr="009A539C">
        <w:rPr>
          <w:rFonts w:ascii="Calibri" w:hAnsi="Calibri" w:cs="Calibri"/>
        </w:rPr>
        <w:t>Regulamentos e acordos complementares</w:t>
      </w:r>
      <w:bookmarkEnd w:id="612"/>
    </w:p>
    <w:p w14:paraId="7903F76B" w14:textId="77777777" w:rsidR="00D277B9" w:rsidRPr="009A539C" w:rsidRDefault="00D277B9" w:rsidP="00B90788">
      <w:pPr>
        <w:pStyle w:val="PargrafodaLista"/>
        <w:spacing w:line="360" w:lineRule="auto"/>
        <w:ind w:left="1418" w:right="-1"/>
        <w:outlineLvl w:val="3"/>
        <w:rPr>
          <w:rFonts w:ascii="Calibri" w:hAnsi="Calibri" w:cs="Calibri"/>
          <w:b/>
        </w:rPr>
      </w:pPr>
    </w:p>
    <w:p w14:paraId="35481650" w14:textId="3B97EDD2" w:rsidR="009A42A6" w:rsidRPr="009A539C" w:rsidRDefault="00A46E5D" w:rsidP="00D527EB">
      <w:pPr>
        <w:spacing w:line="360" w:lineRule="auto"/>
        <w:ind w:right="-1" w:firstLine="567"/>
        <w:jc w:val="both"/>
        <w:rPr>
          <w:rFonts w:cstheme="minorHAnsi"/>
        </w:rPr>
      </w:pPr>
      <w:r w:rsidRPr="009A539C">
        <w:rPr>
          <w:rFonts w:cstheme="minorHAnsi"/>
        </w:rPr>
        <w:t xml:space="preserve">I. </w:t>
      </w:r>
      <w:r w:rsidR="00D527EB" w:rsidRPr="009A539C">
        <w:rPr>
          <w:rFonts w:cstheme="minorHAnsi"/>
        </w:rPr>
        <w:t xml:space="preserve"> </w:t>
      </w:r>
      <w:r w:rsidR="009A42A6" w:rsidRPr="009A539C">
        <w:rPr>
          <w:rFonts w:cstheme="minorHAnsi"/>
        </w:rPr>
        <w:t>Este relatório introduz um novo ângulo de análise da contratação coletiva que assenta numa realidade difusa, mas consistente e que se traduz na remissão das convenções coletivas para regulamentações posteriores correspondente ora a regulamentos internos ora  acordos complementares. Entendeu-se relevante conhecer os instrumentos de regulação das condições de trabalho com origem nas convenções coletivas, mas que não revestem a mesma forma. Estão nesta categoria os protocolos adicionais que não são publicados no BTE e os regulamentos internos impostos ao empregador por negociação coletiva ou os regulamentos internos negociados que importa conhecer, pelo menos, quanto às matérias que as partes escolhem como sendo o seu âmbito. Com efeito, o conteúdo desses regulamentos não é possível de conhecer por falta de publicidade dos mesmos.</w:t>
      </w:r>
    </w:p>
    <w:p w14:paraId="298CD461" w14:textId="77777777" w:rsidR="009A42A6" w:rsidRPr="009A539C" w:rsidRDefault="009A42A6" w:rsidP="009A42A6">
      <w:pPr>
        <w:spacing w:after="0" w:line="360" w:lineRule="auto"/>
        <w:ind w:right="-1" w:firstLine="567"/>
        <w:jc w:val="both"/>
        <w:rPr>
          <w:rFonts w:cstheme="minorHAnsi"/>
          <w:lang w:eastAsia="pt-PT"/>
        </w:rPr>
      </w:pPr>
      <w:r w:rsidRPr="009A539C">
        <w:rPr>
          <w:rFonts w:cstheme="minorHAnsi"/>
          <w:lang w:eastAsia="pt-PT"/>
        </w:rPr>
        <w:t>Para a compreensão desta realidade importa salientar que, quanto aos regulamentos internos, o Código do Trabalho prevê que os mesmos possam ser tornados obrigatórios por convenção coletiva de trabalho nos termos do artigo 99.º, n.º 4.</w:t>
      </w:r>
    </w:p>
    <w:p w14:paraId="1ABC547F" w14:textId="77777777" w:rsidR="009A42A6" w:rsidRPr="009A539C" w:rsidRDefault="009A42A6" w:rsidP="009A42A6">
      <w:pPr>
        <w:spacing w:after="0" w:line="360" w:lineRule="auto"/>
        <w:ind w:right="-1" w:firstLine="567"/>
        <w:jc w:val="both"/>
        <w:rPr>
          <w:rFonts w:cstheme="minorHAnsi"/>
          <w:lang w:eastAsia="pt-PT"/>
        </w:rPr>
      </w:pPr>
      <w:r w:rsidRPr="009A539C">
        <w:rPr>
          <w:rFonts w:cstheme="minorHAnsi"/>
          <w:lang w:eastAsia="pt-PT"/>
        </w:rPr>
        <w:t xml:space="preserve">Encontram-se a este propósito  designações diversas  -  por exemplo, regulamento interno; regulamentação posterior; protocolo; ordem interna que envolvem (i) a revogação de normativos anteriores, por via de uma cláusula da convenção de revogação global, que extinguindo  da ordem jurídica essa regulamentação pretérita que se aplicava às relações laborais no seio da empresa e (ii)  remissão para regulamentação posterior a definição ou densificação de determinado regime jurídico; </w:t>
      </w:r>
    </w:p>
    <w:p w14:paraId="46025C03" w14:textId="77777777" w:rsidR="009A42A6" w:rsidRPr="009A539C" w:rsidRDefault="009A42A6" w:rsidP="009A42A6">
      <w:pPr>
        <w:spacing w:after="0" w:line="360" w:lineRule="auto"/>
        <w:ind w:right="-1" w:firstLine="567"/>
        <w:jc w:val="both"/>
        <w:rPr>
          <w:rFonts w:cstheme="minorHAnsi"/>
          <w:lang w:eastAsia="pt-PT"/>
        </w:rPr>
      </w:pPr>
    </w:p>
    <w:p w14:paraId="6390AAB1" w14:textId="356F057B" w:rsidR="009A42A6" w:rsidRPr="009A539C" w:rsidRDefault="009A42A6" w:rsidP="009A42A6">
      <w:pPr>
        <w:spacing w:after="0" w:line="360" w:lineRule="auto"/>
        <w:ind w:right="-1" w:firstLine="567"/>
        <w:jc w:val="both"/>
        <w:rPr>
          <w:rFonts w:cstheme="minorHAnsi"/>
          <w:lang w:eastAsia="pt-PT"/>
        </w:rPr>
      </w:pPr>
      <w:r w:rsidRPr="009A539C">
        <w:rPr>
          <w:rFonts w:cstheme="minorHAnsi"/>
          <w:lang w:eastAsia="pt-PT"/>
        </w:rPr>
        <w:t xml:space="preserve">II. As matérias objeto de regulamento ou de acordo complementares são  variadas e nem sempre conhecidas na medida em que, por vezes, apenas existe uma referência à sua afetação por via de uma cláusula da convenção de revogação global </w:t>
      </w:r>
    </w:p>
    <w:p w14:paraId="3FF12CB4" w14:textId="77777777" w:rsidR="009A42A6" w:rsidRPr="009A539C" w:rsidRDefault="009A42A6" w:rsidP="009A42A6">
      <w:pPr>
        <w:spacing w:after="0" w:line="360" w:lineRule="auto"/>
        <w:ind w:right="-1" w:firstLine="567"/>
        <w:jc w:val="both"/>
        <w:rPr>
          <w:rFonts w:cstheme="minorHAnsi"/>
          <w:lang w:eastAsia="pt-PT"/>
        </w:rPr>
      </w:pPr>
      <w:r w:rsidRPr="009A539C">
        <w:rPr>
          <w:rFonts w:cstheme="minorHAnsi"/>
          <w:lang w:eastAsia="pt-PT"/>
        </w:rPr>
        <w:t>Em termos de matérias existem várias convenções coletivas que remetem para regulamentos internos do empregador a questão da proteção de dados e do dever dos trabalhadores de cumprimento desta matéria</w:t>
      </w:r>
      <w:r w:rsidRPr="009A539C">
        <w:rPr>
          <w:rFonts w:cstheme="minorHAnsi"/>
          <w:vertAlign w:val="superscript"/>
          <w:lang w:eastAsia="pt-PT"/>
        </w:rPr>
        <w:footnoteReference w:id="192"/>
      </w:r>
      <w:r w:rsidRPr="009A539C">
        <w:rPr>
          <w:rFonts w:cstheme="minorHAnsi"/>
          <w:lang w:eastAsia="pt-PT"/>
        </w:rPr>
        <w:t>.</w:t>
      </w:r>
      <w:r w:rsidRPr="009A539C">
        <w:rPr>
          <w:rFonts w:cstheme="minorHAnsi"/>
          <w:vertAlign w:val="superscript"/>
          <w:lang w:eastAsia="pt-PT"/>
        </w:rPr>
        <w:t xml:space="preserve"> </w:t>
      </w:r>
    </w:p>
    <w:p w14:paraId="224CDE84" w14:textId="77777777" w:rsidR="009A42A6" w:rsidRPr="009A539C" w:rsidRDefault="009A42A6" w:rsidP="009A42A6">
      <w:pPr>
        <w:spacing w:after="0" w:line="360" w:lineRule="auto"/>
        <w:ind w:right="-1" w:firstLine="567"/>
        <w:jc w:val="both"/>
        <w:rPr>
          <w:rFonts w:cstheme="minorHAnsi"/>
          <w:lang w:eastAsia="pt-PT"/>
        </w:rPr>
      </w:pPr>
    </w:p>
    <w:p w14:paraId="7A0141B8" w14:textId="693FEE15" w:rsidR="009A42A6" w:rsidRPr="009A539C" w:rsidRDefault="009A42A6" w:rsidP="009A42A6">
      <w:pPr>
        <w:spacing w:after="0" w:line="360" w:lineRule="auto"/>
        <w:ind w:right="-1" w:firstLine="567"/>
        <w:jc w:val="both"/>
        <w:rPr>
          <w:rFonts w:cstheme="minorHAnsi"/>
          <w:lang w:eastAsia="pt-PT"/>
        </w:rPr>
      </w:pPr>
      <w:r w:rsidRPr="009A539C">
        <w:rPr>
          <w:rFonts w:cstheme="minorHAnsi"/>
          <w:lang w:eastAsia="pt-PT"/>
        </w:rPr>
        <w:t xml:space="preserve">Noutros casos remete-se para acordo, posterior, entre o empregador e os sindicatos o desenvolvimento  ou densificação de alguns regime  relativamente a temas consagrados no articulado da convenção. Esta  remissão encontra-se a propósito de  diversos regimes de cláusulas de organização do tempo de trabalho como é o caso da adaptabilidade. </w:t>
      </w:r>
      <w:r w:rsidR="00D527EB" w:rsidRPr="009A539C">
        <w:rPr>
          <w:rFonts w:cstheme="minorHAnsi"/>
          <w:lang w:eastAsia="pt-PT"/>
        </w:rPr>
        <w:t>Nestas situações</w:t>
      </w:r>
      <w:r w:rsidRPr="009A539C">
        <w:rPr>
          <w:rFonts w:cstheme="minorHAnsi"/>
          <w:lang w:eastAsia="pt-PT"/>
        </w:rPr>
        <w:t xml:space="preserve"> a convenção coletiva constitui o pressuposto de desenvolvimento do regime mediante acordo posterior com o empregador</w:t>
      </w:r>
      <w:r w:rsidRPr="009A539C">
        <w:rPr>
          <w:rFonts w:cstheme="minorHAnsi"/>
          <w:vertAlign w:val="superscript"/>
          <w:lang w:eastAsia="pt-PT"/>
        </w:rPr>
        <w:footnoteReference w:id="193"/>
      </w:r>
      <w:r w:rsidRPr="009A539C">
        <w:rPr>
          <w:rFonts w:cstheme="minorHAnsi"/>
          <w:vertAlign w:val="superscript"/>
          <w:lang w:eastAsia="pt-PT"/>
        </w:rPr>
        <w:t>.</w:t>
      </w:r>
      <w:r w:rsidRPr="009A539C">
        <w:rPr>
          <w:rFonts w:cstheme="minorHAnsi"/>
          <w:lang w:eastAsia="pt-PT"/>
        </w:rPr>
        <w:t>. De igual modo se prevê que por regulamento interno sejam estabelecidas as condições de utilização de ferramentas digitais e garantia de tempos de descanso</w:t>
      </w:r>
      <w:r w:rsidRPr="009A539C">
        <w:rPr>
          <w:rFonts w:cstheme="minorHAnsi"/>
          <w:vertAlign w:val="superscript"/>
          <w:lang w:eastAsia="pt-PT"/>
        </w:rPr>
        <w:footnoteReference w:id="194"/>
      </w:r>
      <w:r w:rsidRPr="009A539C">
        <w:rPr>
          <w:rFonts w:cstheme="minorHAnsi"/>
          <w:lang w:eastAsia="pt-PT"/>
        </w:rPr>
        <w:t>.</w:t>
      </w:r>
    </w:p>
    <w:p w14:paraId="1D4332E5" w14:textId="77777777" w:rsidR="009A42A6" w:rsidRPr="009A539C" w:rsidRDefault="009A42A6" w:rsidP="009A42A6">
      <w:pPr>
        <w:spacing w:after="0" w:line="360" w:lineRule="auto"/>
        <w:ind w:right="-1" w:firstLine="567"/>
        <w:jc w:val="both"/>
        <w:rPr>
          <w:rFonts w:cstheme="minorHAnsi"/>
          <w:lang w:eastAsia="pt-PT"/>
        </w:rPr>
      </w:pPr>
      <w:r w:rsidRPr="009A539C">
        <w:rPr>
          <w:rFonts w:cstheme="minorHAnsi"/>
          <w:lang w:eastAsia="pt-PT"/>
        </w:rPr>
        <w:t>Entre os exemplos de regulamentação posterior encontramos os códigos de conduta ou de ética do empregador que sendo fonte de obrigações dos empregadores e dos trabalhadores, podem ter implicações na existência de ordens consideradas ilegítimas e que devem ser transmitidas por escrito</w:t>
      </w:r>
      <w:r w:rsidRPr="009A539C">
        <w:rPr>
          <w:rFonts w:cstheme="minorHAnsi"/>
          <w:vertAlign w:val="superscript"/>
          <w:lang w:eastAsia="pt-PT"/>
        </w:rPr>
        <w:footnoteReference w:id="195"/>
      </w:r>
      <w:r w:rsidRPr="009A539C">
        <w:rPr>
          <w:rFonts w:cstheme="minorHAnsi"/>
          <w:lang w:eastAsia="pt-PT"/>
        </w:rPr>
        <w:t xml:space="preserve"> ou de regulamentação da avaliação de desempenho</w:t>
      </w:r>
      <w:r w:rsidRPr="009A539C">
        <w:rPr>
          <w:rFonts w:cstheme="minorHAnsi"/>
          <w:vertAlign w:val="superscript"/>
          <w:lang w:eastAsia="pt-PT"/>
        </w:rPr>
        <w:footnoteReference w:id="196"/>
      </w:r>
      <w:r w:rsidRPr="009A539C">
        <w:rPr>
          <w:rFonts w:cstheme="minorHAnsi"/>
          <w:lang w:eastAsia="pt-PT"/>
        </w:rPr>
        <w:t>.</w:t>
      </w:r>
    </w:p>
    <w:p w14:paraId="36044931" w14:textId="77777777" w:rsidR="009A42A6" w:rsidRPr="009A539C" w:rsidRDefault="009A42A6" w:rsidP="009A42A6">
      <w:pPr>
        <w:spacing w:after="0" w:line="360" w:lineRule="auto"/>
        <w:ind w:right="-1" w:firstLine="567"/>
        <w:jc w:val="both"/>
        <w:rPr>
          <w:rFonts w:cstheme="minorHAnsi"/>
          <w:lang w:eastAsia="pt-PT"/>
        </w:rPr>
      </w:pPr>
      <w:r w:rsidRPr="009A539C">
        <w:rPr>
          <w:rFonts w:cstheme="minorHAnsi"/>
          <w:lang w:eastAsia="pt-PT"/>
        </w:rPr>
        <w:t>O reconhecimento da existência de acordo atípicos que devem ser reconduzidos a verdadeiras convenções coletivas é feito no preâmbulo de algumas convenções</w:t>
      </w:r>
      <w:r w:rsidRPr="009A539C">
        <w:rPr>
          <w:rFonts w:cstheme="minorHAnsi"/>
          <w:vertAlign w:val="superscript"/>
          <w:lang w:eastAsia="pt-PT"/>
        </w:rPr>
        <w:footnoteReference w:id="197"/>
      </w:r>
      <w:r w:rsidRPr="009A539C">
        <w:rPr>
          <w:rFonts w:cstheme="minorHAnsi"/>
          <w:lang w:eastAsia="pt-PT"/>
        </w:rPr>
        <w:t>. De igual modo, há reconhecimento dessa contratação coletiva atípica com vários anos mediante a previsão de cláusulas de revogação expressa</w:t>
      </w:r>
      <w:r w:rsidRPr="009A539C">
        <w:rPr>
          <w:rFonts w:cstheme="minorHAnsi"/>
          <w:vertAlign w:val="superscript"/>
          <w:lang w:eastAsia="pt-PT"/>
        </w:rPr>
        <w:footnoteReference w:id="198"/>
      </w:r>
      <w:r w:rsidRPr="009A539C">
        <w:rPr>
          <w:rFonts w:cstheme="minorHAnsi"/>
          <w:lang w:eastAsia="pt-PT"/>
        </w:rPr>
        <w:t xml:space="preserve"> muitas vezes com um elenco extenso de regulamentos internos da empresa ou protocolos celebrados à margem da convenção coletiva</w:t>
      </w:r>
      <w:r w:rsidRPr="009A539C">
        <w:rPr>
          <w:rFonts w:cstheme="minorHAnsi"/>
          <w:vertAlign w:val="superscript"/>
          <w:lang w:eastAsia="pt-PT"/>
        </w:rPr>
        <w:footnoteReference w:id="199"/>
      </w:r>
    </w:p>
    <w:p w14:paraId="5D78BA03" w14:textId="77777777" w:rsidR="009A42A6" w:rsidRPr="009A539C" w:rsidRDefault="009A42A6" w:rsidP="009A42A6">
      <w:pPr>
        <w:spacing w:after="0" w:line="360" w:lineRule="auto"/>
        <w:ind w:right="-1" w:firstLine="567"/>
        <w:jc w:val="both"/>
        <w:rPr>
          <w:rFonts w:cstheme="minorHAnsi"/>
          <w:lang w:eastAsia="pt-PT"/>
        </w:rPr>
      </w:pPr>
      <w:r w:rsidRPr="009A539C">
        <w:rPr>
          <w:rFonts w:cstheme="minorHAnsi"/>
          <w:lang w:eastAsia="pt-PT"/>
        </w:rPr>
        <w:t>Nalguns casos são previstos regulamentos como aconselhamento e avaliação aprovado pelo empregador</w:t>
      </w:r>
      <w:r w:rsidRPr="009A539C">
        <w:rPr>
          <w:rFonts w:cstheme="minorHAnsi"/>
          <w:vertAlign w:val="superscript"/>
          <w:lang w:eastAsia="pt-PT"/>
        </w:rPr>
        <w:footnoteReference w:id="200"/>
      </w:r>
      <w:r w:rsidRPr="009A539C">
        <w:rPr>
          <w:rFonts w:cstheme="minorHAnsi"/>
          <w:lang w:eastAsia="pt-PT"/>
        </w:rPr>
        <w:t>, ou sobre matérias sociais</w:t>
      </w:r>
      <w:r w:rsidRPr="009A539C">
        <w:rPr>
          <w:rFonts w:cstheme="minorHAnsi"/>
          <w:vertAlign w:val="superscript"/>
          <w:lang w:eastAsia="pt-PT"/>
        </w:rPr>
        <w:footnoteReference w:id="201"/>
      </w:r>
      <w:r w:rsidRPr="009A539C">
        <w:rPr>
          <w:rFonts w:cstheme="minorHAnsi"/>
          <w:lang w:eastAsia="pt-PT"/>
        </w:rPr>
        <w:t xml:space="preserve"> que devem ser enviados para conhecimento ou audição do Sindicato, mas que não constituem verdadeiros acordos.</w:t>
      </w:r>
    </w:p>
    <w:p w14:paraId="7B84DD6D" w14:textId="77777777" w:rsidR="009A42A6" w:rsidRPr="009A539C" w:rsidRDefault="009A42A6" w:rsidP="009A42A6">
      <w:pPr>
        <w:spacing w:after="0" w:line="360" w:lineRule="auto"/>
        <w:ind w:right="-1" w:firstLine="567"/>
        <w:jc w:val="both"/>
        <w:rPr>
          <w:rFonts w:cstheme="minorHAnsi"/>
          <w:lang w:eastAsia="pt-PT"/>
        </w:rPr>
      </w:pPr>
      <w:r w:rsidRPr="009A539C">
        <w:rPr>
          <w:rFonts w:cstheme="minorHAnsi"/>
          <w:lang w:eastAsia="pt-PT"/>
        </w:rPr>
        <w:t>A contratação coletiva remete igualmente para normas técnicas como manuais de operação de voo</w:t>
      </w:r>
      <w:r w:rsidRPr="009A539C">
        <w:rPr>
          <w:rFonts w:cstheme="minorHAnsi"/>
          <w:vertAlign w:val="superscript"/>
          <w:lang w:eastAsia="pt-PT"/>
        </w:rPr>
        <w:footnoteReference w:id="202"/>
      </w:r>
      <w:r w:rsidRPr="009A539C">
        <w:rPr>
          <w:rFonts w:cstheme="minorHAnsi"/>
          <w:lang w:eastAsia="pt-PT"/>
        </w:rPr>
        <w:t xml:space="preserve"> ou regulamentos de transferência aprovados pela empresa e com efeitos na aplicação da convenção coletiva</w:t>
      </w:r>
      <w:r w:rsidRPr="009A539C">
        <w:rPr>
          <w:rFonts w:cstheme="minorHAnsi"/>
          <w:vertAlign w:val="superscript"/>
          <w:lang w:eastAsia="pt-PT"/>
        </w:rPr>
        <w:footnoteReference w:id="203"/>
      </w:r>
    </w:p>
    <w:p w14:paraId="332FA4B8" w14:textId="77777777" w:rsidR="009A42A6" w:rsidRPr="009A539C" w:rsidRDefault="009A42A6" w:rsidP="009A42A6">
      <w:pPr>
        <w:spacing w:after="0" w:line="360" w:lineRule="auto"/>
        <w:ind w:right="-1" w:firstLine="567"/>
        <w:jc w:val="both"/>
        <w:rPr>
          <w:rFonts w:cstheme="minorHAnsi"/>
          <w:lang w:eastAsia="pt-PT"/>
        </w:rPr>
      </w:pPr>
      <w:r w:rsidRPr="009A539C">
        <w:rPr>
          <w:rFonts w:cstheme="minorHAnsi"/>
          <w:lang w:eastAsia="pt-PT"/>
        </w:rPr>
        <w:t>Existem ainda casos curiosos de regulamentos do empregador sobre deslocações aprovados por exemplo pelo Conselho de Administração da Empresa que são publicados com esta natureza em anexo à convenção coletiva</w:t>
      </w:r>
      <w:r w:rsidRPr="009A539C">
        <w:rPr>
          <w:rFonts w:cstheme="minorHAnsi"/>
          <w:vertAlign w:val="superscript"/>
          <w:lang w:eastAsia="pt-PT"/>
        </w:rPr>
        <w:footnoteReference w:id="204"/>
      </w:r>
      <w:r w:rsidRPr="009A539C">
        <w:rPr>
          <w:rFonts w:cstheme="minorHAnsi"/>
          <w:lang w:eastAsia="pt-PT"/>
        </w:rPr>
        <w:t>, o que coloca a questão de saber qual o seu valor jurídico e se o mesmo é imune à revogação unilateralmente pelo empregador.</w:t>
      </w:r>
    </w:p>
    <w:p w14:paraId="45CF0614" w14:textId="77777777" w:rsidR="009A42A6" w:rsidRPr="009A539C" w:rsidRDefault="009A42A6" w:rsidP="009A42A6">
      <w:pPr>
        <w:spacing w:after="0" w:line="360" w:lineRule="auto"/>
        <w:ind w:right="-1" w:firstLine="567"/>
        <w:jc w:val="both"/>
        <w:rPr>
          <w:rFonts w:cstheme="minorHAnsi"/>
          <w:lang w:eastAsia="pt-PT"/>
        </w:rPr>
      </w:pPr>
    </w:p>
    <w:p w14:paraId="6A3C1167" w14:textId="5D1A0020" w:rsidR="009A42A6" w:rsidRPr="009A539C" w:rsidRDefault="009A42A6" w:rsidP="00C86F58">
      <w:pPr>
        <w:spacing w:after="0" w:line="360" w:lineRule="auto"/>
        <w:ind w:right="-1" w:firstLine="567"/>
        <w:jc w:val="both"/>
        <w:rPr>
          <w:rFonts w:cstheme="minorHAnsi"/>
          <w:lang w:eastAsia="pt-PT"/>
        </w:rPr>
      </w:pPr>
      <w:r w:rsidRPr="009A539C">
        <w:rPr>
          <w:rFonts w:cstheme="minorHAnsi"/>
          <w:lang w:eastAsia="pt-PT"/>
        </w:rPr>
        <w:t>III – Do ponto de vista estatístico verifica-se que em 2019 existem 3</w:t>
      </w:r>
      <w:r w:rsidR="00D527EB" w:rsidRPr="009A539C">
        <w:rPr>
          <w:rFonts w:cstheme="minorHAnsi"/>
          <w:lang w:eastAsia="pt-PT"/>
        </w:rPr>
        <w:t>5</w:t>
      </w:r>
      <w:r w:rsidRPr="009A539C">
        <w:rPr>
          <w:rFonts w:cstheme="minorHAnsi"/>
          <w:lang w:eastAsia="pt-PT"/>
        </w:rPr>
        <w:t xml:space="preserve"> convenções coletivas que remetem a regulação de determinadas das matérias para outros instrumentos ou preveem a sua revogação, ainda que nem todas as cláusulas remissivas tenham a mesma importância, não sendo contabilizadas as previsões de existência de regulamentos internos do empregador em geral, mas apenas em que existe desenvolvimentos ou referências a matérias específicas</w:t>
      </w:r>
      <w:r w:rsidRPr="009A539C">
        <w:rPr>
          <w:rFonts w:cstheme="minorHAnsi"/>
          <w:vertAlign w:val="superscript"/>
          <w:lang w:eastAsia="pt-PT"/>
        </w:rPr>
        <w:footnoteReference w:id="205"/>
      </w:r>
      <w:r w:rsidRPr="009A539C">
        <w:rPr>
          <w:rFonts w:cstheme="minorHAnsi"/>
          <w:lang w:eastAsia="pt-PT"/>
        </w:rPr>
        <w:t>.</w:t>
      </w:r>
    </w:p>
    <w:p w14:paraId="21F45405" w14:textId="77777777" w:rsidR="009A42A6" w:rsidRPr="009A539C" w:rsidRDefault="009A42A6" w:rsidP="00EE47E7">
      <w:pPr>
        <w:spacing w:line="360" w:lineRule="auto"/>
        <w:ind w:right="-1" w:firstLine="567"/>
        <w:jc w:val="both"/>
        <w:rPr>
          <w:rFonts w:cstheme="minorHAnsi"/>
        </w:rPr>
      </w:pPr>
    </w:p>
    <w:p w14:paraId="3310BCC7" w14:textId="631917C9" w:rsidR="00A70D08" w:rsidRPr="00AC25EB" w:rsidRDefault="002B051C" w:rsidP="00642321">
      <w:pPr>
        <w:pStyle w:val="Legenda"/>
        <w:jc w:val="center"/>
        <w:rPr>
          <w:rFonts w:ascii="Calibri" w:hAnsi="Calibri" w:cs="Calibri"/>
          <w:b w:val="0"/>
          <w:i/>
          <w:sz w:val="20"/>
          <w:szCs w:val="20"/>
          <w:u w:val="single"/>
        </w:rPr>
      </w:pPr>
      <w:bookmarkStart w:id="613" w:name="_Toc45716667"/>
      <w:r w:rsidRPr="00AC25EB">
        <w:rPr>
          <w:b w:val="0"/>
          <w:sz w:val="20"/>
          <w:szCs w:val="20"/>
        </w:rPr>
        <w:t xml:space="preserve">Quadro </w:t>
      </w:r>
      <w:r w:rsidR="00256F15" w:rsidRPr="00AC25EB">
        <w:rPr>
          <w:b w:val="0"/>
          <w:sz w:val="20"/>
          <w:szCs w:val="20"/>
        </w:rPr>
        <w:fldChar w:fldCharType="begin"/>
      </w:r>
      <w:r w:rsidR="00256F15" w:rsidRPr="00AC25EB">
        <w:rPr>
          <w:b w:val="0"/>
          <w:sz w:val="20"/>
          <w:szCs w:val="20"/>
        </w:rPr>
        <w:instrText xml:space="preserve"> SEQ Quadro \* ARABIC </w:instrText>
      </w:r>
      <w:r w:rsidR="00256F15" w:rsidRPr="00AC25EB">
        <w:rPr>
          <w:b w:val="0"/>
          <w:sz w:val="20"/>
          <w:szCs w:val="20"/>
        </w:rPr>
        <w:fldChar w:fldCharType="separate"/>
      </w:r>
      <w:r w:rsidR="00D821DE" w:rsidRPr="00AC25EB">
        <w:rPr>
          <w:b w:val="0"/>
          <w:noProof/>
          <w:sz w:val="20"/>
          <w:szCs w:val="20"/>
        </w:rPr>
        <w:t>46</w:t>
      </w:r>
      <w:r w:rsidR="00256F15" w:rsidRPr="00AC25EB">
        <w:rPr>
          <w:b w:val="0"/>
          <w:noProof/>
          <w:sz w:val="20"/>
          <w:szCs w:val="20"/>
        </w:rPr>
        <w:fldChar w:fldCharType="end"/>
      </w:r>
      <w:r w:rsidR="00A70D08" w:rsidRPr="00AC25EB">
        <w:rPr>
          <w:b w:val="0"/>
          <w:sz w:val="20"/>
          <w:szCs w:val="20"/>
        </w:rPr>
        <w:t xml:space="preserve"> - Regulamentos e acordos complementares por tipo </w:t>
      </w:r>
      <w:r w:rsidR="00F652A5" w:rsidRPr="00AC25EB">
        <w:rPr>
          <w:b w:val="0"/>
          <w:sz w:val="20"/>
          <w:szCs w:val="20"/>
        </w:rPr>
        <w:t>(</w:t>
      </w:r>
      <w:r w:rsidR="00A70D08" w:rsidRPr="00AC25EB">
        <w:rPr>
          <w:b w:val="0"/>
          <w:sz w:val="20"/>
          <w:szCs w:val="20"/>
        </w:rPr>
        <w:t>2019</w:t>
      </w:r>
      <w:r w:rsidR="00F652A5" w:rsidRPr="00AC25EB">
        <w:rPr>
          <w:b w:val="0"/>
          <w:sz w:val="20"/>
          <w:szCs w:val="20"/>
        </w:rPr>
        <w:t>)</w:t>
      </w:r>
      <w:bookmarkEnd w:id="613"/>
    </w:p>
    <w:p w14:paraId="2426FCC8" w14:textId="0CEE7B7E" w:rsidR="005B5D1C" w:rsidRPr="009A539C" w:rsidRDefault="00331F6E" w:rsidP="00AD3050">
      <w:pPr>
        <w:jc w:val="center"/>
        <w:rPr>
          <w:rFonts w:cstheme="minorHAnsi"/>
        </w:rPr>
      </w:pPr>
      <w:r w:rsidRPr="009A539C">
        <w:rPr>
          <w:noProof/>
          <w:lang w:eastAsia="pt-PT"/>
        </w:rPr>
        <w:drawing>
          <wp:inline distT="0" distB="0" distL="0" distR="0" wp14:anchorId="65AEDF1D" wp14:editId="0CA19F93">
            <wp:extent cx="3970319" cy="1397204"/>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70790" cy="1397370"/>
                    </a:xfrm>
                    <a:prstGeom prst="rect">
                      <a:avLst/>
                    </a:prstGeom>
                    <a:noFill/>
                    <a:ln>
                      <a:noFill/>
                    </a:ln>
                  </pic:spPr>
                </pic:pic>
              </a:graphicData>
            </a:graphic>
          </wp:inline>
        </w:drawing>
      </w:r>
    </w:p>
    <w:p w14:paraId="55DF3D3E" w14:textId="77777777" w:rsidR="00333350" w:rsidRPr="009A539C" w:rsidRDefault="00333350" w:rsidP="00333350">
      <w:pPr>
        <w:jc w:val="center"/>
        <w:rPr>
          <w:rFonts w:cstheme="minorHAnsi"/>
        </w:rPr>
      </w:pPr>
    </w:p>
    <w:p w14:paraId="7D666669" w14:textId="4EE0E6B1" w:rsidR="00BA4157" w:rsidRPr="00F652A5" w:rsidRDefault="00333350" w:rsidP="003C6B75">
      <w:pPr>
        <w:pStyle w:val="Legenda"/>
        <w:keepNext/>
        <w:ind w:right="-1"/>
        <w:jc w:val="center"/>
        <w:rPr>
          <w:b w:val="0"/>
          <w:color w:val="548DD4" w:themeColor="text2" w:themeTint="99"/>
          <w:sz w:val="20"/>
          <w:szCs w:val="20"/>
        </w:rPr>
      </w:pPr>
      <w:r w:rsidRPr="00F652A5">
        <w:rPr>
          <w:b w:val="0"/>
          <w:color w:val="548DD4" w:themeColor="text2" w:themeTint="99"/>
          <w:sz w:val="20"/>
          <w:szCs w:val="20"/>
        </w:rPr>
        <w:t>Q</w:t>
      </w:r>
      <w:r w:rsidR="003C6B75" w:rsidRPr="00F652A5">
        <w:rPr>
          <w:b w:val="0"/>
          <w:sz w:val="22"/>
          <w:szCs w:val="22"/>
        </w:rPr>
        <w:t>uadro 46 - A - Regulamentos e  protocolos</w:t>
      </w:r>
      <w:r w:rsidRPr="00F652A5">
        <w:rPr>
          <w:b w:val="0"/>
          <w:sz w:val="22"/>
          <w:szCs w:val="22"/>
        </w:rPr>
        <w:t xml:space="preserve">  previstos  nas  convenções</w:t>
      </w:r>
      <w:r w:rsidR="00331F6E" w:rsidRPr="00F652A5">
        <w:rPr>
          <w:b w:val="0"/>
          <w:sz w:val="22"/>
          <w:szCs w:val="22"/>
        </w:rPr>
        <w:t xml:space="preserve"> </w:t>
      </w:r>
      <w:r w:rsidRPr="00F652A5">
        <w:rPr>
          <w:b w:val="0"/>
          <w:sz w:val="22"/>
          <w:szCs w:val="22"/>
        </w:rPr>
        <w:t xml:space="preserve">por tópico </w:t>
      </w:r>
      <w:r w:rsidR="00F652A5" w:rsidRPr="00F652A5">
        <w:rPr>
          <w:b w:val="0"/>
          <w:sz w:val="22"/>
          <w:szCs w:val="22"/>
        </w:rPr>
        <w:t>(</w:t>
      </w:r>
      <w:r w:rsidRPr="00F652A5">
        <w:rPr>
          <w:b w:val="0"/>
          <w:sz w:val="22"/>
          <w:szCs w:val="22"/>
        </w:rPr>
        <w:t>2019</w:t>
      </w:r>
      <w:r w:rsidR="00F652A5" w:rsidRPr="00F652A5">
        <w:rPr>
          <w:b w:val="0"/>
          <w:sz w:val="22"/>
          <w:szCs w:val="22"/>
        </w:rPr>
        <w:t>)</w:t>
      </w:r>
    </w:p>
    <w:p w14:paraId="7F1D88CB" w14:textId="2DC7FE09" w:rsidR="00333350" w:rsidRPr="009A539C" w:rsidRDefault="00331F6E" w:rsidP="00333350">
      <w:pPr>
        <w:jc w:val="center"/>
        <w:rPr>
          <w:rFonts w:cstheme="minorHAnsi"/>
        </w:rPr>
      </w:pPr>
      <w:r w:rsidRPr="009A539C">
        <w:rPr>
          <w:noProof/>
          <w:lang w:eastAsia="pt-PT"/>
        </w:rPr>
        <w:t xml:space="preserve"> </w:t>
      </w:r>
      <w:r w:rsidR="003C6B75" w:rsidRPr="009A539C">
        <w:rPr>
          <w:noProof/>
          <w:lang w:eastAsia="pt-PT"/>
        </w:rPr>
        <w:drawing>
          <wp:inline distT="0" distB="0" distL="0" distR="0" wp14:anchorId="24345C28" wp14:editId="63BB9174">
            <wp:extent cx="6477000" cy="3343275"/>
            <wp:effectExtent l="0" t="0" r="0" b="9525"/>
            <wp:docPr id="1127" name="Imagem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77000" cy="3343275"/>
                    </a:xfrm>
                    <a:prstGeom prst="rect">
                      <a:avLst/>
                    </a:prstGeom>
                    <a:noFill/>
                    <a:ln>
                      <a:noFill/>
                    </a:ln>
                  </pic:spPr>
                </pic:pic>
              </a:graphicData>
            </a:graphic>
          </wp:inline>
        </w:drawing>
      </w:r>
    </w:p>
    <w:p w14:paraId="7DEFB45A" w14:textId="223A225A" w:rsidR="00333350" w:rsidRPr="009A539C" w:rsidRDefault="00C86F58" w:rsidP="00C86F58">
      <w:pPr>
        <w:rPr>
          <w:rFonts w:cstheme="minorHAnsi"/>
        </w:rPr>
      </w:pPr>
      <w:r w:rsidRPr="009A539C">
        <w:rPr>
          <w:rFonts w:cstheme="minorHAnsi"/>
        </w:rPr>
        <w:br w:type="page"/>
      </w:r>
    </w:p>
    <w:p w14:paraId="06BC3A02" w14:textId="77777777" w:rsidR="005E7447" w:rsidRPr="009A539C" w:rsidRDefault="005E7447" w:rsidP="00F364BB">
      <w:pPr>
        <w:pStyle w:val="PargrafodaLista"/>
        <w:numPr>
          <w:ilvl w:val="2"/>
          <w:numId w:val="1"/>
        </w:numPr>
        <w:spacing w:line="360" w:lineRule="auto"/>
        <w:ind w:left="851" w:right="-1"/>
        <w:jc w:val="both"/>
        <w:outlineLvl w:val="2"/>
        <w:rPr>
          <w:rFonts w:ascii="Calibri" w:hAnsi="Calibri" w:cs="Calibri"/>
          <w:b/>
          <w:sz w:val="24"/>
          <w:szCs w:val="24"/>
        </w:rPr>
      </w:pPr>
      <w:bookmarkStart w:id="614" w:name="_Toc45535709"/>
      <w:r w:rsidRPr="009A539C">
        <w:rPr>
          <w:rFonts w:ascii="Calibri" w:hAnsi="Calibri" w:cs="Calibri"/>
          <w:b/>
          <w:sz w:val="24"/>
          <w:szCs w:val="24"/>
        </w:rPr>
        <w:t>Tempo de trabalho</w:t>
      </w:r>
      <w:bookmarkEnd w:id="614"/>
      <w:r w:rsidRPr="009A539C">
        <w:rPr>
          <w:rFonts w:ascii="Calibri" w:hAnsi="Calibri" w:cs="Calibri"/>
          <w:b/>
          <w:sz w:val="24"/>
          <w:szCs w:val="24"/>
        </w:rPr>
        <w:t xml:space="preserve">  </w:t>
      </w:r>
    </w:p>
    <w:p w14:paraId="7E0A1EC9" w14:textId="77777777" w:rsidR="001971EE" w:rsidRPr="009A539C" w:rsidRDefault="001971EE" w:rsidP="00B90788">
      <w:pPr>
        <w:pStyle w:val="PargrafodaLista"/>
        <w:spacing w:line="360" w:lineRule="auto"/>
        <w:ind w:left="851" w:right="-1"/>
        <w:outlineLvl w:val="2"/>
        <w:rPr>
          <w:rFonts w:ascii="Calibri" w:hAnsi="Calibri" w:cs="Calibri"/>
          <w:b/>
          <w:sz w:val="6"/>
          <w:szCs w:val="24"/>
        </w:rPr>
      </w:pPr>
    </w:p>
    <w:p w14:paraId="654C10D5" w14:textId="77777777" w:rsidR="00E431D6" w:rsidRPr="009A539C" w:rsidRDefault="00E431D6" w:rsidP="000D71EA">
      <w:pPr>
        <w:spacing w:line="360" w:lineRule="auto"/>
        <w:ind w:right="-1"/>
        <w:jc w:val="both"/>
        <w:rPr>
          <w:rFonts w:ascii="Calibri" w:hAnsi="Calibri" w:cs="Calibri"/>
        </w:rPr>
      </w:pPr>
      <w:r w:rsidRPr="009A539C">
        <w:rPr>
          <w:rFonts w:ascii="Calibri" w:hAnsi="Calibri" w:cs="Calibri"/>
        </w:rPr>
        <w:t>A duração e organização do tempo de trabalho têm-se revelado um dos pontos com forte presença na contratação coletiva, quer pelo protagonismo que a lei lhe reconhece (ao estabelecer, apenas, máximos de duração), quer pela sua ligação estrutural à matéria salarial (a remuneração base é fixada para o período normal de trabalho). Como se verá de seguida, em 2019, assiste-se, porém, a uma ligeira retração no seu peso relativo, face a 2018</w:t>
      </w:r>
      <w:r w:rsidR="00304B32" w:rsidRPr="009A539C">
        <w:rPr>
          <w:rStyle w:val="Refdenotaderodap"/>
          <w:rFonts w:ascii="Calibri" w:hAnsi="Calibri" w:cs="Calibri"/>
        </w:rPr>
        <w:footnoteReference w:id="206"/>
      </w:r>
      <w:r w:rsidRPr="009A539C">
        <w:rPr>
          <w:rFonts w:ascii="Calibri" w:hAnsi="Calibri" w:cs="Calibri"/>
        </w:rPr>
        <w:t>. Para além doutros aspetos, para esta redução contribui o menor número de revisões globais, já mencionado (cfr.supra 4.4 conteúdo das convenções), que neste domínio não é reequilibrado pelo crescimento do número de revisões parciais, as quais tendem a privilegiar outros aspetos que não os tempos de trabalho.</w:t>
      </w:r>
    </w:p>
    <w:p w14:paraId="322EB97C" w14:textId="77777777" w:rsidR="00E431D6" w:rsidRPr="009A539C" w:rsidRDefault="00E431D6" w:rsidP="00B90788">
      <w:pPr>
        <w:spacing w:line="360" w:lineRule="auto"/>
        <w:ind w:right="-1" w:firstLine="130"/>
        <w:jc w:val="both"/>
        <w:rPr>
          <w:rFonts w:ascii="Calibri" w:hAnsi="Calibri" w:cs="Calibri"/>
        </w:rPr>
      </w:pPr>
      <w:r w:rsidRPr="009A539C">
        <w:rPr>
          <w:rFonts w:ascii="Calibri" w:hAnsi="Calibri" w:cs="Calibri"/>
        </w:rPr>
        <w:t>Como tem sido referido em relatórios anteriores, a matéria do tempo de trabalho é campo de eleição da contratação coletiva, não só porque existem inúmeras normas legais que remetem para os instrumentos de regulamentação coletiva como a capacidade de inovação contida na autonomia coletiva tem maior reflexo neste tema.</w:t>
      </w:r>
    </w:p>
    <w:p w14:paraId="458E986C" w14:textId="77777777" w:rsidR="0032160B" w:rsidRPr="009A539C" w:rsidRDefault="00E431D6" w:rsidP="00B90788">
      <w:pPr>
        <w:spacing w:line="360" w:lineRule="auto"/>
        <w:ind w:right="-1" w:firstLine="130"/>
        <w:jc w:val="both"/>
        <w:rPr>
          <w:rFonts w:ascii="Calibri" w:hAnsi="Calibri" w:cs="Calibri"/>
        </w:rPr>
      </w:pPr>
      <w:r w:rsidRPr="009A539C">
        <w:rPr>
          <w:rFonts w:ascii="Calibri" w:hAnsi="Calibri" w:cs="Calibri"/>
        </w:rPr>
        <w:t>Estrutura-se a análise desta matéria em torno de dois pontos: (i) a duração do trabalho (limites máximos do período normal de trabalho e duração do período anual de férias), e (ii) os regimes de organização do tempo de trabalho (adaptabilidade, banco de horas, horários concentrados, disponibilidade ou prevenção e trabalho suplementar e isenção de horário de trabalho), incluindo a referência aos mecanismos de flexibilização do tempo de trabalho no interesse dos trabalhadores, os horários flexíveis.</w:t>
      </w:r>
    </w:p>
    <w:p w14:paraId="0A7A40ED" w14:textId="77777777" w:rsidR="008558F7" w:rsidRPr="009A539C" w:rsidRDefault="008558F7" w:rsidP="00B90788">
      <w:pPr>
        <w:spacing w:line="360" w:lineRule="auto"/>
        <w:ind w:right="-1" w:firstLine="131"/>
        <w:rPr>
          <w:rFonts w:ascii="Calibri" w:hAnsi="Calibri" w:cs="Calibri"/>
        </w:rPr>
      </w:pPr>
    </w:p>
    <w:p w14:paraId="0F1987D6" w14:textId="77777777" w:rsidR="0032160B" w:rsidRPr="009A539C" w:rsidRDefault="005E7447" w:rsidP="00F364BB">
      <w:pPr>
        <w:pStyle w:val="PargrafodaLista"/>
        <w:numPr>
          <w:ilvl w:val="3"/>
          <w:numId w:val="1"/>
        </w:numPr>
        <w:spacing w:line="360" w:lineRule="auto"/>
        <w:ind w:left="1418" w:right="-1"/>
        <w:outlineLvl w:val="3"/>
        <w:rPr>
          <w:rFonts w:ascii="Calibri" w:hAnsi="Calibri" w:cs="Calibri"/>
        </w:rPr>
      </w:pPr>
      <w:bookmarkStart w:id="615" w:name="_Toc45535710"/>
      <w:r w:rsidRPr="009A539C">
        <w:rPr>
          <w:rFonts w:ascii="Calibri" w:hAnsi="Calibri" w:cs="Calibri"/>
        </w:rPr>
        <w:t>Duração do tempo de trabalho</w:t>
      </w:r>
      <w:bookmarkEnd w:id="615"/>
    </w:p>
    <w:p w14:paraId="617CD802" w14:textId="77777777" w:rsidR="001971EE" w:rsidRPr="009A539C" w:rsidRDefault="001971EE" w:rsidP="00B90788">
      <w:pPr>
        <w:pStyle w:val="PargrafodaLista"/>
        <w:spacing w:line="360" w:lineRule="auto"/>
        <w:ind w:left="1428" w:right="-1"/>
        <w:outlineLvl w:val="3"/>
        <w:rPr>
          <w:rFonts w:ascii="Calibri" w:hAnsi="Calibri" w:cs="Calibri"/>
          <w:b/>
        </w:rPr>
      </w:pPr>
    </w:p>
    <w:p w14:paraId="0D77B892" w14:textId="77777777" w:rsidR="000F0BA3" w:rsidRPr="009A539C" w:rsidRDefault="000F0BA3" w:rsidP="00AF188D">
      <w:pPr>
        <w:pStyle w:val="Cabealho4"/>
        <w:numPr>
          <w:ilvl w:val="0"/>
          <w:numId w:val="64"/>
        </w:numPr>
        <w:rPr>
          <w:rFonts w:asciiTheme="minorHAnsi" w:hAnsiTheme="minorHAnsi" w:cstheme="minorHAnsi"/>
          <w:b w:val="0"/>
          <w:bCs w:val="0"/>
          <w:iCs w:val="0"/>
          <w:color w:val="auto"/>
        </w:rPr>
      </w:pPr>
      <w:bookmarkStart w:id="616" w:name="_Toc42511762"/>
      <w:bookmarkStart w:id="617" w:name="_Toc42514526"/>
      <w:bookmarkStart w:id="618" w:name="_Toc45535711"/>
      <w:r w:rsidRPr="009A539C">
        <w:rPr>
          <w:rFonts w:asciiTheme="minorHAnsi" w:hAnsiTheme="minorHAnsi" w:cstheme="minorHAnsi"/>
          <w:b w:val="0"/>
          <w:bCs w:val="0"/>
          <w:iCs w:val="0"/>
          <w:color w:val="auto"/>
        </w:rPr>
        <w:t>Limites máximos do PNT</w:t>
      </w:r>
      <w:bookmarkEnd w:id="616"/>
      <w:bookmarkEnd w:id="617"/>
      <w:bookmarkEnd w:id="618"/>
    </w:p>
    <w:p w14:paraId="44F06579" w14:textId="77777777" w:rsidR="00C16BEB" w:rsidRPr="009A539C" w:rsidRDefault="00C16BEB" w:rsidP="00B90788">
      <w:pPr>
        <w:pStyle w:val="PargrafodaLista"/>
        <w:spacing w:line="360" w:lineRule="auto"/>
        <w:ind w:left="1701" w:right="-1"/>
        <w:outlineLvl w:val="4"/>
        <w:rPr>
          <w:rFonts w:ascii="Calibri" w:hAnsi="Calibri" w:cs="Calibri"/>
        </w:rPr>
      </w:pPr>
    </w:p>
    <w:p w14:paraId="5571A1C8" w14:textId="77777777" w:rsidR="00E431D6" w:rsidRPr="009A539C" w:rsidRDefault="00E431D6" w:rsidP="00413A75">
      <w:pPr>
        <w:pStyle w:val="PargrafodaLista"/>
        <w:numPr>
          <w:ilvl w:val="0"/>
          <w:numId w:val="35"/>
        </w:numPr>
        <w:spacing w:before="240" w:line="360" w:lineRule="auto"/>
        <w:ind w:left="0" w:right="-1" w:firstLine="993"/>
        <w:jc w:val="both"/>
        <w:rPr>
          <w:rFonts w:cstheme="minorHAnsi"/>
        </w:rPr>
      </w:pPr>
      <w:r w:rsidRPr="009A539C">
        <w:rPr>
          <w:rFonts w:cstheme="minorHAnsi"/>
        </w:rPr>
        <w:t>A definição da duração máxima do PNT figura na maioria de primeiras convenções e revisões globais publicadas em 2019, ao estabelecer o limite máximo do período normal de trabalho diário e/ou semanal</w:t>
      </w:r>
      <w:bookmarkStart w:id="619" w:name="_Toc487122774"/>
      <w:bookmarkStart w:id="620" w:name="_Toc517332079"/>
      <w:r w:rsidRPr="009A539C">
        <w:rPr>
          <w:rFonts w:cstheme="minorHAnsi"/>
        </w:rPr>
        <w:t xml:space="preserve">. A ligeira quebra comparativamente ao ano anterior coincide com a diminuição do número de revisões globais em 2019 (quadro 46) e, ainda, pela circunstância de alguns textos convencionais não fixarem PNT ( </w:t>
      </w:r>
      <w:r w:rsidRPr="009A539C">
        <w:rPr>
          <w:rStyle w:val="Refdenotaderodap"/>
          <w:rFonts w:cstheme="minorHAnsi"/>
        </w:rPr>
        <w:footnoteReference w:id="207"/>
      </w:r>
      <w:r w:rsidRPr="009A539C">
        <w:rPr>
          <w:rFonts w:cstheme="minorHAnsi"/>
        </w:rPr>
        <w:t>).</w:t>
      </w:r>
    </w:p>
    <w:p w14:paraId="035852CC" w14:textId="77777777" w:rsidR="001971EE" w:rsidRPr="009A539C" w:rsidRDefault="001971EE" w:rsidP="00FE4D53">
      <w:pPr>
        <w:tabs>
          <w:tab w:val="left" w:pos="851"/>
        </w:tabs>
        <w:spacing w:before="240" w:line="360" w:lineRule="auto"/>
        <w:ind w:left="993" w:right="-1"/>
        <w:jc w:val="both"/>
        <w:rPr>
          <w:rFonts w:cstheme="minorHAnsi"/>
        </w:rPr>
      </w:pPr>
    </w:p>
    <w:p w14:paraId="5DCAC076" w14:textId="77777777" w:rsidR="00250669" w:rsidRPr="009A539C" w:rsidRDefault="00250669" w:rsidP="00FE4D53">
      <w:pPr>
        <w:pStyle w:val="Legenda"/>
        <w:tabs>
          <w:tab w:val="left" w:pos="851"/>
        </w:tabs>
        <w:ind w:left="993" w:right="-1"/>
        <w:jc w:val="center"/>
        <w:rPr>
          <w:sz w:val="20"/>
          <w:szCs w:val="20"/>
        </w:rPr>
      </w:pPr>
      <w:bookmarkStart w:id="621" w:name="_Toc15654984"/>
    </w:p>
    <w:p w14:paraId="127F97D8" w14:textId="77777777" w:rsidR="00250669" w:rsidRPr="009A539C" w:rsidRDefault="00250669" w:rsidP="00FE4D53">
      <w:pPr>
        <w:pStyle w:val="Legenda"/>
        <w:tabs>
          <w:tab w:val="left" w:pos="851"/>
        </w:tabs>
        <w:ind w:left="993" w:right="-1"/>
        <w:jc w:val="center"/>
        <w:rPr>
          <w:sz w:val="20"/>
          <w:szCs w:val="20"/>
        </w:rPr>
      </w:pPr>
    </w:p>
    <w:p w14:paraId="67B6EDC7" w14:textId="7B9138DB" w:rsidR="00E431D6" w:rsidRPr="009A539C" w:rsidRDefault="002B051C" w:rsidP="00343774">
      <w:pPr>
        <w:pStyle w:val="Legenda"/>
        <w:jc w:val="center"/>
        <w:rPr>
          <w:b w:val="0"/>
          <w:bCs w:val="0"/>
          <w:color w:val="0070C0"/>
          <w:sz w:val="20"/>
          <w:szCs w:val="20"/>
        </w:rPr>
      </w:pPr>
      <w:bookmarkStart w:id="622" w:name="_Toc45716668"/>
      <w:r w:rsidRPr="009A539C">
        <w:t xml:space="preserve">Quadro </w:t>
      </w:r>
      <w:fldSimple w:instr=" SEQ Quadro \* ARABIC ">
        <w:r w:rsidR="00D821DE">
          <w:rPr>
            <w:noProof/>
          </w:rPr>
          <w:t>47</w:t>
        </w:r>
      </w:fldSimple>
      <w:r w:rsidR="00E431D6" w:rsidRPr="009A539C">
        <w:rPr>
          <w:sz w:val="20"/>
          <w:szCs w:val="20"/>
        </w:rPr>
        <w:t xml:space="preserve"> - PNT tempo completo - 2019 (por subtipo)</w:t>
      </w:r>
      <w:bookmarkEnd w:id="619"/>
      <w:bookmarkEnd w:id="620"/>
      <w:bookmarkEnd w:id="621"/>
      <w:bookmarkEnd w:id="622"/>
    </w:p>
    <w:p w14:paraId="6FCCCA13" w14:textId="77777777" w:rsidR="00E431D6" w:rsidRPr="009A539C" w:rsidRDefault="00E431D6" w:rsidP="00B90788">
      <w:pPr>
        <w:keepNext/>
        <w:spacing w:line="360" w:lineRule="auto"/>
        <w:ind w:right="-1"/>
        <w:jc w:val="center"/>
        <w:rPr>
          <w:b/>
          <w:bCs/>
          <w:color w:val="0070C0"/>
        </w:rPr>
      </w:pPr>
      <w:r w:rsidRPr="009A539C">
        <w:rPr>
          <w:noProof/>
          <w:lang w:eastAsia="pt-PT"/>
        </w:rPr>
        <w:drawing>
          <wp:inline distT="0" distB="0" distL="0" distR="0" wp14:anchorId="2733AFE3" wp14:editId="04EF6BB0">
            <wp:extent cx="3705308" cy="1253210"/>
            <wp:effectExtent l="0" t="0" r="0" b="4445"/>
            <wp:docPr id="1172" name="Imagem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718497" cy="1257671"/>
                    </a:xfrm>
                    <a:prstGeom prst="rect">
                      <a:avLst/>
                    </a:prstGeom>
                    <a:noFill/>
                    <a:ln>
                      <a:noFill/>
                    </a:ln>
                  </pic:spPr>
                </pic:pic>
              </a:graphicData>
            </a:graphic>
          </wp:inline>
        </w:drawing>
      </w:r>
    </w:p>
    <w:p w14:paraId="1E71327E" w14:textId="77777777" w:rsidR="005B5D1C" w:rsidRPr="009A539C" w:rsidRDefault="005B5D1C" w:rsidP="005B5D1C">
      <w:pPr>
        <w:keepNext/>
        <w:spacing w:line="360" w:lineRule="auto"/>
        <w:ind w:right="-1"/>
        <w:rPr>
          <w:b/>
          <w:bCs/>
          <w:color w:val="0070C0"/>
        </w:rPr>
      </w:pPr>
    </w:p>
    <w:p w14:paraId="77AABB5A" w14:textId="77777777" w:rsidR="00E431D6" w:rsidRPr="009A539C" w:rsidRDefault="00E431D6" w:rsidP="00413A75">
      <w:pPr>
        <w:pStyle w:val="PargrafodaLista"/>
        <w:numPr>
          <w:ilvl w:val="0"/>
          <w:numId w:val="35"/>
        </w:numPr>
        <w:tabs>
          <w:tab w:val="left" w:pos="851"/>
        </w:tabs>
        <w:spacing w:before="240" w:line="360" w:lineRule="auto"/>
        <w:ind w:left="0" w:right="-1" w:firstLine="993"/>
        <w:jc w:val="both"/>
        <w:rPr>
          <w:rFonts w:cstheme="minorHAnsi"/>
        </w:rPr>
      </w:pPr>
      <w:r w:rsidRPr="009A539C">
        <w:rPr>
          <w:rFonts w:cstheme="minorHAnsi"/>
        </w:rPr>
        <w:t>Em 2019, a configuração do PNT semanal acompanha os parâmetros descritos no relatório anterior. Assim, a maioria das convenções (54%, 42 em 78) continua a adotar a duração máxima de 40 horas, coincidente com o limite legal (art.203.º do CT), e um pouco mais de um terço fixa o período normal de trabalho de duração inferior a 40 horas para todos os trabalhadores (33%). Este segundo grupo concentra-se, essencialmente, nos setores da Banca e Seguros (K), Educação (P) (usualmente, 35 horas</w:t>
      </w:r>
      <w:r w:rsidRPr="009A539C">
        <w:rPr>
          <w:vertAlign w:val="superscript"/>
        </w:rPr>
        <w:footnoteReference w:id="208"/>
      </w:r>
      <w:r w:rsidRPr="009A539C">
        <w:rPr>
          <w:rFonts w:cstheme="minorHAnsi"/>
        </w:rPr>
        <w:t>), com algumas convenções com horários entre 37</w:t>
      </w:r>
      <w:r w:rsidR="004237FC" w:rsidRPr="009A539C">
        <w:rPr>
          <w:rFonts w:cstheme="minorHAnsi"/>
        </w:rPr>
        <w:t xml:space="preserve"> </w:t>
      </w:r>
      <w:r w:rsidRPr="009A539C">
        <w:rPr>
          <w:rFonts w:cstheme="minorHAnsi"/>
        </w:rPr>
        <w:t>e 39</w:t>
      </w:r>
      <w:r w:rsidR="004237FC" w:rsidRPr="009A539C">
        <w:rPr>
          <w:rFonts w:cstheme="minorHAnsi"/>
        </w:rPr>
        <w:t xml:space="preserve"> horas</w:t>
      </w:r>
      <w:r w:rsidRPr="009A539C">
        <w:rPr>
          <w:rFonts w:cstheme="minorHAnsi"/>
        </w:rPr>
        <w:t xml:space="preserve">, na indústria </w:t>
      </w:r>
      <w:r w:rsidRPr="009A539C">
        <w:rPr>
          <w:rStyle w:val="Refdenotaderodap"/>
          <w:rFonts w:cstheme="minorHAnsi"/>
        </w:rPr>
        <w:footnoteReference w:id="209"/>
      </w:r>
      <w:r w:rsidRPr="009A539C">
        <w:rPr>
          <w:rFonts w:cstheme="minorHAnsi"/>
        </w:rPr>
        <w:t>.</w:t>
      </w:r>
    </w:p>
    <w:p w14:paraId="6BE252A5" w14:textId="77777777" w:rsidR="00E431D6" w:rsidRPr="009A539C" w:rsidRDefault="00E431D6" w:rsidP="00413A75">
      <w:pPr>
        <w:spacing w:line="360" w:lineRule="auto"/>
        <w:ind w:right="-1" w:firstLine="993"/>
        <w:jc w:val="both"/>
        <w:rPr>
          <w:rFonts w:eastAsia="Times New Roman" w:cs="Calibri"/>
          <w:lang w:eastAsia="pt-PT"/>
        </w:rPr>
      </w:pPr>
      <w:r w:rsidRPr="009A539C">
        <w:rPr>
          <w:rFonts w:cstheme="minorHAnsi"/>
        </w:rPr>
        <w:t>Por outro lado, várias convenções coletivas consagram modelos de duração do trabalho variável em função de grupos de trabalhadores e distinguem os trabalhadores administrativos dos da área de produção</w:t>
      </w:r>
      <w:r w:rsidRPr="009A539C">
        <w:rPr>
          <w:rFonts w:cstheme="minorHAnsi"/>
          <w:vertAlign w:val="superscript"/>
        </w:rPr>
        <w:footnoteReference w:id="210"/>
      </w:r>
      <w:r w:rsidRPr="009A539C">
        <w:rPr>
          <w:rFonts w:cstheme="minorHAnsi"/>
        </w:rPr>
        <w:t>ou do comércio</w:t>
      </w:r>
      <w:r w:rsidRPr="009A539C">
        <w:rPr>
          <w:rStyle w:val="Refdenotaderodap"/>
          <w:rFonts w:cstheme="minorHAnsi"/>
        </w:rPr>
        <w:footnoteReference w:id="211"/>
      </w:r>
      <w:r w:rsidRPr="009A539C">
        <w:rPr>
          <w:rFonts w:cstheme="minorHAnsi"/>
        </w:rPr>
        <w:t xml:space="preserve"> , com cinco períodos normais de trabalho diferentes, oscilando entre  35 e 40 </w:t>
      </w:r>
      <w:r w:rsidR="004237FC" w:rsidRPr="009A539C">
        <w:rPr>
          <w:rFonts w:cstheme="minorHAnsi"/>
        </w:rPr>
        <w:t>horas</w:t>
      </w:r>
      <w:r w:rsidRPr="009A539C">
        <w:rPr>
          <w:rFonts w:cstheme="minorHAnsi"/>
        </w:rPr>
        <w:t>, consoante os grupos profissionais abrangidos</w:t>
      </w:r>
      <w:r w:rsidRPr="009A539C">
        <w:rPr>
          <w:rStyle w:val="Refdenotaderodap"/>
          <w:rFonts w:cstheme="minorHAnsi"/>
        </w:rPr>
        <w:footnoteReference w:id="212"/>
      </w:r>
      <w:r w:rsidRPr="009A539C">
        <w:rPr>
          <w:rFonts w:eastAsia="Times New Roman" w:cs="Calibri"/>
          <w:lang w:eastAsia="pt-PT"/>
        </w:rPr>
        <w:t xml:space="preserve">. </w:t>
      </w:r>
      <w:r w:rsidRPr="009A539C">
        <w:rPr>
          <w:rFonts w:cstheme="minorHAnsi"/>
        </w:rPr>
        <w:t>Noutros casos opta-se por estabelecer um regime-regra e outro para determinadas categorias (por exemplo: 35h horas em geral e 31,5 horas para certas categorias</w:t>
      </w:r>
      <w:r w:rsidRPr="009A539C">
        <w:rPr>
          <w:rFonts w:cstheme="minorHAnsi"/>
          <w:vertAlign w:val="superscript"/>
        </w:rPr>
        <w:footnoteReference w:id="213"/>
      </w:r>
      <w:r w:rsidRPr="009A539C">
        <w:rPr>
          <w:rFonts w:cstheme="minorHAnsi"/>
        </w:rPr>
        <w:t>)</w:t>
      </w:r>
      <w:r w:rsidR="00513D2C" w:rsidRPr="009A539C">
        <w:rPr>
          <w:rFonts w:cstheme="minorHAnsi"/>
        </w:rPr>
        <w:t>.</w:t>
      </w:r>
      <w:r w:rsidRPr="009A539C">
        <w:rPr>
          <w:rFonts w:cstheme="minorHAnsi"/>
          <w:strike/>
        </w:rPr>
        <w:t xml:space="preserve"> </w:t>
      </w:r>
    </w:p>
    <w:p w14:paraId="648973F5" w14:textId="77777777" w:rsidR="00E431D6" w:rsidRPr="009A539C" w:rsidRDefault="00E431D6" w:rsidP="00413A75">
      <w:pPr>
        <w:tabs>
          <w:tab w:val="left" w:pos="851"/>
        </w:tabs>
        <w:spacing w:before="240" w:line="360" w:lineRule="auto"/>
        <w:ind w:right="-1" w:firstLine="993"/>
        <w:jc w:val="both"/>
        <w:rPr>
          <w:rFonts w:cstheme="minorHAnsi"/>
        </w:rPr>
      </w:pPr>
      <w:r w:rsidRPr="009A539C">
        <w:rPr>
          <w:rFonts w:cstheme="minorHAnsi"/>
        </w:rPr>
        <w:t xml:space="preserve">Naturalmente que também quanto ao período normal de trabalho diário, a maior parte das convenções onde a matéria é regulada determina uma duração máxima de 8 horas, coincidente com o limite legal (art. 203.º do CT). Existem, porém, </w:t>
      </w:r>
      <w:r w:rsidR="00295F4E" w:rsidRPr="009A539C">
        <w:rPr>
          <w:rFonts w:cstheme="minorHAnsi"/>
        </w:rPr>
        <w:t>convenções, em particular no se</w:t>
      </w:r>
      <w:r w:rsidRPr="009A539C">
        <w:rPr>
          <w:rFonts w:cstheme="minorHAnsi"/>
        </w:rPr>
        <w:t>tor dos serviços, que fixam a jornada de trabalho em 7 h diárias</w:t>
      </w:r>
      <w:r w:rsidRPr="009A539C">
        <w:rPr>
          <w:rFonts w:cstheme="minorHAnsi"/>
          <w:vertAlign w:val="superscript"/>
        </w:rPr>
        <w:footnoteReference w:id="214"/>
      </w:r>
      <w:r w:rsidRPr="009A539C">
        <w:rPr>
          <w:rFonts w:cstheme="minorHAnsi"/>
        </w:rPr>
        <w:t xml:space="preserve">. </w:t>
      </w:r>
    </w:p>
    <w:p w14:paraId="08326D20" w14:textId="77777777" w:rsidR="00E431D6" w:rsidRPr="009A539C" w:rsidRDefault="00E431D6" w:rsidP="00413A75">
      <w:pPr>
        <w:tabs>
          <w:tab w:val="left" w:pos="851"/>
        </w:tabs>
        <w:spacing w:before="240" w:line="360" w:lineRule="auto"/>
        <w:ind w:right="-1" w:firstLine="993"/>
        <w:jc w:val="both"/>
        <w:rPr>
          <w:rFonts w:cstheme="minorHAnsi"/>
        </w:rPr>
      </w:pPr>
      <w:r w:rsidRPr="009A539C">
        <w:rPr>
          <w:rFonts w:cstheme="minorHAnsi"/>
        </w:rPr>
        <w:t>Em situações excecionais</w:t>
      </w:r>
      <w:r w:rsidR="00C16BEB" w:rsidRPr="009A539C">
        <w:rPr>
          <w:rFonts w:cstheme="minorHAnsi"/>
        </w:rPr>
        <w:t xml:space="preserve"> tais como </w:t>
      </w:r>
      <w:r w:rsidRPr="009A539C">
        <w:rPr>
          <w:rFonts w:cstheme="minorHAnsi"/>
        </w:rPr>
        <w:t>situação de incêndio; encalhe ou abalroamento, ou outra situação de perigo iminente, uma convenção admite que não são considerados os limites ao PNT convencionados</w:t>
      </w:r>
      <w:r w:rsidRPr="009A539C">
        <w:rPr>
          <w:rStyle w:val="Refdenotaderodap"/>
          <w:rFonts w:cstheme="minorHAnsi"/>
        </w:rPr>
        <w:footnoteReference w:id="215"/>
      </w:r>
      <w:r w:rsidRPr="009A539C">
        <w:rPr>
          <w:rFonts w:cstheme="minorHAnsi"/>
        </w:rPr>
        <w:t xml:space="preserve"> .</w:t>
      </w:r>
    </w:p>
    <w:p w14:paraId="1191266A" w14:textId="77777777" w:rsidR="00E431D6" w:rsidRPr="009A539C" w:rsidRDefault="00E431D6" w:rsidP="00413A75">
      <w:pPr>
        <w:tabs>
          <w:tab w:val="left" w:pos="851"/>
        </w:tabs>
        <w:spacing w:before="240" w:line="360" w:lineRule="auto"/>
        <w:ind w:right="-1" w:firstLine="993"/>
        <w:jc w:val="both"/>
        <w:rPr>
          <w:rFonts w:cstheme="minorHAnsi"/>
        </w:rPr>
      </w:pPr>
      <w:r w:rsidRPr="009A539C">
        <w:rPr>
          <w:rFonts w:cstheme="minorHAnsi"/>
        </w:rPr>
        <w:t>A duração do PNT e o conce</w:t>
      </w:r>
      <w:r w:rsidRPr="009A539C">
        <w:rPr>
          <w:rFonts w:cstheme="minorHAnsi"/>
          <w:u w:val="single"/>
        </w:rPr>
        <w:t>i</w:t>
      </w:r>
      <w:r w:rsidRPr="009A539C">
        <w:rPr>
          <w:rFonts w:cstheme="minorHAnsi"/>
        </w:rPr>
        <w:t>to de tempo de trabalho interrelaciona-se cada vez mais com o binómio tempo de trabalho e de não trabalho. Este tópico é referido frequentemente a propósito da conciliação da vida familiar e profissional e o tempo de trabalho e</w:t>
      </w:r>
      <w:r w:rsidR="00C16BEB" w:rsidRPr="009A539C">
        <w:rPr>
          <w:rFonts w:cstheme="minorHAnsi"/>
        </w:rPr>
        <w:t xml:space="preserve">, mais recentemente, tem surgido nas </w:t>
      </w:r>
      <w:r w:rsidRPr="009A539C">
        <w:rPr>
          <w:rFonts w:cstheme="minorHAnsi"/>
        </w:rPr>
        <w:t>convenções uma outra f</w:t>
      </w:r>
      <w:r w:rsidR="00C16BEB" w:rsidRPr="009A539C">
        <w:rPr>
          <w:rFonts w:cstheme="minorHAnsi"/>
        </w:rPr>
        <w:t xml:space="preserve">igura, o direito a desconexão, </w:t>
      </w:r>
      <w:r w:rsidRPr="009A539C">
        <w:rPr>
          <w:rFonts w:cstheme="minorHAnsi"/>
        </w:rPr>
        <w:t>de que se d</w:t>
      </w:r>
      <w:r w:rsidR="003D6F39" w:rsidRPr="009A539C">
        <w:rPr>
          <w:rFonts w:cstheme="minorHAnsi"/>
        </w:rPr>
        <w:t>ará</w:t>
      </w:r>
      <w:r w:rsidRPr="009A539C">
        <w:rPr>
          <w:rFonts w:cstheme="minorHAnsi"/>
        </w:rPr>
        <w:t xml:space="preserve"> nota </w:t>
      </w:r>
      <w:r w:rsidR="003D6F39" w:rsidRPr="009A539C">
        <w:rPr>
          <w:rFonts w:cstheme="minorHAnsi"/>
        </w:rPr>
        <w:t xml:space="preserve">oportunamente </w:t>
      </w:r>
      <w:r w:rsidR="003D6F39" w:rsidRPr="009A539C">
        <w:rPr>
          <w:rStyle w:val="Refdenotaderodap"/>
          <w:rFonts w:cstheme="minorHAnsi"/>
        </w:rPr>
        <w:footnoteReference w:id="216"/>
      </w:r>
      <w:r w:rsidRPr="009A539C">
        <w:rPr>
          <w:rFonts w:cstheme="minorHAnsi"/>
        </w:rPr>
        <w:t xml:space="preserve"> </w:t>
      </w:r>
      <w:r w:rsidR="00D05F27" w:rsidRPr="009A539C">
        <w:rPr>
          <w:rFonts w:cstheme="minorHAnsi"/>
        </w:rPr>
        <w:t>.</w:t>
      </w:r>
    </w:p>
    <w:p w14:paraId="087B766B" w14:textId="77777777" w:rsidR="0032160B" w:rsidRPr="009A539C" w:rsidRDefault="0032160B" w:rsidP="00B90788">
      <w:pPr>
        <w:spacing w:line="360" w:lineRule="auto"/>
        <w:ind w:right="-1"/>
        <w:rPr>
          <w:rFonts w:ascii="Calibri" w:hAnsi="Calibri" w:cs="Calibri"/>
          <w:i/>
        </w:rPr>
      </w:pPr>
    </w:p>
    <w:p w14:paraId="037AAC69" w14:textId="77777777" w:rsidR="000F0BA3" w:rsidRPr="009A539C" w:rsidRDefault="000F0BA3" w:rsidP="00AF188D">
      <w:pPr>
        <w:pStyle w:val="Cabealho4"/>
        <w:numPr>
          <w:ilvl w:val="0"/>
          <w:numId w:val="64"/>
        </w:numPr>
        <w:rPr>
          <w:rFonts w:asciiTheme="minorHAnsi" w:hAnsiTheme="minorHAnsi" w:cstheme="minorHAnsi"/>
          <w:b w:val="0"/>
          <w:bCs w:val="0"/>
          <w:iCs w:val="0"/>
          <w:color w:val="auto"/>
        </w:rPr>
      </w:pPr>
      <w:r w:rsidRPr="009A539C">
        <w:rPr>
          <w:rFonts w:asciiTheme="minorHAnsi" w:hAnsiTheme="minorHAnsi" w:cstheme="minorHAnsi"/>
          <w:b w:val="0"/>
          <w:bCs w:val="0"/>
          <w:iCs w:val="0"/>
          <w:color w:val="auto"/>
        </w:rPr>
        <w:t xml:space="preserve"> </w:t>
      </w:r>
      <w:bookmarkStart w:id="623" w:name="_Toc42511763"/>
      <w:bookmarkStart w:id="624" w:name="_Toc42514527"/>
      <w:bookmarkStart w:id="625" w:name="_Toc45535712"/>
      <w:r w:rsidRPr="009A539C">
        <w:rPr>
          <w:rFonts w:asciiTheme="minorHAnsi" w:hAnsiTheme="minorHAnsi" w:cstheme="minorHAnsi"/>
          <w:b w:val="0"/>
          <w:bCs w:val="0"/>
          <w:iCs w:val="0"/>
          <w:color w:val="auto"/>
        </w:rPr>
        <w:t>Duração do período anual de férias</w:t>
      </w:r>
      <w:bookmarkEnd w:id="623"/>
      <w:bookmarkEnd w:id="624"/>
      <w:bookmarkEnd w:id="625"/>
    </w:p>
    <w:p w14:paraId="1434DAD7" w14:textId="77777777" w:rsidR="007544A9" w:rsidRPr="009A539C" w:rsidRDefault="007544A9" w:rsidP="00B90788">
      <w:pPr>
        <w:pStyle w:val="PargrafodaLista"/>
        <w:spacing w:line="360" w:lineRule="auto"/>
        <w:ind w:left="1701" w:right="-1"/>
        <w:outlineLvl w:val="4"/>
        <w:rPr>
          <w:rFonts w:ascii="Calibri" w:hAnsi="Calibri" w:cs="Calibri"/>
          <w:i/>
        </w:rPr>
      </w:pPr>
    </w:p>
    <w:p w14:paraId="4ABC2167" w14:textId="49CE7427" w:rsidR="00173F99" w:rsidRPr="009A539C" w:rsidRDefault="00C16BEB" w:rsidP="00413A75">
      <w:pPr>
        <w:pStyle w:val="PargrafodaLista"/>
        <w:numPr>
          <w:ilvl w:val="0"/>
          <w:numId w:val="38"/>
        </w:numPr>
        <w:spacing w:before="240" w:after="0" w:line="360" w:lineRule="auto"/>
        <w:ind w:left="0" w:right="-1" w:firstLine="993"/>
        <w:jc w:val="both"/>
        <w:rPr>
          <w:rFonts w:cs="Times New Roman"/>
        </w:rPr>
      </w:pPr>
      <w:r w:rsidRPr="009A539C">
        <w:rPr>
          <w:rFonts w:cstheme="minorHAnsi"/>
        </w:rPr>
        <w:t>A regulação do período de férias é tratada em 34% das convenções publicadas em 2019 (</w:t>
      </w:r>
      <w:r w:rsidR="0004452C" w:rsidRPr="009A539C">
        <w:rPr>
          <w:rFonts w:cstheme="minorHAnsi"/>
        </w:rPr>
        <w:t>81</w:t>
      </w:r>
      <w:r w:rsidRPr="009A539C">
        <w:rPr>
          <w:rFonts w:cstheme="minorHAnsi"/>
        </w:rPr>
        <w:t xml:space="preserve"> em 240), percentagem abaixo da observada em 2018 (41,4%). Em termos absolutos, houve uma quebra de 11 pontos percentuais, face ao ano anterior, observada, em especial,  ao nível das revisões globais (cfr. quadro 47). Em todo o caso, a regulação da matéria continua a ter maior relevância em primeiras convenções e revisões globais [primeiras convenções (41 em 46); revisões globais (32 em 33) revisões parciais (8 em 1</w:t>
      </w:r>
      <w:r w:rsidR="00C00DF7" w:rsidRPr="009A539C">
        <w:rPr>
          <w:rFonts w:cstheme="minorHAnsi"/>
        </w:rPr>
        <w:t>61</w:t>
      </w:r>
      <w:r w:rsidRPr="009A539C">
        <w:rPr>
          <w:rFonts w:cstheme="minorHAnsi"/>
        </w:rPr>
        <w:t>)].</w:t>
      </w:r>
      <w:r w:rsidR="00C00DF7" w:rsidRPr="009A539C">
        <w:rPr>
          <w:rFonts w:cstheme="minorHAnsi"/>
        </w:rPr>
        <w:t xml:space="preserve"> </w:t>
      </w:r>
    </w:p>
    <w:p w14:paraId="1CCD5B95" w14:textId="77777777" w:rsidR="00343774" w:rsidRPr="009A539C" w:rsidRDefault="00343774" w:rsidP="00343774">
      <w:pPr>
        <w:tabs>
          <w:tab w:val="left" w:pos="993"/>
        </w:tabs>
        <w:spacing w:before="240" w:after="0" w:line="360" w:lineRule="auto"/>
        <w:ind w:left="993" w:right="-1"/>
        <w:jc w:val="both"/>
        <w:rPr>
          <w:rFonts w:cs="Times New Roman"/>
        </w:rPr>
      </w:pPr>
    </w:p>
    <w:p w14:paraId="2E5A4835" w14:textId="4F7188D4" w:rsidR="00C16BEB" w:rsidRPr="009A539C" w:rsidRDefault="002B051C" w:rsidP="00343774">
      <w:pPr>
        <w:pStyle w:val="Legenda"/>
        <w:jc w:val="center"/>
        <w:rPr>
          <w:b w:val="0"/>
          <w:bCs w:val="0"/>
        </w:rPr>
      </w:pPr>
      <w:bookmarkStart w:id="626" w:name="_Toc15654985"/>
      <w:bookmarkStart w:id="627" w:name="_Toc45716669"/>
      <w:r w:rsidRPr="009A539C">
        <w:t xml:space="preserve">Quadro </w:t>
      </w:r>
      <w:fldSimple w:instr=" SEQ Quadro \* ARABIC ">
        <w:r w:rsidR="00D821DE">
          <w:rPr>
            <w:noProof/>
          </w:rPr>
          <w:t>48</w:t>
        </w:r>
      </w:fldSimple>
      <w:r w:rsidR="00C16BEB" w:rsidRPr="009A539C">
        <w:rPr>
          <w:noProof/>
        </w:rPr>
        <w:t xml:space="preserve"> </w:t>
      </w:r>
      <w:r w:rsidR="00C16BEB" w:rsidRPr="009A539C">
        <w:t>- Férias - 2019 (por subtipo)</w:t>
      </w:r>
      <w:bookmarkEnd w:id="626"/>
      <w:bookmarkEnd w:id="627"/>
    </w:p>
    <w:p w14:paraId="5890E049" w14:textId="77777777" w:rsidR="00C16BEB" w:rsidRPr="009A539C" w:rsidRDefault="00C16BEB" w:rsidP="00B90788">
      <w:pPr>
        <w:keepNext/>
        <w:spacing w:line="360" w:lineRule="auto"/>
        <w:ind w:right="-1"/>
        <w:jc w:val="center"/>
        <w:rPr>
          <w:rFonts w:cs="Times New Roman"/>
          <w:b/>
          <w:bCs/>
          <w:color w:val="4F81BD" w:themeColor="accent1"/>
        </w:rPr>
      </w:pPr>
      <w:r w:rsidRPr="009A539C">
        <w:rPr>
          <w:rFonts w:cs="Times New Roman"/>
          <w:noProof/>
          <w:color w:val="00000A"/>
          <w:lang w:eastAsia="pt-PT"/>
        </w:rPr>
        <w:t xml:space="preserve"> </w:t>
      </w:r>
      <w:r w:rsidRPr="009A539C">
        <w:rPr>
          <w:rFonts w:cs="Times New Roman"/>
          <w:noProof/>
          <w:color w:val="00000A"/>
          <w:lang w:eastAsia="pt-PT"/>
        </w:rPr>
        <w:drawing>
          <wp:inline distT="0" distB="0" distL="0" distR="0" wp14:anchorId="7002F8B4" wp14:editId="3D0C1351">
            <wp:extent cx="3657848" cy="1653871"/>
            <wp:effectExtent l="0" t="0" r="0" b="3810"/>
            <wp:docPr id="1173" name="Imagem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57941" cy="1653913"/>
                    </a:xfrm>
                    <a:prstGeom prst="rect">
                      <a:avLst/>
                    </a:prstGeom>
                    <a:noFill/>
                    <a:ln>
                      <a:noFill/>
                    </a:ln>
                  </pic:spPr>
                </pic:pic>
              </a:graphicData>
            </a:graphic>
          </wp:inline>
        </w:drawing>
      </w:r>
    </w:p>
    <w:p w14:paraId="48F931DA" w14:textId="77777777" w:rsidR="00F23A7A" w:rsidRPr="009A539C" w:rsidRDefault="00F23A7A" w:rsidP="00B90788">
      <w:pPr>
        <w:tabs>
          <w:tab w:val="left" w:pos="851"/>
        </w:tabs>
        <w:spacing w:after="0" w:line="360" w:lineRule="auto"/>
        <w:ind w:right="-1" w:firstLine="414"/>
        <w:jc w:val="both"/>
        <w:rPr>
          <w:rFonts w:cstheme="minorHAnsi"/>
        </w:rPr>
      </w:pPr>
    </w:p>
    <w:p w14:paraId="1AFA502A" w14:textId="1D3801BA" w:rsidR="00C16BEB" w:rsidRPr="009A539C" w:rsidRDefault="00C16BEB" w:rsidP="00413A75">
      <w:pPr>
        <w:spacing w:after="0" w:line="360" w:lineRule="auto"/>
        <w:ind w:right="-1" w:firstLine="993"/>
        <w:jc w:val="both"/>
        <w:rPr>
          <w:rFonts w:cstheme="minorHAnsi"/>
        </w:rPr>
      </w:pPr>
      <w:r w:rsidRPr="009A539C">
        <w:rPr>
          <w:rFonts w:cstheme="minorHAnsi"/>
        </w:rPr>
        <w:t xml:space="preserve">Na </w:t>
      </w:r>
      <w:r w:rsidR="00D56477" w:rsidRPr="009A539C">
        <w:rPr>
          <w:rFonts w:cstheme="minorHAnsi"/>
        </w:rPr>
        <w:t>esteira</w:t>
      </w:r>
      <w:r w:rsidRPr="009A539C">
        <w:rPr>
          <w:rFonts w:cstheme="minorHAnsi"/>
        </w:rPr>
        <w:t xml:space="preserve"> dos Relatórios anteriores, apenas se terá em consideração, neste ponto, a duração do período anual de férias, pela sua conexão com a duração do tempo de trabalho (em termos anuais).</w:t>
      </w:r>
    </w:p>
    <w:p w14:paraId="0FE2182E" w14:textId="77777777" w:rsidR="00C16BEB" w:rsidRPr="009A539C" w:rsidRDefault="00C16BEB" w:rsidP="00413A75">
      <w:pPr>
        <w:pStyle w:val="PargrafodaLista"/>
        <w:numPr>
          <w:ilvl w:val="0"/>
          <w:numId w:val="38"/>
        </w:numPr>
        <w:spacing w:before="240" w:after="0" w:line="360" w:lineRule="auto"/>
        <w:ind w:left="0" w:right="-1" w:firstLine="993"/>
        <w:jc w:val="both"/>
        <w:rPr>
          <w:rFonts w:cstheme="minorHAnsi"/>
        </w:rPr>
      </w:pPr>
      <w:r w:rsidRPr="009A539C">
        <w:rPr>
          <w:rFonts w:cstheme="minorHAnsi"/>
        </w:rPr>
        <w:t>Sem novidade, o perfil do enquadramento convencional acompanha o retratado nos Relatórios anteriores, caracterizando-se pela substancial diversidade de soluções, dentro da matriz já conhecida: um grupo de convenções reproduz o regime legal; outras optam por soluções diferentes, quer alargando o período legalmente previsto, quer, retomando a linha do CT/2003, estabelecendo soluções de majoração das férias anuais</w:t>
      </w:r>
      <w:r w:rsidRPr="009A539C">
        <w:rPr>
          <w:vertAlign w:val="superscript"/>
        </w:rPr>
        <w:footnoteReference w:id="217"/>
      </w:r>
      <w:r w:rsidRPr="009A539C">
        <w:rPr>
          <w:rFonts w:cstheme="minorHAnsi"/>
        </w:rPr>
        <w:t>, em moldes mais ou menos próximos desse regime legal. Estas situações reconduzem-se a quatro grandes grupos, seguidamente descritos.</w:t>
      </w:r>
    </w:p>
    <w:p w14:paraId="6FC643AC" w14:textId="77777777" w:rsidR="005B5D1C" w:rsidRPr="009A539C" w:rsidRDefault="005B5D1C" w:rsidP="005B5D1C">
      <w:pPr>
        <w:pStyle w:val="PargrafodaLista"/>
        <w:spacing w:before="240" w:after="0" w:line="360" w:lineRule="auto"/>
        <w:ind w:left="567" w:right="-1"/>
        <w:jc w:val="both"/>
        <w:rPr>
          <w:rFonts w:cstheme="minorHAnsi"/>
        </w:rPr>
      </w:pPr>
    </w:p>
    <w:p w14:paraId="241F08B5" w14:textId="77777777" w:rsidR="00C16BEB" w:rsidRPr="009A539C" w:rsidRDefault="008446D2" w:rsidP="00413A75">
      <w:pPr>
        <w:pStyle w:val="PargrafodaLista"/>
        <w:numPr>
          <w:ilvl w:val="0"/>
          <w:numId w:val="56"/>
        </w:numPr>
        <w:spacing w:before="240" w:after="0" w:line="360" w:lineRule="auto"/>
        <w:ind w:left="0" w:right="-1" w:firstLine="992"/>
        <w:jc w:val="both"/>
        <w:rPr>
          <w:rFonts w:cstheme="minorHAnsi"/>
        </w:rPr>
      </w:pPr>
      <w:r w:rsidRPr="009A539C">
        <w:rPr>
          <w:rFonts w:cstheme="minorHAnsi"/>
        </w:rPr>
        <w:t xml:space="preserve">O </w:t>
      </w:r>
      <w:r w:rsidR="00C16BEB" w:rsidRPr="009A539C">
        <w:rPr>
          <w:rFonts w:cstheme="minorHAnsi"/>
        </w:rPr>
        <w:t xml:space="preserve"> primeiro grupo </w:t>
      </w:r>
      <w:r w:rsidRPr="009A539C">
        <w:rPr>
          <w:rFonts w:cstheme="minorHAnsi"/>
        </w:rPr>
        <w:t>reproduz</w:t>
      </w:r>
      <w:r w:rsidR="00C16BEB" w:rsidRPr="009A539C">
        <w:rPr>
          <w:rFonts w:cstheme="minorHAnsi"/>
        </w:rPr>
        <w:t xml:space="preserve"> o regime legal, fixando um período idêntico para todos os trabalhadores, com a duração de 22 dias úteis, sem previsão de qualquer majoração</w:t>
      </w:r>
      <w:r w:rsidR="00C16BEB" w:rsidRPr="009A539C">
        <w:rPr>
          <w:vertAlign w:val="superscript"/>
        </w:rPr>
        <w:footnoteReference w:id="218"/>
      </w:r>
      <w:r w:rsidR="00C16BEB" w:rsidRPr="009A539C">
        <w:rPr>
          <w:rFonts w:cstheme="minorHAnsi"/>
        </w:rPr>
        <w:t xml:space="preserve"> (19 em 48 convenções</w:t>
      </w:r>
      <w:r w:rsidRPr="009A539C">
        <w:rPr>
          <w:rFonts w:cstheme="minorHAnsi"/>
        </w:rPr>
        <w:t>; enquanto 29</w:t>
      </w:r>
      <w:r w:rsidR="00C16BEB" w:rsidRPr="009A539C">
        <w:rPr>
          <w:rFonts w:cstheme="minorHAnsi"/>
        </w:rPr>
        <w:t xml:space="preserve"> conjugam 22 dias com majorações).</w:t>
      </w:r>
    </w:p>
    <w:p w14:paraId="559DDEE5" w14:textId="77777777" w:rsidR="00F23A7A" w:rsidRPr="009A539C" w:rsidRDefault="00C16BEB" w:rsidP="00413A75">
      <w:pPr>
        <w:pStyle w:val="PargrafodaLista"/>
        <w:numPr>
          <w:ilvl w:val="0"/>
          <w:numId w:val="56"/>
        </w:numPr>
        <w:spacing w:before="240" w:after="0" w:line="360" w:lineRule="auto"/>
        <w:ind w:left="0" w:right="-1" w:firstLine="992"/>
        <w:jc w:val="both"/>
        <w:rPr>
          <w:rFonts w:cstheme="minorHAnsi"/>
        </w:rPr>
      </w:pPr>
      <w:r w:rsidRPr="009A539C">
        <w:rPr>
          <w:rFonts w:cstheme="minorHAnsi"/>
        </w:rPr>
        <w:t>O segundo grupo</w:t>
      </w:r>
      <w:r w:rsidR="00F23A7A" w:rsidRPr="009A539C">
        <w:rPr>
          <w:rFonts w:cstheme="minorHAnsi"/>
        </w:rPr>
        <w:t xml:space="preserve"> consagra </w:t>
      </w:r>
      <w:r w:rsidRPr="009A539C">
        <w:rPr>
          <w:rFonts w:cstheme="minorHAnsi"/>
        </w:rPr>
        <w:t>um período anual de férias superior ao mínimo legal de 22 dias, aplicável a todos os trabalhadores independentemente de qualquer condição ou fator</w:t>
      </w:r>
      <w:r w:rsidR="00F23A7A" w:rsidRPr="009A539C">
        <w:rPr>
          <w:rFonts w:cstheme="minorHAnsi"/>
        </w:rPr>
        <w:t>(22 convenções em 2019; 29 em 2018)</w:t>
      </w:r>
      <w:r w:rsidRPr="009A539C">
        <w:rPr>
          <w:rFonts w:cstheme="minorHAnsi"/>
        </w:rPr>
        <w:t xml:space="preserve">. Em termos similares </w:t>
      </w:r>
      <w:r w:rsidR="00F23A7A" w:rsidRPr="009A539C">
        <w:rPr>
          <w:rFonts w:cstheme="minorHAnsi"/>
        </w:rPr>
        <w:t>ao anterior</w:t>
      </w:r>
      <w:r w:rsidRPr="009A539C">
        <w:rPr>
          <w:rFonts w:cstheme="minorHAnsi"/>
        </w:rPr>
        <w:t xml:space="preserve"> a duração das férias anuais oscila entre 23 (3)</w:t>
      </w:r>
      <w:r w:rsidRPr="009A539C">
        <w:rPr>
          <w:vertAlign w:val="superscript"/>
        </w:rPr>
        <w:footnoteReference w:id="219"/>
      </w:r>
      <w:r w:rsidR="00F23A7A" w:rsidRPr="009A539C">
        <w:rPr>
          <w:rFonts w:cstheme="minorHAnsi"/>
        </w:rPr>
        <w:t xml:space="preserve">, 24 (2 </w:t>
      </w:r>
      <w:r w:rsidRPr="009A539C">
        <w:rPr>
          <w:rFonts w:cstheme="minorHAnsi"/>
        </w:rPr>
        <w:t>)</w:t>
      </w:r>
      <w:r w:rsidRPr="009A539C">
        <w:rPr>
          <w:vertAlign w:val="superscript"/>
        </w:rPr>
        <w:footnoteReference w:id="220"/>
      </w:r>
      <w:r w:rsidR="00F23A7A" w:rsidRPr="009A539C">
        <w:rPr>
          <w:rFonts w:cstheme="minorHAnsi"/>
        </w:rPr>
        <w:t xml:space="preserve">, 25 dias (15 </w:t>
      </w:r>
      <w:r w:rsidRPr="009A539C">
        <w:rPr>
          <w:rFonts w:cstheme="minorHAnsi"/>
        </w:rPr>
        <w:t>)</w:t>
      </w:r>
      <w:r w:rsidRPr="009A539C">
        <w:rPr>
          <w:vertAlign w:val="superscript"/>
        </w:rPr>
        <w:footnoteReference w:id="221"/>
      </w:r>
      <w:r w:rsidR="00F23A7A" w:rsidRPr="009A539C">
        <w:rPr>
          <w:rFonts w:cstheme="minorHAnsi"/>
        </w:rPr>
        <w:t xml:space="preserve"> e 26 dias úteis (1</w:t>
      </w:r>
      <w:r w:rsidRPr="009A539C">
        <w:rPr>
          <w:rFonts w:cstheme="minorHAnsi"/>
        </w:rPr>
        <w:t>)</w:t>
      </w:r>
      <w:r w:rsidRPr="009A539C">
        <w:rPr>
          <w:vertAlign w:val="superscript"/>
        </w:rPr>
        <w:footnoteReference w:id="222"/>
      </w:r>
      <w:r w:rsidRPr="009A539C">
        <w:rPr>
          <w:rFonts w:cstheme="minorHAnsi"/>
        </w:rPr>
        <w:t>.</w:t>
      </w:r>
    </w:p>
    <w:p w14:paraId="247CDA8C" w14:textId="77777777" w:rsidR="00C16BEB" w:rsidRPr="009A539C" w:rsidRDefault="00C16BEB" w:rsidP="00413A75">
      <w:pPr>
        <w:pStyle w:val="PargrafodaLista"/>
        <w:numPr>
          <w:ilvl w:val="0"/>
          <w:numId w:val="56"/>
        </w:numPr>
        <w:spacing w:before="240" w:after="0" w:line="360" w:lineRule="auto"/>
        <w:ind w:left="0" w:right="-1" w:firstLine="992"/>
        <w:jc w:val="both"/>
        <w:rPr>
          <w:rFonts w:cstheme="minorHAnsi"/>
        </w:rPr>
      </w:pPr>
      <w:r w:rsidRPr="009A539C">
        <w:rPr>
          <w:rFonts w:cstheme="minorHAnsi"/>
        </w:rPr>
        <w:t xml:space="preserve">Integram o terceiro grupo as convenções que consagram um período fixo mínimo </w:t>
      </w:r>
      <w:r w:rsidR="00F23A7A" w:rsidRPr="009A539C">
        <w:rPr>
          <w:rFonts w:cstheme="minorHAnsi"/>
        </w:rPr>
        <w:t>(</w:t>
      </w:r>
      <w:r w:rsidRPr="009A539C">
        <w:rPr>
          <w:rFonts w:cstheme="minorHAnsi"/>
        </w:rPr>
        <w:t>22 dias úteis ou superior</w:t>
      </w:r>
      <w:r w:rsidR="00F23A7A" w:rsidRPr="009A539C">
        <w:rPr>
          <w:rFonts w:cstheme="minorHAnsi"/>
        </w:rPr>
        <w:t>)</w:t>
      </w:r>
      <w:r w:rsidRPr="009A539C">
        <w:rPr>
          <w:rFonts w:cstheme="minorHAnsi"/>
        </w:rPr>
        <w:t xml:space="preserve"> e uma majoração variável em função do tempo de serviço, da idade ou de outros fatores:</w:t>
      </w:r>
    </w:p>
    <w:p w14:paraId="64D90127" w14:textId="77777777" w:rsidR="00C16BEB" w:rsidRPr="009A539C" w:rsidRDefault="00C16BEB" w:rsidP="00AF188D">
      <w:pPr>
        <w:numPr>
          <w:ilvl w:val="0"/>
          <w:numId w:val="36"/>
        </w:numPr>
        <w:tabs>
          <w:tab w:val="left" w:pos="851"/>
        </w:tabs>
        <w:spacing w:after="0" w:line="360" w:lineRule="auto"/>
        <w:ind w:left="1418" w:right="-1"/>
        <w:jc w:val="both"/>
        <w:rPr>
          <w:rFonts w:cstheme="minorHAnsi"/>
        </w:rPr>
      </w:pPr>
      <w:r w:rsidRPr="009A539C">
        <w:rPr>
          <w:rFonts w:cstheme="minorHAnsi"/>
          <w:lang w:eastAsia="pt-PT"/>
        </w:rPr>
        <w:t>22 dias, com possibilidade de majoração,</w:t>
      </w:r>
      <w:r w:rsidRPr="009A539C">
        <w:rPr>
          <w:rFonts w:cstheme="minorHAnsi"/>
        </w:rPr>
        <w:t xml:space="preserve"> isolada ou conjuntamente, em função do tempo de serviço (2</w:t>
      </w:r>
      <w:r w:rsidRPr="009A539C">
        <w:rPr>
          <w:rFonts w:cstheme="minorHAnsi"/>
          <w:vertAlign w:val="superscript"/>
        </w:rPr>
        <w:footnoteReference w:id="223"/>
      </w:r>
      <w:r w:rsidR="008446D2" w:rsidRPr="009A539C">
        <w:rPr>
          <w:rFonts w:cstheme="minorHAnsi"/>
        </w:rPr>
        <w:t xml:space="preserve">), da idade (3 </w:t>
      </w:r>
      <w:r w:rsidRPr="009A539C">
        <w:rPr>
          <w:rFonts w:cstheme="minorHAnsi"/>
          <w:vertAlign w:val="superscript"/>
        </w:rPr>
        <w:footnoteReference w:id="224"/>
      </w:r>
      <w:r w:rsidRPr="009A539C">
        <w:rPr>
          <w:rFonts w:cstheme="minorHAnsi"/>
        </w:rPr>
        <w:t>) ou</w:t>
      </w:r>
      <w:r w:rsidR="008446D2" w:rsidRPr="009A539C">
        <w:rPr>
          <w:rFonts w:cstheme="minorHAnsi"/>
        </w:rPr>
        <w:t xml:space="preserve"> de outros fatores (4 </w:t>
      </w:r>
      <w:r w:rsidRPr="009A539C">
        <w:rPr>
          <w:rFonts w:cstheme="minorHAnsi"/>
          <w:vertAlign w:val="superscript"/>
        </w:rPr>
        <w:footnoteReference w:id="225"/>
      </w:r>
      <w:r w:rsidRPr="009A539C">
        <w:rPr>
          <w:rFonts w:cstheme="minorHAnsi"/>
        </w:rPr>
        <w:t>);</w:t>
      </w:r>
    </w:p>
    <w:p w14:paraId="740E1C44" w14:textId="77777777" w:rsidR="00C16BEB" w:rsidRPr="009A539C" w:rsidRDefault="00C16BEB" w:rsidP="00AF188D">
      <w:pPr>
        <w:numPr>
          <w:ilvl w:val="0"/>
          <w:numId w:val="36"/>
        </w:numPr>
        <w:tabs>
          <w:tab w:val="left" w:pos="851"/>
        </w:tabs>
        <w:spacing w:after="0" w:line="360" w:lineRule="auto"/>
        <w:ind w:left="1418" w:right="-1"/>
        <w:jc w:val="both"/>
        <w:rPr>
          <w:rFonts w:cs="Times New Roman"/>
        </w:rPr>
      </w:pPr>
      <w:r w:rsidRPr="009A539C">
        <w:rPr>
          <w:rFonts w:cs="Times New Roman"/>
        </w:rPr>
        <w:t>25 dias, com possibilidade de majoração em função do tempo de serviço</w:t>
      </w:r>
      <w:r w:rsidRPr="009A539C">
        <w:rPr>
          <w:rFonts w:cs="Times New Roman"/>
          <w:vertAlign w:val="superscript"/>
        </w:rPr>
        <w:footnoteReference w:id="226"/>
      </w:r>
      <w:r w:rsidRPr="009A539C">
        <w:rPr>
          <w:rFonts w:cs="Times New Roman"/>
        </w:rPr>
        <w:t>;</w:t>
      </w:r>
      <w:r w:rsidRPr="009A539C">
        <w:rPr>
          <w:rFonts w:cs="Times New Roman"/>
        </w:rPr>
        <w:tab/>
      </w:r>
    </w:p>
    <w:p w14:paraId="5C5F5A82" w14:textId="77777777" w:rsidR="00C16BEB" w:rsidRPr="009A539C" w:rsidRDefault="00C16BEB" w:rsidP="00AF188D">
      <w:pPr>
        <w:numPr>
          <w:ilvl w:val="0"/>
          <w:numId w:val="36"/>
        </w:numPr>
        <w:tabs>
          <w:tab w:val="left" w:pos="851"/>
        </w:tabs>
        <w:spacing w:after="0" w:line="360" w:lineRule="auto"/>
        <w:ind w:left="1418" w:right="-1"/>
        <w:jc w:val="both"/>
        <w:rPr>
          <w:rFonts w:cs="Times New Roman"/>
        </w:rPr>
      </w:pPr>
      <w:r w:rsidRPr="009A539C">
        <w:rPr>
          <w:rFonts w:cs="Times New Roman"/>
        </w:rPr>
        <w:t>período  mínimo  de férias de 23 ou 25 dias, com a possibilidade de  aumento em função de idade e assiduidade, com conjuga</w:t>
      </w:r>
      <w:r w:rsidR="005B5D1C" w:rsidRPr="009A539C">
        <w:rPr>
          <w:rFonts w:cs="Times New Roman"/>
        </w:rPr>
        <w:t>ções variadas e, no limite, 26</w:t>
      </w:r>
      <w:r w:rsidRPr="009A539C">
        <w:rPr>
          <w:rFonts w:cs="Times New Roman"/>
          <w:vertAlign w:val="superscript"/>
        </w:rPr>
        <w:footnoteReference w:id="227"/>
      </w:r>
      <w:r w:rsidRPr="009A539C">
        <w:rPr>
          <w:rFonts w:cs="Times New Roman"/>
        </w:rPr>
        <w:t xml:space="preserve"> e 29</w:t>
      </w:r>
      <w:r w:rsidRPr="009A539C">
        <w:rPr>
          <w:rFonts w:cs="Times New Roman"/>
          <w:vertAlign w:val="superscript"/>
        </w:rPr>
        <w:footnoteReference w:id="228"/>
      </w:r>
      <w:r w:rsidR="005B5D1C" w:rsidRPr="009A539C">
        <w:rPr>
          <w:rFonts w:cs="Times New Roman"/>
        </w:rPr>
        <w:t xml:space="preserve"> dias de férias anuais</w:t>
      </w:r>
      <w:r w:rsidRPr="009A539C">
        <w:rPr>
          <w:rFonts w:cs="Times New Roman"/>
        </w:rPr>
        <w:t>; respetivamente</w:t>
      </w:r>
      <w:r w:rsidR="00F23A7A" w:rsidRPr="009A539C">
        <w:rPr>
          <w:rFonts w:cs="Times New Roman"/>
        </w:rPr>
        <w:t>;</w:t>
      </w:r>
    </w:p>
    <w:p w14:paraId="5120062A" w14:textId="77777777" w:rsidR="00C16BEB" w:rsidRPr="009A539C" w:rsidRDefault="00F23A7A" w:rsidP="00AF188D">
      <w:pPr>
        <w:numPr>
          <w:ilvl w:val="0"/>
          <w:numId w:val="36"/>
        </w:numPr>
        <w:tabs>
          <w:tab w:val="left" w:pos="851"/>
        </w:tabs>
        <w:spacing w:after="0" w:line="360" w:lineRule="auto"/>
        <w:ind w:left="1418" w:right="-1"/>
        <w:jc w:val="both"/>
        <w:rPr>
          <w:rFonts w:cstheme="minorHAnsi"/>
        </w:rPr>
      </w:pPr>
      <w:r w:rsidRPr="009A539C">
        <w:rPr>
          <w:rFonts w:cstheme="minorHAnsi"/>
        </w:rPr>
        <w:t xml:space="preserve">consagração de </w:t>
      </w:r>
      <w:r w:rsidR="00C16BEB" w:rsidRPr="009A539C">
        <w:rPr>
          <w:rFonts w:cstheme="minorHAnsi"/>
        </w:rPr>
        <w:t>acréscimos remuneratórios</w:t>
      </w:r>
      <w:r w:rsidR="00C16BEB" w:rsidRPr="009A539C">
        <w:rPr>
          <w:rFonts w:cstheme="minorHAnsi"/>
          <w:vertAlign w:val="superscript"/>
        </w:rPr>
        <w:footnoteReference w:id="229"/>
      </w:r>
      <w:r w:rsidR="00C16BEB" w:rsidRPr="009A539C">
        <w:rPr>
          <w:rFonts w:cstheme="minorHAnsi"/>
        </w:rPr>
        <w:t xml:space="preserve"> ou majorações em função do gozo de um período mínimo de férias em determinadas épocas do ano </w:t>
      </w:r>
      <w:r w:rsidR="00C16BEB" w:rsidRPr="009A539C">
        <w:rPr>
          <w:rFonts w:cstheme="minorHAnsi"/>
          <w:vertAlign w:val="superscript"/>
        </w:rPr>
        <w:footnoteReference w:id="230"/>
      </w:r>
      <w:r w:rsidR="00C16BEB" w:rsidRPr="009A539C">
        <w:rPr>
          <w:rFonts w:cstheme="minorHAnsi"/>
        </w:rPr>
        <w:t>.</w:t>
      </w:r>
    </w:p>
    <w:p w14:paraId="54996A66" w14:textId="77777777" w:rsidR="00C16BEB" w:rsidRPr="009A539C" w:rsidRDefault="00C16BEB" w:rsidP="00413A75">
      <w:pPr>
        <w:pStyle w:val="PargrafodaLista"/>
        <w:numPr>
          <w:ilvl w:val="0"/>
          <w:numId w:val="56"/>
        </w:numPr>
        <w:spacing w:before="240" w:after="0" w:line="360" w:lineRule="auto"/>
        <w:ind w:left="0" w:right="-1" w:firstLine="992"/>
        <w:jc w:val="both"/>
        <w:rPr>
          <w:rFonts w:cstheme="minorHAnsi"/>
        </w:rPr>
      </w:pPr>
      <w:r w:rsidRPr="009A539C">
        <w:rPr>
          <w:rFonts w:cstheme="minorHAnsi"/>
        </w:rPr>
        <w:t>Incluem-se no</w:t>
      </w:r>
      <w:r w:rsidR="00731440" w:rsidRPr="009A539C">
        <w:rPr>
          <w:rFonts w:cstheme="minorHAnsi"/>
        </w:rPr>
        <w:t xml:space="preserve"> quarto</w:t>
      </w:r>
      <w:r w:rsidR="00F23A7A" w:rsidRPr="009A539C">
        <w:rPr>
          <w:rFonts w:cstheme="minorHAnsi"/>
        </w:rPr>
        <w:t>, e último</w:t>
      </w:r>
      <w:r w:rsidR="00731440" w:rsidRPr="009A539C">
        <w:rPr>
          <w:rFonts w:cstheme="minorHAnsi"/>
        </w:rPr>
        <w:t>,</w:t>
      </w:r>
      <w:r w:rsidR="00F23A7A" w:rsidRPr="009A539C">
        <w:rPr>
          <w:rFonts w:cstheme="minorHAnsi"/>
        </w:rPr>
        <w:t xml:space="preserve"> </w:t>
      </w:r>
      <w:r w:rsidR="00731440" w:rsidRPr="009A539C">
        <w:rPr>
          <w:rFonts w:cstheme="minorHAnsi"/>
        </w:rPr>
        <w:t>grupo</w:t>
      </w:r>
      <w:r w:rsidR="00F23A7A" w:rsidRPr="009A539C">
        <w:rPr>
          <w:rFonts w:cstheme="minorHAnsi"/>
        </w:rPr>
        <w:t xml:space="preserve"> </w:t>
      </w:r>
      <w:r w:rsidRPr="009A539C">
        <w:rPr>
          <w:rFonts w:cstheme="minorHAnsi"/>
        </w:rPr>
        <w:t>as convenções (32) que consagram um período fixo mínimo (de 22 dias úteis ou superior) e uma majoração variável em função da assiduidade:</w:t>
      </w:r>
    </w:p>
    <w:p w14:paraId="1C93AF89" w14:textId="77777777" w:rsidR="00C16BEB" w:rsidRPr="009A539C" w:rsidRDefault="00C16BEB" w:rsidP="00AF188D">
      <w:pPr>
        <w:numPr>
          <w:ilvl w:val="0"/>
          <w:numId w:val="37"/>
        </w:numPr>
        <w:tabs>
          <w:tab w:val="left" w:pos="851"/>
        </w:tabs>
        <w:spacing w:after="0" w:line="360" w:lineRule="auto"/>
        <w:ind w:left="1418" w:right="-1"/>
        <w:jc w:val="both"/>
        <w:rPr>
          <w:rFonts w:cstheme="minorHAnsi"/>
        </w:rPr>
      </w:pPr>
      <w:r w:rsidRPr="009A539C">
        <w:rPr>
          <w:rFonts w:cstheme="minorHAnsi"/>
        </w:rPr>
        <w:t>22 dias, com possibilidade de majoração, isolada ou conjuntamente com outros fatores, em funç</w:t>
      </w:r>
      <w:r w:rsidR="008446D2" w:rsidRPr="009A539C">
        <w:rPr>
          <w:rFonts w:cstheme="minorHAnsi"/>
        </w:rPr>
        <w:t>ão da assiduidade (25</w:t>
      </w:r>
      <w:r w:rsidR="001A6E16" w:rsidRPr="009A539C">
        <w:rPr>
          <w:rFonts w:cstheme="minorHAnsi"/>
        </w:rPr>
        <w:t xml:space="preserve"> convenções</w:t>
      </w:r>
      <w:r w:rsidR="001A6E16" w:rsidRPr="009A539C">
        <w:rPr>
          <w:rFonts w:cstheme="minorHAnsi"/>
          <w:vertAlign w:val="superscript"/>
        </w:rPr>
        <w:t xml:space="preserve"> </w:t>
      </w:r>
      <w:r w:rsidRPr="009A539C">
        <w:rPr>
          <w:rFonts w:cstheme="minorHAnsi"/>
          <w:vertAlign w:val="superscript"/>
        </w:rPr>
        <w:footnoteReference w:id="231"/>
      </w:r>
      <w:r w:rsidRPr="009A539C">
        <w:rPr>
          <w:rFonts w:cstheme="minorHAnsi"/>
        </w:rPr>
        <w:t>);</w:t>
      </w:r>
    </w:p>
    <w:p w14:paraId="68C1E47F" w14:textId="77777777" w:rsidR="00C16BEB" w:rsidRPr="009A539C" w:rsidRDefault="008446D2" w:rsidP="00AF188D">
      <w:pPr>
        <w:numPr>
          <w:ilvl w:val="0"/>
          <w:numId w:val="37"/>
        </w:numPr>
        <w:tabs>
          <w:tab w:val="left" w:pos="851"/>
        </w:tabs>
        <w:spacing w:after="0" w:line="360" w:lineRule="auto"/>
        <w:ind w:left="1418" w:right="-1"/>
        <w:jc w:val="both"/>
        <w:rPr>
          <w:rFonts w:cstheme="minorHAnsi"/>
        </w:rPr>
      </w:pPr>
      <w:r w:rsidRPr="009A539C">
        <w:rPr>
          <w:rFonts w:cstheme="minorHAnsi"/>
        </w:rPr>
        <w:t xml:space="preserve"> </w:t>
      </w:r>
      <w:r w:rsidR="00C16BEB" w:rsidRPr="009A539C">
        <w:rPr>
          <w:rFonts w:cstheme="minorHAnsi"/>
        </w:rPr>
        <w:t>25 dias, com possibilidade de majoração, isolada ou conjuntamente com outros fatores, em função da assiduidade</w:t>
      </w:r>
      <w:r w:rsidRPr="009A539C">
        <w:rPr>
          <w:rFonts w:cstheme="minorHAnsi"/>
        </w:rPr>
        <w:t xml:space="preserve"> (1</w:t>
      </w:r>
      <w:r w:rsidR="00C16BEB" w:rsidRPr="009A539C">
        <w:rPr>
          <w:rFonts w:cstheme="minorHAnsi"/>
        </w:rPr>
        <w:t xml:space="preserve"> </w:t>
      </w:r>
      <w:r w:rsidR="001A6E16" w:rsidRPr="009A539C">
        <w:rPr>
          <w:rFonts w:cstheme="minorHAnsi"/>
        </w:rPr>
        <w:t>convenção</w:t>
      </w:r>
      <w:r w:rsidR="001A6E16" w:rsidRPr="009A539C">
        <w:rPr>
          <w:rFonts w:cstheme="minorHAnsi"/>
          <w:vertAlign w:val="superscript"/>
        </w:rPr>
        <w:t xml:space="preserve"> </w:t>
      </w:r>
      <w:r w:rsidR="00C16BEB" w:rsidRPr="009A539C">
        <w:rPr>
          <w:rFonts w:cstheme="minorHAnsi"/>
          <w:vertAlign w:val="superscript"/>
        </w:rPr>
        <w:footnoteReference w:id="232"/>
      </w:r>
      <w:r w:rsidRPr="009A539C">
        <w:rPr>
          <w:rFonts w:cstheme="minorHAnsi"/>
        </w:rPr>
        <w:t>)</w:t>
      </w:r>
      <w:r w:rsidR="00731440" w:rsidRPr="009A539C">
        <w:rPr>
          <w:rFonts w:cstheme="minorHAnsi"/>
        </w:rPr>
        <w:t>;</w:t>
      </w:r>
    </w:p>
    <w:p w14:paraId="7167D225" w14:textId="77777777" w:rsidR="00C16BEB" w:rsidRPr="009A539C" w:rsidRDefault="00335A5B" w:rsidP="00AF188D">
      <w:pPr>
        <w:numPr>
          <w:ilvl w:val="0"/>
          <w:numId w:val="37"/>
        </w:numPr>
        <w:tabs>
          <w:tab w:val="left" w:pos="851"/>
        </w:tabs>
        <w:spacing w:after="0" w:line="360" w:lineRule="auto"/>
        <w:ind w:left="1418" w:right="-1"/>
        <w:jc w:val="both"/>
        <w:rPr>
          <w:rFonts w:cstheme="minorHAnsi"/>
        </w:rPr>
      </w:pPr>
      <w:r w:rsidRPr="009A539C">
        <w:rPr>
          <w:rFonts w:cstheme="minorHAnsi"/>
        </w:rPr>
        <w:t>A</w:t>
      </w:r>
      <w:r w:rsidR="00C16BEB" w:rsidRPr="009A539C">
        <w:rPr>
          <w:rFonts w:cstheme="minorHAnsi"/>
        </w:rPr>
        <w:t xml:space="preserve">té 26 dias, com possibilidade de majoração, isolada ou conjuntamente com outros fatores, em função da assiduidade </w:t>
      </w:r>
      <w:r w:rsidR="00731440" w:rsidRPr="009A539C">
        <w:rPr>
          <w:rFonts w:cstheme="minorHAnsi"/>
        </w:rPr>
        <w:t>(1</w:t>
      </w:r>
      <w:r w:rsidR="001A6E16" w:rsidRPr="009A539C">
        <w:rPr>
          <w:rFonts w:cstheme="minorHAnsi"/>
        </w:rPr>
        <w:t xml:space="preserve"> convenção</w:t>
      </w:r>
      <w:r w:rsidR="001A6E16" w:rsidRPr="009A539C">
        <w:rPr>
          <w:rFonts w:cstheme="minorHAnsi"/>
          <w:vertAlign w:val="superscript"/>
        </w:rPr>
        <w:t xml:space="preserve"> </w:t>
      </w:r>
      <w:r w:rsidR="00C16BEB" w:rsidRPr="009A539C">
        <w:rPr>
          <w:rFonts w:cstheme="minorHAnsi"/>
          <w:vertAlign w:val="superscript"/>
        </w:rPr>
        <w:footnoteReference w:id="233"/>
      </w:r>
      <w:r w:rsidR="00731440" w:rsidRPr="009A539C">
        <w:rPr>
          <w:rFonts w:cstheme="minorHAnsi"/>
        </w:rPr>
        <w:t>);</w:t>
      </w:r>
    </w:p>
    <w:p w14:paraId="36F5D8DE" w14:textId="77777777" w:rsidR="00C16BEB" w:rsidRPr="009A539C" w:rsidRDefault="00C16BEB" w:rsidP="00AF188D">
      <w:pPr>
        <w:numPr>
          <w:ilvl w:val="0"/>
          <w:numId w:val="37"/>
        </w:numPr>
        <w:tabs>
          <w:tab w:val="left" w:pos="851"/>
        </w:tabs>
        <w:spacing w:after="0" w:line="360" w:lineRule="auto"/>
        <w:ind w:left="1418" w:right="-1"/>
        <w:jc w:val="both"/>
        <w:rPr>
          <w:rFonts w:cstheme="minorHAnsi"/>
        </w:rPr>
      </w:pPr>
      <w:r w:rsidRPr="009A539C">
        <w:rPr>
          <w:rFonts w:cstheme="minorHAnsi"/>
        </w:rPr>
        <w:t>24 dias, com possibilidade de majoração, isolada ou conjuntamente com outros fatores, em função da assiduidade (3 convenções</w:t>
      </w:r>
      <w:r w:rsidRPr="009A539C">
        <w:rPr>
          <w:rFonts w:cstheme="minorHAnsi"/>
          <w:vertAlign w:val="superscript"/>
        </w:rPr>
        <w:footnoteReference w:id="234"/>
      </w:r>
      <w:r w:rsidRPr="009A539C">
        <w:rPr>
          <w:rFonts w:cstheme="minorHAnsi"/>
        </w:rPr>
        <w:t>).</w:t>
      </w:r>
    </w:p>
    <w:p w14:paraId="108D8735" w14:textId="77777777" w:rsidR="0032160B" w:rsidRPr="009A539C" w:rsidRDefault="0032160B" w:rsidP="00FE4D53">
      <w:pPr>
        <w:spacing w:line="360" w:lineRule="auto"/>
        <w:ind w:left="1418" w:right="-1"/>
        <w:rPr>
          <w:rFonts w:ascii="Calibri" w:hAnsi="Calibri" w:cs="Calibri"/>
        </w:rPr>
      </w:pPr>
    </w:p>
    <w:p w14:paraId="2088A577" w14:textId="77777777" w:rsidR="00A14CFC" w:rsidRPr="009A539C" w:rsidRDefault="00A14CFC" w:rsidP="00FE4D53">
      <w:pPr>
        <w:spacing w:line="360" w:lineRule="auto"/>
        <w:ind w:left="1418" w:right="-1"/>
        <w:rPr>
          <w:rFonts w:ascii="Calibri" w:hAnsi="Calibri" w:cs="Calibri"/>
        </w:rPr>
      </w:pPr>
    </w:p>
    <w:p w14:paraId="35409C53" w14:textId="77777777" w:rsidR="00A14CFC" w:rsidRPr="009A539C" w:rsidRDefault="00A14CFC" w:rsidP="00B90788">
      <w:pPr>
        <w:spacing w:line="360" w:lineRule="auto"/>
        <w:ind w:left="1560" w:right="-1"/>
        <w:rPr>
          <w:rFonts w:ascii="Calibri" w:hAnsi="Calibri" w:cs="Calibri"/>
        </w:rPr>
      </w:pPr>
    </w:p>
    <w:p w14:paraId="0AB9EAAE" w14:textId="77777777" w:rsidR="00731440" w:rsidRPr="009A539C" w:rsidRDefault="00731440">
      <w:pPr>
        <w:rPr>
          <w:rFonts w:ascii="Calibri" w:hAnsi="Calibri" w:cs="Calibri"/>
        </w:rPr>
      </w:pPr>
      <w:r w:rsidRPr="009A539C">
        <w:rPr>
          <w:rFonts w:ascii="Calibri" w:hAnsi="Calibri" w:cs="Calibri"/>
        </w:rPr>
        <w:br w:type="page"/>
      </w:r>
    </w:p>
    <w:p w14:paraId="196CD67A" w14:textId="77777777" w:rsidR="00731440" w:rsidRPr="009A539C" w:rsidRDefault="00731440" w:rsidP="00B90788">
      <w:pPr>
        <w:spacing w:line="360" w:lineRule="auto"/>
        <w:ind w:left="1560" w:right="-1"/>
        <w:rPr>
          <w:rFonts w:ascii="Calibri" w:hAnsi="Calibri" w:cs="Calibri"/>
        </w:rPr>
      </w:pPr>
    </w:p>
    <w:p w14:paraId="7F6CC1CF" w14:textId="77777777" w:rsidR="0032160B" w:rsidRPr="009A539C" w:rsidRDefault="000F0BA3" w:rsidP="00F364BB">
      <w:pPr>
        <w:pStyle w:val="PargrafodaLista"/>
        <w:numPr>
          <w:ilvl w:val="3"/>
          <w:numId w:val="1"/>
        </w:numPr>
        <w:spacing w:line="360" w:lineRule="auto"/>
        <w:ind w:left="1418" w:right="-1"/>
        <w:outlineLvl w:val="3"/>
        <w:rPr>
          <w:rFonts w:ascii="Calibri" w:hAnsi="Calibri" w:cs="Calibri"/>
        </w:rPr>
      </w:pPr>
      <w:bookmarkStart w:id="628" w:name="_Toc45535713"/>
      <w:r w:rsidRPr="009A539C">
        <w:rPr>
          <w:rFonts w:ascii="Calibri" w:hAnsi="Calibri" w:cs="Calibri"/>
        </w:rPr>
        <w:t>Organização dos tempos de trabalho</w:t>
      </w:r>
      <w:bookmarkEnd w:id="628"/>
    </w:p>
    <w:p w14:paraId="0A542AF2" w14:textId="7E67EC88" w:rsidR="007452A0" w:rsidRPr="009A539C" w:rsidRDefault="00FE4D53" w:rsidP="00AF188D">
      <w:pPr>
        <w:pStyle w:val="Cabealho4"/>
        <w:numPr>
          <w:ilvl w:val="0"/>
          <w:numId w:val="63"/>
        </w:numPr>
        <w:rPr>
          <w:rFonts w:asciiTheme="minorHAnsi" w:hAnsiTheme="minorHAnsi" w:cstheme="minorHAnsi"/>
          <w:b w:val="0"/>
          <w:bCs w:val="0"/>
          <w:iCs w:val="0"/>
          <w:color w:val="auto"/>
        </w:rPr>
      </w:pPr>
      <w:bookmarkStart w:id="629" w:name="_Toc45535714"/>
      <w:r w:rsidRPr="009A539C">
        <w:rPr>
          <w:rFonts w:asciiTheme="minorHAnsi" w:hAnsiTheme="minorHAnsi" w:cstheme="minorHAnsi"/>
          <w:b w:val="0"/>
          <w:bCs w:val="0"/>
          <w:iCs w:val="0"/>
          <w:color w:val="auto"/>
        </w:rPr>
        <w:t>Nota prévia</w:t>
      </w:r>
      <w:bookmarkEnd w:id="629"/>
    </w:p>
    <w:p w14:paraId="5EF5C2AB" w14:textId="77777777" w:rsidR="00642AA5" w:rsidRPr="009A539C" w:rsidRDefault="00642AA5" w:rsidP="00642AA5">
      <w:pPr>
        <w:ind w:left="993"/>
        <w:rPr>
          <w:rFonts w:ascii="Calibri" w:eastAsia="Calibri" w:hAnsi="Calibri" w:cstheme="minorHAnsi"/>
        </w:rPr>
      </w:pPr>
    </w:p>
    <w:p w14:paraId="5A004C6C" w14:textId="35CEF0B9" w:rsidR="007452A0" w:rsidRPr="009A539C" w:rsidRDefault="007452A0" w:rsidP="006E42F0">
      <w:pPr>
        <w:spacing w:line="360" w:lineRule="auto"/>
        <w:ind w:firstLine="426"/>
        <w:jc w:val="both"/>
        <w:rPr>
          <w:rFonts w:ascii="Calibri" w:eastAsia="Calibri" w:hAnsi="Calibri" w:cstheme="minorHAnsi"/>
        </w:rPr>
      </w:pPr>
      <w:r w:rsidRPr="009A539C">
        <w:rPr>
          <w:rFonts w:ascii="Calibri" w:eastAsia="Calibri" w:hAnsi="Calibri" w:cstheme="minorHAnsi"/>
        </w:rPr>
        <w:t xml:space="preserve">A propósito da organização do tempo de trabalho, analisa-se, pela quinta vez consecutiva, os três regimes de gestão flexível regulados no Código do Trabalho, aí disciplinados como mecanismos de modulação do Período Normal de Trabalho (PNT): adaptabilidade (arts. 204.º a 207.º), banco de horas (arts. 208.º a 208.º-B) e horário concentrado (art. 209.º). deve no </w:t>
      </w:r>
    </w:p>
    <w:p w14:paraId="5880A226" w14:textId="77777777" w:rsidR="007452A0" w:rsidRPr="009A539C" w:rsidRDefault="007452A0" w:rsidP="006E42F0">
      <w:pPr>
        <w:spacing w:line="360" w:lineRule="auto"/>
        <w:ind w:firstLine="426"/>
        <w:jc w:val="both"/>
        <w:rPr>
          <w:rFonts w:eastAsia="Calibri" w:cstheme="minorHAnsi"/>
        </w:rPr>
      </w:pPr>
      <w:r w:rsidRPr="009A539C">
        <w:rPr>
          <w:rFonts w:eastAsia="Calibri" w:cstheme="minorHAnsi"/>
        </w:rPr>
        <w:t>Para o efeito, segue-se a abordagem adotada em edições anteriores, começando pela qualificação das soluções convencionais dentro da tipologia legal (</w:t>
      </w:r>
      <w:r w:rsidR="00BD0E05" w:rsidRPr="009A539C">
        <w:rPr>
          <w:rFonts w:eastAsia="Calibri" w:cstheme="minorHAnsi"/>
        </w:rPr>
        <w:t xml:space="preserve">independentemente da </w:t>
      </w:r>
      <w:r w:rsidRPr="009A539C">
        <w:rPr>
          <w:rFonts w:eastAsia="Calibri" w:cstheme="minorHAnsi"/>
        </w:rPr>
        <w:t>designação adotada nas diferentes convenções)</w:t>
      </w:r>
      <w:r w:rsidRPr="009A539C">
        <w:rPr>
          <w:rFonts w:eastAsia="Calibri" w:cstheme="minorHAnsi"/>
          <w:vertAlign w:val="superscript"/>
        </w:rPr>
        <w:footnoteReference w:id="235"/>
      </w:r>
      <w:r w:rsidRPr="009A539C">
        <w:rPr>
          <w:rFonts w:eastAsia="Calibri" w:cstheme="minorHAnsi"/>
        </w:rPr>
        <w:t xml:space="preserve">. Recordando o essencial </w:t>
      </w:r>
      <w:r w:rsidRPr="009A539C">
        <w:rPr>
          <w:rFonts w:ascii="Calibri" w:hAnsi="Calibri" w:cs="Times New Roman"/>
          <w:sz w:val="23"/>
          <w:szCs w:val="23"/>
        </w:rPr>
        <w:t>assumiu-se que:</w:t>
      </w:r>
    </w:p>
    <w:p w14:paraId="59D9809E" w14:textId="77777777" w:rsidR="007452A0" w:rsidRPr="009A539C" w:rsidRDefault="007452A0" w:rsidP="006E42F0">
      <w:pPr>
        <w:spacing w:line="360" w:lineRule="auto"/>
        <w:ind w:left="851" w:hanging="425"/>
        <w:jc w:val="both"/>
        <w:rPr>
          <w:rFonts w:eastAsia="Calibri" w:cstheme="minorHAnsi"/>
          <w:lang w:eastAsia="pt-PT"/>
        </w:rPr>
      </w:pPr>
      <w:r w:rsidRPr="009A539C">
        <w:rPr>
          <w:rFonts w:eastAsia="Calibri" w:cstheme="minorHAnsi"/>
          <w:lang w:eastAsia="pt-PT"/>
        </w:rPr>
        <w:t>–</w:t>
      </w:r>
      <w:r w:rsidRPr="009A539C">
        <w:rPr>
          <w:rFonts w:eastAsia="Calibri" w:cstheme="minorHAnsi"/>
          <w:lang w:eastAsia="pt-PT"/>
        </w:rPr>
        <w:tab/>
        <w:t>o regime de adaptabilidade envolve a definição de vários horários de trabalho aplicáveis sucessivamente, no decurso de determinado período de referência, aos mesmos trabalhadores, com diferente duração do trabalho diário e semanal; os horários articulam-se de modo a assegurar que, no período de referência estabelecido, seja cumprido, em termos médios, o PNT;</w:t>
      </w:r>
    </w:p>
    <w:p w14:paraId="08280E0F" w14:textId="77777777" w:rsidR="007452A0" w:rsidRPr="009A539C" w:rsidRDefault="007452A0" w:rsidP="006E42F0">
      <w:pPr>
        <w:spacing w:line="360" w:lineRule="auto"/>
        <w:ind w:left="851" w:hanging="425"/>
        <w:jc w:val="both"/>
        <w:rPr>
          <w:rFonts w:eastAsia="Calibri" w:cstheme="minorHAnsi"/>
          <w:lang w:eastAsia="pt-PT"/>
        </w:rPr>
      </w:pPr>
      <w:r w:rsidRPr="009A539C">
        <w:rPr>
          <w:rFonts w:eastAsia="Calibri" w:cstheme="minorHAnsi"/>
          <w:lang w:eastAsia="pt-PT"/>
        </w:rPr>
        <w:t>–</w:t>
      </w:r>
      <w:r w:rsidRPr="009A539C">
        <w:rPr>
          <w:rFonts w:eastAsia="Calibri" w:cstheme="minorHAnsi"/>
          <w:lang w:eastAsia="pt-PT"/>
        </w:rPr>
        <w:tab/>
        <w:t>o regime de banco de horas não determina a definição de horários diferentes, permitindo a prestação de algumas horas de trabalho para além das cobertas pelo horário praticado, sem que esse trabalho seja qualificado como suplementar; as horas em acréscimo são compensadas em tempo e/ou em dinheiro, ou seja, mediante (i) a redução do tempo de trabalho a executar noutros dias, (ii) o aumento de dias de férias, (iii) o pagamento das horas não abrangidas pelo horário de trabalho ou (iv) a conjugação de algumas ou de todas as alternativas referidas;</w:t>
      </w:r>
    </w:p>
    <w:p w14:paraId="03B01511" w14:textId="77777777" w:rsidR="007452A0" w:rsidRPr="009A539C" w:rsidRDefault="007452A0" w:rsidP="006E42F0">
      <w:pPr>
        <w:spacing w:line="360" w:lineRule="auto"/>
        <w:ind w:left="851" w:hanging="425"/>
        <w:jc w:val="both"/>
        <w:rPr>
          <w:rFonts w:eastAsia="Calibri" w:cs="Calibri"/>
          <w:lang w:eastAsia="pt-PT"/>
        </w:rPr>
      </w:pPr>
      <w:r w:rsidRPr="009A539C">
        <w:rPr>
          <w:rFonts w:eastAsia="Calibri" w:cstheme="minorHAnsi"/>
          <w:lang w:eastAsia="pt-PT"/>
        </w:rPr>
        <w:t>–</w:t>
      </w:r>
      <w:r w:rsidRPr="009A539C">
        <w:rPr>
          <w:rFonts w:eastAsia="Calibri" w:cstheme="minorHAnsi"/>
          <w:lang w:eastAsia="pt-PT"/>
        </w:rPr>
        <w:tab/>
        <w:t>o regime de horário concentrado corresponde a um modelo de definição do horário de trabalho nos termos do qual tem lugar a redução do número de dias em que tem lugar a prestação de trabalho conjugada com o estabelecimento de uma jornada diária que excede o PNT diário estabelecido; o regime contempla duas modalidades, uma em que o PNT semanal é concentrado até um máximo de quatro dias de trabalho e outra (só admitida quando prevista em IRCT) em que o horário pode conter até três dias de</w:t>
      </w:r>
      <w:r w:rsidRPr="009A539C">
        <w:rPr>
          <w:rFonts w:eastAsia="Calibri" w:cs="Calibri"/>
          <w:lang w:eastAsia="pt-PT"/>
        </w:rPr>
        <w:t xml:space="preserve"> trabalho consecutivos, seguidos no mínimo de dois dias de descanso, devendo a duração do PNT semanal ser assegurada, em termos médios, num período de referência de 45 dias.</w:t>
      </w:r>
    </w:p>
    <w:p w14:paraId="1524E8D2" w14:textId="77777777" w:rsidR="007452A0" w:rsidRPr="009A539C" w:rsidRDefault="007452A0" w:rsidP="006E42F0">
      <w:pPr>
        <w:spacing w:line="360" w:lineRule="auto"/>
        <w:ind w:firstLine="426"/>
        <w:jc w:val="both"/>
        <w:rPr>
          <w:rFonts w:eastAsia="Calibri" w:cstheme="minorHAnsi"/>
          <w:color w:val="FF0000"/>
          <w:lang w:eastAsia="pt-PT"/>
        </w:rPr>
      </w:pPr>
      <w:r w:rsidRPr="009A539C">
        <w:rPr>
          <w:rFonts w:eastAsia="Calibri" w:cstheme="minorHAnsi"/>
          <w:lang w:eastAsia="pt-PT"/>
        </w:rPr>
        <w:t>O regime de banco de horas foi objeto de alteração legislativa em 2019 pela Lei n.º 93/2019, de 4 de setembro, que eliminou o regime de banco de horas individual e reviu o denominado banco de horas grupal, mantendo-se a possibilidade de extensão a trabalhadores não originariamente abrangidos</w:t>
      </w:r>
      <w:r w:rsidRPr="009A539C">
        <w:rPr>
          <w:rFonts w:eastAsia="Calibri" w:cstheme="minorHAnsi"/>
          <w:color w:val="FF0000"/>
          <w:lang w:eastAsia="pt-PT"/>
        </w:rPr>
        <w:t>.</w:t>
      </w:r>
    </w:p>
    <w:p w14:paraId="44048A3E" w14:textId="77777777" w:rsidR="007452A0" w:rsidRPr="009A539C" w:rsidRDefault="007452A0" w:rsidP="006E42F0">
      <w:pPr>
        <w:spacing w:line="360" w:lineRule="auto"/>
        <w:ind w:firstLine="426"/>
        <w:jc w:val="both"/>
        <w:rPr>
          <w:rFonts w:eastAsia="Calibri" w:cstheme="minorHAnsi"/>
        </w:rPr>
      </w:pPr>
      <w:r w:rsidRPr="009A539C">
        <w:rPr>
          <w:rFonts w:eastAsia="Calibri" w:cstheme="minorHAnsi"/>
          <w:b/>
          <w:lang w:eastAsia="pt-PT"/>
        </w:rPr>
        <w:t xml:space="preserve">II. </w:t>
      </w:r>
      <w:r w:rsidRPr="009A539C">
        <w:rPr>
          <w:rFonts w:eastAsia="Calibri" w:cstheme="minorHAnsi"/>
          <w:lang w:eastAsia="pt-PT"/>
        </w:rPr>
        <w:t>Após o estudo d</w:t>
      </w:r>
      <w:r w:rsidRPr="009A539C">
        <w:rPr>
          <w:rFonts w:eastAsia="Calibri" w:cstheme="minorHAnsi"/>
        </w:rPr>
        <w:t>os regimes jurídicos de flexibilidade do tempo de trabalho, serão abordadas outras formas de gestão dos tempos de trabalho que as convenções coletivas disciplinam. São eles: a prevenção ou disponibilidade, o trabalho suplementar, a flexibilização do tempo de trabalho no interesse do trabalhador e, por fim, a isenção de horário de trabalho.</w:t>
      </w:r>
    </w:p>
    <w:p w14:paraId="7D385113" w14:textId="77777777" w:rsidR="007452A0" w:rsidRPr="009A539C" w:rsidRDefault="007452A0" w:rsidP="006E42F0">
      <w:pPr>
        <w:spacing w:line="360" w:lineRule="auto"/>
        <w:ind w:firstLine="426"/>
        <w:jc w:val="both"/>
        <w:rPr>
          <w:rFonts w:eastAsia="Calibri" w:cstheme="minorHAnsi"/>
        </w:rPr>
      </w:pPr>
      <w:r w:rsidRPr="009A539C">
        <w:rPr>
          <w:rFonts w:eastAsia="Calibri" w:cstheme="minorHAnsi"/>
        </w:rPr>
        <w:t>Ao longo deste ponto, e sempre que tal se afigure relevante, far-se-á o contraponto com as observações formuladas nos Relatórios anteriores.</w:t>
      </w:r>
    </w:p>
    <w:p w14:paraId="748B3CF6" w14:textId="0A868B57" w:rsidR="007452A0" w:rsidRPr="009A539C" w:rsidRDefault="007452A0" w:rsidP="006E42F0">
      <w:pPr>
        <w:spacing w:line="360" w:lineRule="auto"/>
        <w:ind w:firstLine="426"/>
        <w:jc w:val="both"/>
        <w:rPr>
          <w:rFonts w:ascii="Calibri" w:hAnsi="Calibri" w:cs="Calibri"/>
        </w:rPr>
      </w:pPr>
      <w:bookmarkStart w:id="630" w:name="_Toc42511766"/>
      <w:bookmarkStart w:id="631" w:name="_Toc42514530"/>
      <w:r w:rsidRPr="009A539C">
        <w:rPr>
          <w:rFonts w:eastAsia="Calibri" w:cstheme="minorHAnsi"/>
          <w:b/>
        </w:rPr>
        <w:t>III.</w:t>
      </w:r>
      <w:r w:rsidRPr="009A539C">
        <w:rPr>
          <w:rFonts w:eastAsia="Calibri" w:cstheme="minorHAnsi"/>
        </w:rPr>
        <w:t xml:space="preserve"> Na compreensão do desenho convencional </w:t>
      </w:r>
      <w:r w:rsidR="00534497" w:rsidRPr="009A539C">
        <w:rPr>
          <w:rFonts w:eastAsia="Calibri" w:cstheme="minorHAnsi"/>
        </w:rPr>
        <w:t>recordamos</w:t>
      </w:r>
      <w:r w:rsidRPr="009A539C">
        <w:rPr>
          <w:rFonts w:eastAsia="Calibri" w:cstheme="minorHAnsi"/>
        </w:rPr>
        <w:t>, ainda, dois aspetos</w:t>
      </w:r>
      <w:r w:rsidR="00EB05E0" w:rsidRPr="009A539C">
        <w:rPr>
          <w:rFonts w:eastAsia="Calibri" w:cstheme="minorHAnsi"/>
        </w:rPr>
        <w:t xml:space="preserve"> </w:t>
      </w:r>
      <w:r w:rsidR="00534497" w:rsidRPr="009A539C">
        <w:rPr>
          <w:rFonts w:eastAsia="Calibri" w:cstheme="minorHAnsi"/>
        </w:rPr>
        <w:t xml:space="preserve"> </w:t>
      </w:r>
      <w:r w:rsidRPr="009A539C">
        <w:rPr>
          <w:rFonts w:eastAsia="Calibri" w:cstheme="minorHAnsi"/>
        </w:rPr>
        <w:t>encontrados</w:t>
      </w:r>
      <w:r w:rsidR="00EB05E0" w:rsidRPr="009A539C">
        <w:rPr>
          <w:rFonts w:eastAsia="Calibri" w:cstheme="minorHAnsi"/>
        </w:rPr>
        <w:t xml:space="preserve"> </w:t>
      </w:r>
      <w:r w:rsidRPr="009A539C">
        <w:rPr>
          <w:rFonts w:eastAsia="Calibri" w:cstheme="minorHAnsi"/>
        </w:rPr>
        <w:t xml:space="preserve">na negociação coletiva </w:t>
      </w:r>
      <w:r w:rsidR="00534497" w:rsidRPr="009A539C">
        <w:rPr>
          <w:rFonts w:eastAsia="Calibri" w:cstheme="minorHAnsi"/>
        </w:rPr>
        <w:t>e</w:t>
      </w:r>
      <w:r w:rsidRPr="009A539C">
        <w:rPr>
          <w:rFonts w:eastAsia="Calibri" w:cstheme="minorHAnsi"/>
        </w:rPr>
        <w:t xml:space="preserve"> </w:t>
      </w:r>
      <w:r w:rsidR="00EB05E0" w:rsidRPr="009A539C">
        <w:rPr>
          <w:rFonts w:eastAsia="Calibri" w:cstheme="minorHAnsi"/>
        </w:rPr>
        <w:t>conhecidos de</w:t>
      </w:r>
      <w:r w:rsidRPr="009A539C">
        <w:rPr>
          <w:rFonts w:eastAsia="Calibri" w:cstheme="minorHAnsi"/>
        </w:rPr>
        <w:t xml:space="preserve"> Relatórios </w:t>
      </w:r>
      <w:r w:rsidR="00534497" w:rsidRPr="009A539C">
        <w:rPr>
          <w:rFonts w:eastAsia="Calibri" w:cstheme="minorHAnsi"/>
        </w:rPr>
        <w:t>anteriores</w:t>
      </w:r>
      <w:r w:rsidRPr="009A539C">
        <w:rPr>
          <w:rFonts w:eastAsia="Calibri" w:cstheme="minorHAnsi"/>
        </w:rPr>
        <w:t xml:space="preserve">. Por um lado, no que toca à organização do tempo de trabalho, é comum a disciplina convencional estabelecer conexões estreitas entre as regras em matéria </w:t>
      </w:r>
      <w:r w:rsidRPr="009A539C">
        <w:rPr>
          <w:rFonts w:eastAsia="Calibri" w:cstheme="minorHAnsi"/>
          <w:lang w:eastAsia="pt-PT"/>
        </w:rPr>
        <w:t>de adaptabilidade e/ou do banco de horas e as que respeitam a outros instrumentos de gestão do tempo de trabalho, designadamente o trabalho suplementar. Esta articulação abrange, por vezes, a regulação do trabalho por turnos e do trabalho noturno. A</w:t>
      </w:r>
      <w:r w:rsidRPr="009A539C">
        <w:rPr>
          <w:rFonts w:eastAsia="Calibri" w:cs="Calibri"/>
          <w:lang w:eastAsia="pt-PT"/>
        </w:rPr>
        <w:t xml:space="preserve"> análise dos conteúdos convencionais irá, pontualmente, evidenciar estas conexões e modos de articulação. </w:t>
      </w:r>
      <w:r w:rsidRPr="009A539C">
        <w:rPr>
          <w:rFonts w:eastAsia="Calibri" w:cstheme="minorHAnsi"/>
          <w:lang w:eastAsia="pt-PT"/>
        </w:rPr>
        <w:t>Observa-se, por outro lado, alguma padronização de conteúdos e de soluções c</w:t>
      </w:r>
      <w:r w:rsidR="00295F4E" w:rsidRPr="009A539C">
        <w:rPr>
          <w:rFonts w:eastAsia="Calibri" w:cstheme="minorHAnsi"/>
          <w:lang w:eastAsia="pt-PT"/>
        </w:rPr>
        <w:t>onvencionadas, em função dos se</w:t>
      </w:r>
      <w:r w:rsidRPr="009A539C">
        <w:rPr>
          <w:rFonts w:eastAsia="Calibri" w:cstheme="minorHAnsi"/>
          <w:lang w:eastAsia="pt-PT"/>
        </w:rPr>
        <w:t>tores e dos sujeitos coletivos intervenientes.</w:t>
      </w:r>
      <w:bookmarkEnd w:id="630"/>
      <w:bookmarkEnd w:id="631"/>
    </w:p>
    <w:p w14:paraId="1CAE9B56" w14:textId="77777777" w:rsidR="007452A0" w:rsidRPr="009A539C" w:rsidRDefault="007452A0" w:rsidP="00642AA5">
      <w:pPr>
        <w:ind w:left="993"/>
        <w:rPr>
          <w:rFonts w:ascii="Calibri" w:hAnsi="Calibri" w:cs="Calibri"/>
        </w:rPr>
      </w:pPr>
    </w:p>
    <w:p w14:paraId="53D6C327" w14:textId="6F148CF1" w:rsidR="00F30D92" w:rsidRPr="009A539C" w:rsidRDefault="007452A0" w:rsidP="00AF188D">
      <w:pPr>
        <w:pStyle w:val="Cabealho4"/>
        <w:numPr>
          <w:ilvl w:val="0"/>
          <w:numId w:val="63"/>
        </w:numPr>
        <w:rPr>
          <w:rFonts w:asciiTheme="minorHAnsi" w:hAnsiTheme="minorHAnsi" w:cstheme="minorHAnsi"/>
          <w:b w:val="0"/>
          <w:bCs w:val="0"/>
          <w:iCs w:val="0"/>
          <w:color w:val="auto"/>
        </w:rPr>
      </w:pPr>
      <w:bookmarkStart w:id="632" w:name="_Toc7017701"/>
      <w:bookmarkStart w:id="633" w:name="_Toc15652501"/>
      <w:bookmarkStart w:id="634" w:name="_Toc42511767"/>
      <w:bookmarkStart w:id="635" w:name="_Toc42514531"/>
      <w:bookmarkStart w:id="636" w:name="_Toc45535715"/>
      <w:r w:rsidRPr="009A539C">
        <w:rPr>
          <w:rFonts w:asciiTheme="minorHAnsi" w:hAnsiTheme="minorHAnsi" w:cstheme="minorHAnsi"/>
          <w:b w:val="0"/>
          <w:bCs w:val="0"/>
          <w:iCs w:val="0"/>
          <w:color w:val="auto"/>
        </w:rPr>
        <w:t>Previsão de diferentes regimes</w:t>
      </w:r>
      <w:bookmarkEnd w:id="632"/>
      <w:bookmarkEnd w:id="633"/>
      <w:bookmarkEnd w:id="634"/>
      <w:bookmarkEnd w:id="635"/>
      <w:bookmarkEnd w:id="636"/>
    </w:p>
    <w:p w14:paraId="1A23F196" w14:textId="77777777" w:rsidR="00642AA5" w:rsidRPr="009A539C" w:rsidRDefault="00642AA5" w:rsidP="00B90788">
      <w:pPr>
        <w:keepLines/>
        <w:tabs>
          <w:tab w:val="left" w:pos="851"/>
        </w:tabs>
        <w:spacing w:before="120" w:after="240" w:line="360" w:lineRule="auto"/>
        <w:ind w:right="-1" w:firstLine="414"/>
        <w:jc w:val="both"/>
        <w:rPr>
          <w:rFonts w:eastAsia="Calibri" w:cstheme="minorHAnsi"/>
          <w:lang w:eastAsia="pt-PT"/>
        </w:rPr>
      </w:pPr>
    </w:p>
    <w:p w14:paraId="71097ED0" w14:textId="026FE800" w:rsidR="007452A0" w:rsidRPr="009A539C" w:rsidRDefault="007452A0" w:rsidP="006E42F0">
      <w:pPr>
        <w:keepLines/>
        <w:tabs>
          <w:tab w:val="left" w:pos="-3402"/>
        </w:tabs>
        <w:spacing w:before="120" w:after="240" w:line="360" w:lineRule="auto"/>
        <w:ind w:right="-1" w:firstLine="426"/>
        <w:jc w:val="both"/>
        <w:rPr>
          <w:rFonts w:eastAsia="Calibri" w:cstheme="minorHAnsi"/>
        </w:rPr>
      </w:pPr>
      <w:r w:rsidRPr="009A539C">
        <w:rPr>
          <w:rFonts w:eastAsia="Calibri" w:cstheme="minorHAnsi"/>
          <w:lang w:eastAsia="pt-PT"/>
        </w:rPr>
        <w:t>Na configuração dos regimes de flexibilidade, 2019 é, de certo modo, um  ano atípico q</w:t>
      </w:r>
      <w:r w:rsidRPr="009A539C">
        <w:rPr>
          <w:rFonts w:eastAsia="Calibri" w:cstheme="minorHAnsi"/>
        </w:rPr>
        <w:t xml:space="preserve">uando comparado com os dois anos anteriores. </w:t>
      </w:r>
      <w:r w:rsidRPr="009A539C">
        <w:rPr>
          <w:rFonts w:eastAsia="Calibri" w:cstheme="minorHAnsi"/>
          <w:lang w:eastAsia="pt-PT"/>
        </w:rPr>
        <w:t xml:space="preserve"> Isto porque </w:t>
      </w:r>
      <w:r w:rsidRPr="009A539C">
        <w:rPr>
          <w:rFonts w:eastAsia="Calibri" w:cstheme="minorHAnsi"/>
        </w:rPr>
        <w:t xml:space="preserve">os regimes de adaptabilidade e banco de horas têm menor expressão no clausulado convencional, em termos quer absolutos, quer relativos. E, de outra parte, também se encontram diferenças na própria distribuição entre regimes, espelhadas no quadro 48, verificando-se a preponderância das convenções que disciplinam unicamente ou adaptabilidade ou banco de horas e este último, apesar de menos representado, é o único dado que cresce em 2019.    </w:t>
      </w:r>
    </w:p>
    <w:p w14:paraId="16B5A0C1" w14:textId="18909C0B" w:rsidR="00343774" w:rsidRPr="009A539C" w:rsidRDefault="007452A0" w:rsidP="006E42F0">
      <w:pPr>
        <w:tabs>
          <w:tab w:val="left" w:pos="-3402"/>
        </w:tabs>
        <w:spacing w:before="120" w:after="160" w:line="360" w:lineRule="auto"/>
        <w:ind w:right="-1" w:firstLine="426"/>
        <w:jc w:val="both"/>
        <w:rPr>
          <w:rFonts w:eastAsia="Calibri" w:cstheme="minorHAnsi"/>
        </w:rPr>
      </w:pPr>
      <w:r w:rsidRPr="009A539C">
        <w:rPr>
          <w:rFonts w:eastAsia="Calibri" w:cstheme="minorHAnsi"/>
        </w:rPr>
        <w:t>Assim, a adaptabilidade surge regulada em 2</w:t>
      </w:r>
      <w:r w:rsidR="008E7AA6" w:rsidRPr="009A539C">
        <w:rPr>
          <w:rFonts w:eastAsia="Calibri" w:cstheme="minorHAnsi"/>
        </w:rPr>
        <w:t>7</w:t>
      </w:r>
      <w:r w:rsidRPr="009A539C">
        <w:rPr>
          <w:rFonts w:eastAsia="Calibri" w:cstheme="minorHAnsi"/>
        </w:rPr>
        <w:t xml:space="preserve"> de 240 convenções (1</w:t>
      </w:r>
      <w:r w:rsidR="00A738F5" w:rsidRPr="009A539C">
        <w:rPr>
          <w:rFonts w:eastAsia="Calibri" w:cstheme="minorHAnsi"/>
        </w:rPr>
        <w:t>1</w:t>
      </w:r>
      <w:r w:rsidRPr="009A539C">
        <w:rPr>
          <w:rFonts w:eastAsia="Calibri" w:cstheme="minorHAnsi"/>
        </w:rPr>
        <w:t>%) [enquanto em 2018, são 37 das 220 (17%) e e</w:t>
      </w:r>
      <w:r w:rsidR="00295F4E" w:rsidRPr="009A539C">
        <w:rPr>
          <w:rFonts w:eastAsia="Calibri" w:cstheme="minorHAnsi"/>
        </w:rPr>
        <w:t xml:space="preserve">m 2017 são 41 em 208 </w:t>
      </w:r>
      <w:r w:rsidRPr="009A539C">
        <w:rPr>
          <w:rFonts w:eastAsia="Calibri" w:cstheme="minorHAnsi"/>
        </w:rPr>
        <w:t>(20%)] e  o banco de horas localiza-se em  21 de 240 convenções (9%) em 2019 [enquanto em 2</w:t>
      </w:r>
      <w:r w:rsidR="006F384C" w:rsidRPr="009A539C">
        <w:rPr>
          <w:rFonts w:eastAsia="Calibri" w:cstheme="minorHAnsi"/>
        </w:rPr>
        <w:t>018, são  24  das 220 c</w:t>
      </w:r>
      <w:r w:rsidRPr="009A539C">
        <w:rPr>
          <w:rFonts w:eastAsia="Calibri" w:cstheme="minorHAnsi"/>
        </w:rPr>
        <w:t xml:space="preserve"> (10,9%) e em 2017 </w:t>
      </w:r>
      <w:r w:rsidR="006F384C" w:rsidRPr="009A539C">
        <w:rPr>
          <w:rFonts w:eastAsia="Calibri" w:cstheme="minorHAnsi"/>
        </w:rPr>
        <w:t xml:space="preserve">são 22  em 208 </w:t>
      </w:r>
      <w:r w:rsidRPr="009A539C">
        <w:rPr>
          <w:rFonts w:eastAsia="Calibri" w:cstheme="minorHAnsi"/>
        </w:rPr>
        <w:t>[</w:t>
      </w:r>
      <w:r w:rsidRPr="009A539C">
        <w:rPr>
          <w:rFonts w:eastAsia="Calibri" w:cs="Times New Roman"/>
        </w:rPr>
        <w:t>10,5%</w:t>
      </w:r>
      <w:r w:rsidRPr="009A539C">
        <w:rPr>
          <w:rFonts w:eastAsia="Calibri" w:cstheme="minorHAnsi"/>
        </w:rPr>
        <w:t xml:space="preserve">)]. Nestas oscilações deve, porém, ter-se em conta a incidência setorial da negociação coletiva e o número de convenções paralelas, variável de ano para ano. Mas, em todo o caso, não deixa de indiciar uma tendência nas opções tomadas pelos outorgantes </w:t>
      </w:r>
      <w:r w:rsidR="005322DE" w:rsidRPr="009A539C">
        <w:rPr>
          <w:rFonts w:eastAsia="Calibri" w:cstheme="minorHAnsi"/>
        </w:rPr>
        <w:t>num determinado ano</w:t>
      </w:r>
      <w:r w:rsidRPr="009A539C">
        <w:rPr>
          <w:rFonts w:eastAsia="Calibri" w:cstheme="minorHAnsi"/>
          <w:vertAlign w:val="superscript"/>
        </w:rPr>
        <w:footnoteReference w:id="236"/>
      </w:r>
      <w:r w:rsidRPr="009A539C">
        <w:rPr>
          <w:rFonts w:eastAsia="Calibri" w:cstheme="minorHAnsi"/>
        </w:rPr>
        <w:t>.</w:t>
      </w:r>
    </w:p>
    <w:p w14:paraId="50E4BB05" w14:textId="77777777" w:rsidR="00343774" w:rsidRPr="009A539C" w:rsidRDefault="00343774" w:rsidP="00642AA5">
      <w:pPr>
        <w:tabs>
          <w:tab w:val="left" w:pos="851"/>
        </w:tabs>
        <w:spacing w:before="120" w:after="160" w:line="360" w:lineRule="auto"/>
        <w:ind w:left="993" w:right="-1"/>
        <w:jc w:val="both"/>
        <w:rPr>
          <w:rFonts w:eastAsia="Calibri" w:cstheme="minorHAnsi"/>
        </w:rPr>
      </w:pPr>
    </w:p>
    <w:p w14:paraId="42879CCE" w14:textId="1654A633" w:rsidR="007452A0" w:rsidRPr="004B7DBA" w:rsidRDefault="002B051C" w:rsidP="00343774">
      <w:pPr>
        <w:pStyle w:val="Legenda"/>
        <w:jc w:val="center"/>
        <w:rPr>
          <w:b w:val="0"/>
          <w:bCs w:val="0"/>
          <w:color w:val="548DD4" w:themeColor="text2" w:themeTint="99"/>
          <w:sz w:val="22"/>
          <w:szCs w:val="22"/>
        </w:rPr>
      </w:pPr>
      <w:bookmarkStart w:id="637" w:name="_Toc15654986"/>
      <w:bookmarkStart w:id="638" w:name="_Toc45716670"/>
      <w:r w:rsidRPr="004B7DBA">
        <w:rPr>
          <w:b w:val="0"/>
          <w:sz w:val="22"/>
          <w:szCs w:val="22"/>
        </w:rPr>
        <w:t xml:space="preserve">Quadro </w:t>
      </w:r>
      <w:r w:rsidR="00942C57" w:rsidRPr="004B7DBA">
        <w:rPr>
          <w:b w:val="0"/>
          <w:sz w:val="22"/>
          <w:szCs w:val="22"/>
        </w:rPr>
        <w:fldChar w:fldCharType="begin"/>
      </w:r>
      <w:r w:rsidR="00942C57" w:rsidRPr="004B7DBA">
        <w:rPr>
          <w:b w:val="0"/>
          <w:sz w:val="22"/>
          <w:szCs w:val="22"/>
        </w:rPr>
        <w:instrText xml:space="preserve"> SEQ Quadro \* ARABIC </w:instrText>
      </w:r>
      <w:r w:rsidR="00942C57" w:rsidRPr="004B7DBA">
        <w:rPr>
          <w:b w:val="0"/>
          <w:sz w:val="22"/>
          <w:szCs w:val="22"/>
        </w:rPr>
        <w:fldChar w:fldCharType="separate"/>
      </w:r>
      <w:r w:rsidR="00D821DE" w:rsidRPr="004B7DBA">
        <w:rPr>
          <w:b w:val="0"/>
          <w:noProof/>
          <w:sz w:val="22"/>
          <w:szCs w:val="22"/>
        </w:rPr>
        <w:t>49</w:t>
      </w:r>
      <w:r w:rsidR="00942C57" w:rsidRPr="004B7DBA">
        <w:rPr>
          <w:b w:val="0"/>
          <w:noProof/>
          <w:sz w:val="22"/>
          <w:szCs w:val="22"/>
        </w:rPr>
        <w:fldChar w:fldCharType="end"/>
      </w:r>
      <w:r w:rsidR="007452A0" w:rsidRPr="004B7DBA">
        <w:rPr>
          <w:b w:val="0"/>
          <w:color w:val="548DD4" w:themeColor="text2" w:themeTint="99"/>
          <w:sz w:val="22"/>
          <w:szCs w:val="22"/>
        </w:rPr>
        <w:t xml:space="preserve"> - Adaptabilidade e banco de horas</w:t>
      </w:r>
      <w:bookmarkEnd w:id="637"/>
      <w:r w:rsidR="007452A0" w:rsidRPr="004B7DBA">
        <w:rPr>
          <w:b w:val="0"/>
          <w:color w:val="548DD4" w:themeColor="text2" w:themeTint="99"/>
          <w:sz w:val="22"/>
          <w:szCs w:val="22"/>
        </w:rPr>
        <w:t xml:space="preserve"> (2019) (2017 e 2018)</w:t>
      </w:r>
      <w:bookmarkEnd w:id="638"/>
    </w:p>
    <w:p w14:paraId="679760ED" w14:textId="4CC3DE3F" w:rsidR="005322DE" w:rsidRPr="009A539C" w:rsidRDefault="00EB67D7" w:rsidP="00EB67D7">
      <w:pPr>
        <w:keepLines/>
        <w:tabs>
          <w:tab w:val="left" w:pos="851"/>
        </w:tabs>
        <w:spacing w:before="120" w:after="240" w:line="360" w:lineRule="auto"/>
        <w:ind w:right="-1" w:firstLine="414"/>
        <w:jc w:val="center"/>
        <w:rPr>
          <w:rFonts w:eastAsia="Calibri" w:cstheme="minorHAnsi"/>
          <w:lang w:eastAsia="pt-PT"/>
        </w:rPr>
      </w:pPr>
      <w:r w:rsidRPr="009A539C">
        <w:rPr>
          <w:noProof/>
          <w:lang w:eastAsia="pt-PT"/>
        </w:rPr>
        <w:drawing>
          <wp:inline distT="0" distB="0" distL="0" distR="0" wp14:anchorId="391B4DEC" wp14:editId="1E2B1D17">
            <wp:extent cx="4605713" cy="1948069"/>
            <wp:effectExtent l="0" t="0" r="4445" b="0"/>
            <wp:docPr id="1159" name="Imagem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08577" cy="1949280"/>
                    </a:xfrm>
                    <a:prstGeom prst="rect">
                      <a:avLst/>
                    </a:prstGeom>
                    <a:noFill/>
                    <a:ln>
                      <a:noFill/>
                    </a:ln>
                  </pic:spPr>
                </pic:pic>
              </a:graphicData>
            </a:graphic>
          </wp:inline>
        </w:drawing>
      </w:r>
    </w:p>
    <w:p w14:paraId="356E58FD" w14:textId="0CFC28C9" w:rsidR="007452A0" w:rsidRPr="009A539C" w:rsidRDefault="007452A0" w:rsidP="00413A75">
      <w:pPr>
        <w:keepLines/>
        <w:tabs>
          <w:tab w:val="left" w:pos="-3402"/>
        </w:tabs>
        <w:spacing w:before="120" w:after="240" w:line="360" w:lineRule="auto"/>
        <w:ind w:right="-1" w:firstLine="567"/>
        <w:jc w:val="both"/>
        <w:rPr>
          <w:rFonts w:eastAsia="Calibri" w:cstheme="minorHAnsi"/>
          <w:lang w:eastAsia="pt-PT"/>
        </w:rPr>
      </w:pPr>
      <w:r w:rsidRPr="009A539C">
        <w:rPr>
          <w:rFonts w:eastAsia="Calibri" w:cstheme="minorHAnsi"/>
          <w:lang w:eastAsia="pt-PT"/>
        </w:rPr>
        <w:t>O terceiro regime, horário concentrado, continua a ser raro, isoladamente ou em conjugação com outro instrumento. Em 2019, apenas se enc</w:t>
      </w:r>
      <w:r w:rsidR="005322DE" w:rsidRPr="009A539C">
        <w:rPr>
          <w:rFonts w:eastAsia="Calibri" w:cstheme="minorHAnsi"/>
          <w:lang w:eastAsia="pt-PT"/>
        </w:rPr>
        <w:t xml:space="preserve">ontram três situações - </w:t>
      </w:r>
      <w:r w:rsidRPr="009A539C">
        <w:rPr>
          <w:rFonts w:eastAsia="Calibri" w:cstheme="minorHAnsi"/>
          <w:lang w:eastAsia="pt-PT"/>
        </w:rPr>
        <w:t>um</w:t>
      </w:r>
      <w:r w:rsidR="00D023A8" w:rsidRPr="009A539C">
        <w:rPr>
          <w:rFonts w:eastAsia="Calibri" w:cstheme="minorHAnsi"/>
          <w:lang w:eastAsia="pt-PT"/>
        </w:rPr>
        <w:t xml:space="preserve">a coexiste com a disciplina do </w:t>
      </w:r>
      <w:r w:rsidRPr="009A539C">
        <w:rPr>
          <w:rFonts w:eastAsia="Calibri" w:cstheme="minorHAnsi"/>
          <w:lang w:eastAsia="pt-PT"/>
        </w:rPr>
        <w:t>banco de horas e as outras duas com a previsão da adaptabilidade</w:t>
      </w:r>
      <w:r w:rsidRPr="009A539C">
        <w:rPr>
          <w:rFonts w:eastAsia="Calibri" w:cstheme="minorHAnsi"/>
          <w:vertAlign w:val="superscript"/>
          <w:lang w:eastAsia="pt-PT"/>
        </w:rPr>
        <w:footnoteReference w:id="237"/>
      </w:r>
      <w:r w:rsidRPr="009A539C">
        <w:rPr>
          <w:rFonts w:eastAsia="Calibri" w:cstheme="minorHAnsi"/>
          <w:lang w:eastAsia="pt-PT"/>
        </w:rPr>
        <w:t xml:space="preserve">. </w:t>
      </w:r>
    </w:p>
    <w:p w14:paraId="6558A32C" w14:textId="77777777" w:rsidR="007452A0" w:rsidRPr="009A539C" w:rsidRDefault="007452A0" w:rsidP="00413A75">
      <w:pPr>
        <w:tabs>
          <w:tab w:val="left" w:pos="-3402"/>
        </w:tabs>
        <w:spacing w:after="160" w:line="360" w:lineRule="auto"/>
        <w:ind w:right="-1" w:firstLine="567"/>
        <w:jc w:val="both"/>
        <w:rPr>
          <w:rFonts w:eastAsia="Calibri" w:cstheme="minorHAnsi"/>
        </w:rPr>
      </w:pPr>
      <w:r w:rsidRPr="009A539C">
        <w:rPr>
          <w:rFonts w:eastAsia="Calibri" w:cstheme="minorHAnsi"/>
        </w:rPr>
        <w:t>Como em anos anteriores, observa-se, no quadro seguinte, que a regulação destas matérias se localiza essencialmente em primeiras convenções, seguida das revisões globais e raramente em revisões parciais</w:t>
      </w:r>
      <w:r w:rsidRPr="009A539C">
        <w:rPr>
          <w:rFonts w:eastAsia="Calibri" w:cstheme="minorHAnsi"/>
          <w:vertAlign w:val="superscript"/>
        </w:rPr>
        <w:footnoteReference w:id="238"/>
      </w:r>
      <w:r w:rsidR="00F30D92" w:rsidRPr="009A539C">
        <w:rPr>
          <w:rFonts w:eastAsia="Calibri" w:cstheme="minorHAnsi"/>
        </w:rPr>
        <w:t xml:space="preserve">.    </w:t>
      </w:r>
    </w:p>
    <w:p w14:paraId="1478B0D8" w14:textId="77777777" w:rsidR="007452A0" w:rsidRPr="009A539C" w:rsidRDefault="007452A0" w:rsidP="00B90788">
      <w:pPr>
        <w:tabs>
          <w:tab w:val="left" w:pos="851"/>
        </w:tabs>
        <w:spacing w:after="160" w:line="360" w:lineRule="auto"/>
        <w:ind w:right="-1" w:firstLine="414"/>
        <w:jc w:val="both"/>
        <w:rPr>
          <w:rFonts w:eastAsia="Calibri" w:cstheme="minorHAnsi"/>
        </w:rPr>
      </w:pPr>
    </w:p>
    <w:p w14:paraId="75250A7C" w14:textId="3F359EB9" w:rsidR="007452A0" w:rsidRPr="004B7DBA" w:rsidRDefault="00785B2A" w:rsidP="00343774">
      <w:pPr>
        <w:pStyle w:val="Legenda"/>
        <w:jc w:val="center"/>
        <w:rPr>
          <w:rFonts w:eastAsia="Calibri"/>
          <w:b w:val="0"/>
          <w:sz w:val="22"/>
          <w:szCs w:val="22"/>
        </w:rPr>
      </w:pPr>
      <w:bookmarkStart w:id="639" w:name="_Toc15654987"/>
      <w:bookmarkStart w:id="640" w:name="_Toc45716671"/>
      <w:r w:rsidRPr="004B7DBA">
        <w:rPr>
          <w:b w:val="0"/>
          <w:sz w:val="22"/>
          <w:szCs w:val="22"/>
        </w:rPr>
        <w:t xml:space="preserve">Quadro </w:t>
      </w:r>
      <w:r w:rsidR="00942C57" w:rsidRPr="004B7DBA">
        <w:rPr>
          <w:b w:val="0"/>
          <w:sz w:val="22"/>
          <w:szCs w:val="22"/>
        </w:rPr>
        <w:fldChar w:fldCharType="begin"/>
      </w:r>
      <w:r w:rsidR="00942C57" w:rsidRPr="004B7DBA">
        <w:rPr>
          <w:b w:val="0"/>
          <w:sz w:val="22"/>
          <w:szCs w:val="22"/>
        </w:rPr>
        <w:instrText xml:space="preserve"> SEQ Quadro \* ARABIC </w:instrText>
      </w:r>
      <w:r w:rsidR="00942C57" w:rsidRPr="004B7DBA">
        <w:rPr>
          <w:b w:val="0"/>
          <w:sz w:val="22"/>
          <w:szCs w:val="22"/>
        </w:rPr>
        <w:fldChar w:fldCharType="separate"/>
      </w:r>
      <w:r w:rsidR="00D821DE" w:rsidRPr="004B7DBA">
        <w:rPr>
          <w:b w:val="0"/>
          <w:noProof/>
          <w:sz w:val="22"/>
          <w:szCs w:val="22"/>
        </w:rPr>
        <w:t>50</w:t>
      </w:r>
      <w:r w:rsidR="00942C57" w:rsidRPr="004B7DBA">
        <w:rPr>
          <w:b w:val="0"/>
          <w:noProof/>
          <w:sz w:val="22"/>
          <w:szCs w:val="22"/>
        </w:rPr>
        <w:fldChar w:fldCharType="end"/>
      </w:r>
      <w:r w:rsidR="007452A0" w:rsidRPr="004B7DBA">
        <w:rPr>
          <w:b w:val="0"/>
          <w:bCs w:val="0"/>
          <w:sz w:val="22"/>
          <w:szCs w:val="22"/>
        </w:rPr>
        <w:t xml:space="preserve"> - IRCT publicados em 2019 com cláusulas sobre Adaptabilidade e/ou Banco de Horas (por subtipo)</w:t>
      </w:r>
      <w:bookmarkEnd w:id="639"/>
      <w:bookmarkEnd w:id="640"/>
    </w:p>
    <w:p w14:paraId="291023D8" w14:textId="77777777" w:rsidR="007452A0" w:rsidRPr="009A539C" w:rsidRDefault="007452A0" w:rsidP="00B90788">
      <w:pPr>
        <w:spacing w:after="160" w:line="259" w:lineRule="auto"/>
        <w:ind w:right="-1"/>
        <w:jc w:val="center"/>
        <w:rPr>
          <w:rFonts w:eastAsia="Calibri" w:cs="Times New Roman"/>
        </w:rPr>
      </w:pPr>
      <w:r w:rsidRPr="009A539C">
        <w:rPr>
          <w:rFonts w:cs="Times New Roman"/>
          <w:noProof/>
          <w:color w:val="00000A"/>
          <w:lang w:eastAsia="pt-PT"/>
        </w:rPr>
        <w:drawing>
          <wp:inline distT="0" distB="0" distL="0" distR="0" wp14:anchorId="3DD85C04" wp14:editId="304ECDAF">
            <wp:extent cx="4924425" cy="1314450"/>
            <wp:effectExtent l="0" t="0" r="9525" b="0"/>
            <wp:docPr id="1175" name="Imagem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924425" cy="1314450"/>
                    </a:xfrm>
                    <a:prstGeom prst="rect">
                      <a:avLst/>
                    </a:prstGeom>
                    <a:noFill/>
                    <a:ln>
                      <a:noFill/>
                    </a:ln>
                  </pic:spPr>
                </pic:pic>
              </a:graphicData>
            </a:graphic>
          </wp:inline>
        </w:drawing>
      </w:r>
      <w:bookmarkStart w:id="641" w:name="_Toc470179382"/>
      <w:bookmarkStart w:id="642" w:name="_Toc449106621"/>
    </w:p>
    <w:p w14:paraId="6B3BE56A" w14:textId="77777777" w:rsidR="007452A0" w:rsidRPr="009A539C" w:rsidRDefault="007452A0" w:rsidP="00B90788">
      <w:pPr>
        <w:spacing w:after="160" w:line="259" w:lineRule="auto"/>
        <w:ind w:right="-1"/>
        <w:jc w:val="both"/>
        <w:rPr>
          <w:rFonts w:eastAsia="Calibri" w:cstheme="minorHAnsi"/>
        </w:rPr>
      </w:pPr>
    </w:p>
    <w:p w14:paraId="73DD0C70" w14:textId="550B620D" w:rsidR="007452A0" w:rsidRPr="009A539C" w:rsidRDefault="007452A0" w:rsidP="00413A75">
      <w:pPr>
        <w:spacing w:after="160" w:line="360" w:lineRule="auto"/>
        <w:ind w:right="-1" w:firstLine="567"/>
        <w:jc w:val="both"/>
        <w:rPr>
          <w:rFonts w:eastAsia="Calibri" w:cstheme="minorHAnsi"/>
          <w:lang w:eastAsia="pt-PT"/>
        </w:rPr>
      </w:pPr>
      <w:r w:rsidRPr="009A539C">
        <w:rPr>
          <w:rFonts w:eastAsia="Calibri" w:cstheme="minorHAnsi"/>
        </w:rPr>
        <w:t>Como habitualmente, foi feito o cotejo dos conteúdos publicados em 2019, face à versão anterior da mesma convenção, e constatamos que a renovação de conteúdos é pouco expressiva. Assim, no regime da adaptabilidade, há duas 2 situações em que a mesma é disciplinada pela primeira vez</w:t>
      </w:r>
      <w:r w:rsidRPr="009A539C">
        <w:rPr>
          <w:rFonts w:eastAsia="Calibri" w:cstheme="minorHAnsi"/>
          <w:vertAlign w:val="superscript"/>
        </w:rPr>
        <w:footnoteReference w:id="239"/>
      </w:r>
      <w:r w:rsidRPr="009A539C">
        <w:rPr>
          <w:rFonts w:eastAsia="Calibri" w:cstheme="minorHAnsi"/>
        </w:rPr>
        <w:t xml:space="preserve"> (uma revisão global e outra parcial) e foi objeto de alteração em quatro revisões parciais e uma revisão global</w:t>
      </w:r>
      <w:r w:rsidRPr="009A539C">
        <w:rPr>
          <w:rFonts w:eastAsia="Calibri" w:cstheme="minorHAnsi"/>
          <w:vertAlign w:val="superscript"/>
        </w:rPr>
        <w:footnoteReference w:id="240"/>
      </w:r>
      <w:r w:rsidRPr="009A539C">
        <w:rPr>
          <w:rFonts w:eastAsia="Calibri" w:cstheme="minorHAnsi"/>
        </w:rPr>
        <w:t>. Nas restantes ocorrências, a redação é (=) à versão anterior da mesma convenção, quer na figura da adaptabilidade, quer na do banco de horas. No que toca a primeiras convenções, naturalmente o regime é “novo”, mas o respetivo recorte é praticamente idêntico ao encontrado em convenções anteriores celebradas pelos mesmos outorgantes - da parte sindical ou patronal</w:t>
      </w:r>
      <w:r w:rsidRPr="009A539C">
        <w:rPr>
          <w:rFonts w:eastAsia="Calibri" w:cstheme="minorHAnsi"/>
          <w:vertAlign w:val="superscript"/>
        </w:rPr>
        <w:footnoteReference w:id="241"/>
      </w:r>
      <w:r w:rsidRPr="009A539C">
        <w:rPr>
          <w:rFonts w:eastAsia="Calibri" w:cstheme="minorHAnsi"/>
        </w:rPr>
        <w:t>. Por esse motivo, nas alíneas seguintes, a descrição que se apresenta é pouco original face à realizada em relatórios anteriores</w:t>
      </w:r>
      <w:r w:rsidRPr="009A539C">
        <w:rPr>
          <w:rFonts w:eastAsia="Calibri" w:cstheme="minorHAnsi"/>
          <w:lang w:eastAsia="pt-PT"/>
        </w:rPr>
        <w:t>.</w:t>
      </w:r>
    </w:p>
    <w:p w14:paraId="30BD7540" w14:textId="77777777" w:rsidR="00642AA5" w:rsidRPr="009A539C" w:rsidRDefault="00642AA5" w:rsidP="006E42F0">
      <w:pPr>
        <w:spacing w:after="160" w:line="360" w:lineRule="auto"/>
        <w:ind w:right="-1" w:firstLine="284"/>
        <w:jc w:val="both"/>
        <w:rPr>
          <w:rFonts w:eastAsia="Calibri" w:cstheme="minorHAnsi"/>
        </w:rPr>
      </w:pPr>
    </w:p>
    <w:p w14:paraId="00180533" w14:textId="24BAC4C3" w:rsidR="008404E0" w:rsidRPr="009A539C" w:rsidRDefault="007452A0" w:rsidP="00AF188D">
      <w:pPr>
        <w:pStyle w:val="Cabealho4"/>
        <w:numPr>
          <w:ilvl w:val="0"/>
          <w:numId w:val="63"/>
        </w:numPr>
        <w:rPr>
          <w:rFonts w:asciiTheme="minorHAnsi" w:hAnsiTheme="minorHAnsi" w:cstheme="minorHAnsi"/>
          <w:b w:val="0"/>
          <w:bCs w:val="0"/>
          <w:iCs w:val="0"/>
          <w:color w:val="auto"/>
        </w:rPr>
      </w:pPr>
      <w:bookmarkStart w:id="643" w:name="_Toc7017702"/>
      <w:bookmarkStart w:id="644" w:name="_Toc15652502"/>
      <w:bookmarkStart w:id="645" w:name="_Toc42511768"/>
      <w:bookmarkStart w:id="646" w:name="_Toc42514532"/>
      <w:bookmarkStart w:id="647" w:name="_Toc45535716"/>
      <w:r w:rsidRPr="009A539C">
        <w:rPr>
          <w:rFonts w:asciiTheme="minorHAnsi" w:hAnsiTheme="minorHAnsi" w:cstheme="minorHAnsi"/>
          <w:b w:val="0"/>
          <w:bCs w:val="0"/>
          <w:iCs w:val="0"/>
          <w:color w:val="auto"/>
        </w:rPr>
        <w:t>Adaptabilidade: principais características dos regimes convencionais</w:t>
      </w:r>
      <w:bookmarkEnd w:id="643"/>
      <w:bookmarkEnd w:id="644"/>
      <w:bookmarkEnd w:id="645"/>
      <w:bookmarkEnd w:id="646"/>
      <w:bookmarkEnd w:id="647"/>
    </w:p>
    <w:bookmarkEnd w:id="641"/>
    <w:bookmarkEnd w:id="642"/>
    <w:p w14:paraId="1723AB6D" w14:textId="77777777" w:rsidR="00642AA5" w:rsidRPr="009A539C" w:rsidRDefault="00642AA5" w:rsidP="00642AA5">
      <w:pPr>
        <w:tabs>
          <w:tab w:val="left" w:pos="851"/>
        </w:tabs>
        <w:spacing w:before="120" w:after="120" w:line="360" w:lineRule="auto"/>
        <w:ind w:right="-1"/>
        <w:jc w:val="both"/>
        <w:rPr>
          <w:rFonts w:ascii="Calibri" w:eastAsia="Calibri" w:hAnsi="Calibri" w:cs="Calibri"/>
          <w:lang w:eastAsia="pt-PT"/>
        </w:rPr>
      </w:pPr>
    </w:p>
    <w:p w14:paraId="348C1E24" w14:textId="2B9BE818" w:rsidR="007452A0" w:rsidRPr="009A539C" w:rsidRDefault="007452A0" w:rsidP="00AF188D">
      <w:pPr>
        <w:numPr>
          <w:ilvl w:val="0"/>
          <w:numId w:val="49"/>
        </w:numPr>
        <w:tabs>
          <w:tab w:val="left" w:pos="-993"/>
        </w:tabs>
        <w:spacing w:before="120" w:after="120" w:line="360" w:lineRule="auto"/>
        <w:ind w:left="0" w:right="-1" w:firstLine="284"/>
        <w:jc w:val="both"/>
        <w:rPr>
          <w:rFonts w:ascii="Calibri" w:eastAsia="Calibri" w:hAnsi="Calibri" w:cs="Calibri"/>
          <w:lang w:eastAsia="pt-PT"/>
        </w:rPr>
      </w:pPr>
      <w:r w:rsidRPr="009A539C">
        <w:rPr>
          <w:rFonts w:ascii="Calibri" w:eastAsia="Calibri" w:hAnsi="Calibri" w:cs="Calibri"/>
          <w:lang w:eastAsia="pt-PT"/>
        </w:rPr>
        <w:t>Já se deu nota da descida na previsão de regimes de adaptabilidade em 2019. Verifica-se no quadro seguinte (quadro 50) que essa quebra é particularmente acentuada nos acordos de empresa, por contraposição a 2018 onde a negociação ao nível da empresa ti</w:t>
      </w:r>
      <w:r w:rsidR="00416BF4" w:rsidRPr="009A539C">
        <w:rPr>
          <w:rFonts w:ascii="Calibri" w:eastAsia="Calibri" w:hAnsi="Calibri" w:cs="Calibri"/>
          <w:lang w:eastAsia="pt-PT"/>
        </w:rPr>
        <w:t xml:space="preserve">nha sido um espaço fértil para </w:t>
      </w:r>
      <w:r w:rsidRPr="009A539C">
        <w:rPr>
          <w:rFonts w:ascii="Calibri" w:eastAsia="Calibri" w:hAnsi="Calibri" w:cs="Calibri"/>
          <w:lang w:eastAsia="pt-PT"/>
        </w:rPr>
        <w:t>regulação da figura.</w:t>
      </w:r>
    </w:p>
    <w:p w14:paraId="7E6D26C8" w14:textId="77777777" w:rsidR="007452A0" w:rsidRPr="009A539C" w:rsidRDefault="007452A0" w:rsidP="00B90788">
      <w:pPr>
        <w:tabs>
          <w:tab w:val="left" w:pos="851"/>
        </w:tabs>
        <w:spacing w:before="120" w:after="120" w:line="360" w:lineRule="auto"/>
        <w:ind w:right="-1"/>
        <w:jc w:val="both"/>
        <w:rPr>
          <w:rFonts w:eastAsia="Calibri" w:cs="Calibri"/>
          <w:color w:val="00000A"/>
          <w:lang w:eastAsia="pt-PT"/>
        </w:rPr>
      </w:pPr>
    </w:p>
    <w:p w14:paraId="392F38D0" w14:textId="58E68564" w:rsidR="007452A0" w:rsidRPr="004B7DBA" w:rsidRDefault="00785B2A" w:rsidP="00343774">
      <w:pPr>
        <w:pStyle w:val="Legenda"/>
        <w:jc w:val="center"/>
        <w:rPr>
          <w:b w:val="0"/>
          <w:bCs w:val="0"/>
          <w:sz w:val="20"/>
          <w:szCs w:val="20"/>
        </w:rPr>
      </w:pPr>
      <w:bookmarkStart w:id="648" w:name="_Toc15654988"/>
      <w:bookmarkStart w:id="649" w:name="_Toc45716672"/>
      <w:r w:rsidRPr="004B7DBA">
        <w:rPr>
          <w:b w:val="0"/>
          <w:sz w:val="20"/>
          <w:szCs w:val="20"/>
        </w:rPr>
        <w:t xml:space="preserve">Quadro </w:t>
      </w:r>
      <w:r w:rsidR="00942C57" w:rsidRPr="004B7DBA">
        <w:rPr>
          <w:b w:val="0"/>
          <w:sz w:val="20"/>
          <w:szCs w:val="20"/>
        </w:rPr>
        <w:fldChar w:fldCharType="begin"/>
      </w:r>
      <w:r w:rsidR="00942C57" w:rsidRPr="004B7DBA">
        <w:rPr>
          <w:b w:val="0"/>
          <w:sz w:val="20"/>
          <w:szCs w:val="20"/>
        </w:rPr>
        <w:instrText xml:space="preserve"> SEQ Quadro \* ARABIC </w:instrText>
      </w:r>
      <w:r w:rsidR="00942C57" w:rsidRPr="004B7DBA">
        <w:rPr>
          <w:b w:val="0"/>
          <w:sz w:val="20"/>
          <w:szCs w:val="20"/>
        </w:rPr>
        <w:fldChar w:fldCharType="separate"/>
      </w:r>
      <w:r w:rsidR="00D821DE" w:rsidRPr="004B7DBA">
        <w:rPr>
          <w:b w:val="0"/>
          <w:noProof/>
          <w:sz w:val="20"/>
          <w:szCs w:val="20"/>
        </w:rPr>
        <w:t>51</w:t>
      </w:r>
      <w:r w:rsidR="00942C57" w:rsidRPr="004B7DBA">
        <w:rPr>
          <w:b w:val="0"/>
          <w:noProof/>
          <w:sz w:val="20"/>
          <w:szCs w:val="20"/>
        </w:rPr>
        <w:fldChar w:fldCharType="end"/>
      </w:r>
      <w:r w:rsidR="007452A0" w:rsidRPr="004B7DBA">
        <w:rPr>
          <w:b w:val="0"/>
          <w:bCs w:val="0"/>
          <w:sz w:val="20"/>
          <w:szCs w:val="20"/>
        </w:rPr>
        <w:t xml:space="preserve"> - IRCT publicados em 2019 com cláusulas sobre Adaptabilidade</w:t>
      </w:r>
      <w:bookmarkEnd w:id="648"/>
      <w:bookmarkEnd w:id="649"/>
    </w:p>
    <w:p w14:paraId="63A348DF" w14:textId="08CBFACD" w:rsidR="007452A0" w:rsidRPr="009A539C" w:rsidRDefault="00DA69DC" w:rsidP="00DA69DC">
      <w:pPr>
        <w:spacing w:after="0" w:line="240" w:lineRule="auto"/>
        <w:ind w:right="-1"/>
        <w:jc w:val="center"/>
        <w:rPr>
          <w:rFonts w:cs="Times New Roman"/>
          <w:color w:val="00000A"/>
        </w:rPr>
      </w:pPr>
      <w:r w:rsidRPr="009A539C">
        <w:rPr>
          <w:noProof/>
          <w:lang w:eastAsia="pt-PT"/>
        </w:rPr>
        <w:drawing>
          <wp:inline distT="0" distB="0" distL="0" distR="0" wp14:anchorId="1765D8B0" wp14:editId="66E70D47">
            <wp:extent cx="3858799" cy="1789044"/>
            <wp:effectExtent l="0" t="0" r="8890" b="1905"/>
            <wp:docPr id="1205" name="Imagem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58824" cy="1789055"/>
                    </a:xfrm>
                    <a:prstGeom prst="rect">
                      <a:avLst/>
                    </a:prstGeom>
                    <a:noFill/>
                    <a:ln>
                      <a:noFill/>
                    </a:ln>
                  </pic:spPr>
                </pic:pic>
              </a:graphicData>
            </a:graphic>
          </wp:inline>
        </w:drawing>
      </w:r>
    </w:p>
    <w:p w14:paraId="04888644" w14:textId="77777777" w:rsidR="00DA69DC" w:rsidRPr="009A539C" w:rsidRDefault="00DA69DC" w:rsidP="00DA69DC">
      <w:pPr>
        <w:spacing w:after="0" w:line="240" w:lineRule="auto"/>
        <w:ind w:right="-1"/>
        <w:jc w:val="center"/>
        <w:rPr>
          <w:rFonts w:cs="Times New Roman"/>
          <w:color w:val="00000A"/>
        </w:rPr>
      </w:pPr>
    </w:p>
    <w:p w14:paraId="0A2F6D87" w14:textId="77777777" w:rsidR="007452A0" w:rsidRPr="009A539C" w:rsidRDefault="007452A0" w:rsidP="00413A75">
      <w:pPr>
        <w:spacing w:before="120" w:after="160" w:line="360" w:lineRule="auto"/>
        <w:ind w:right="-1" w:firstLine="567"/>
        <w:jc w:val="both"/>
        <w:rPr>
          <w:rFonts w:eastAsia="Calibri" w:cstheme="minorHAnsi"/>
          <w:lang w:eastAsia="pt-PT"/>
        </w:rPr>
      </w:pPr>
      <w:r w:rsidRPr="009A539C">
        <w:rPr>
          <w:rFonts w:eastAsia="Calibri" w:cstheme="minorHAnsi"/>
          <w:lang w:eastAsia="pt-PT"/>
        </w:rPr>
        <w:t>No plano qualitativo, encontram-se as configurações habituais do regime, descritas em relatórios anteriores. Mantém-se a tendência para alguma padronização por setores ou por sujeitos outorgantes</w:t>
      </w:r>
      <w:r w:rsidRPr="009A539C">
        <w:rPr>
          <w:rFonts w:eastAsia="Calibri" w:cstheme="minorHAnsi"/>
          <w:vertAlign w:val="superscript"/>
          <w:lang w:eastAsia="pt-PT"/>
        </w:rPr>
        <w:footnoteReference w:id="242"/>
      </w:r>
      <w:r w:rsidRPr="009A539C">
        <w:rPr>
          <w:rFonts w:eastAsia="Calibri" w:cstheme="minorHAnsi"/>
          <w:lang w:eastAsia="pt-PT"/>
        </w:rPr>
        <w:t xml:space="preserve"> a par de uma assinalável diversificação de soluções e de equilíbrios. Assim, para além da modelação dos elementos estruturais do regime – margens de aumento e diminuição das jornadas diária e semanal, período de referência, formas de compensação, fixação de horários –, encontramos a previsão de regras específicas – regulação de situações de dispensa, ponderação de interesses familiares, compensação por despesas. Nesta linha, são escassas as meras remissões para a lei, sendo mais comum a introdução de ajustamentos marginais ao quadro legal</w:t>
      </w:r>
      <w:r w:rsidRPr="009A539C">
        <w:rPr>
          <w:rFonts w:eastAsia="Calibri" w:cstheme="minorHAnsi"/>
          <w:vertAlign w:val="superscript"/>
          <w:lang w:eastAsia="pt-PT"/>
        </w:rPr>
        <w:footnoteReference w:id="243"/>
      </w:r>
      <w:r w:rsidRPr="009A539C">
        <w:rPr>
          <w:rFonts w:eastAsia="Calibri" w:cstheme="minorHAnsi"/>
          <w:lang w:eastAsia="pt-PT"/>
        </w:rPr>
        <w:t>. A adaptabilidade pode também surgir de modo meramente implícito, a propósito do período normal de trabalho</w:t>
      </w:r>
      <w:r w:rsidRPr="009A539C">
        <w:rPr>
          <w:rFonts w:eastAsia="Calibri" w:cstheme="minorHAnsi"/>
          <w:vertAlign w:val="superscript"/>
          <w:lang w:eastAsia="pt-PT"/>
        </w:rPr>
        <w:footnoteReference w:id="244"/>
      </w:r>
      <w:r w:rsidRPr="009A539C">
        <w:rPr>
          <w:rFonts w:eastAsia="Calibri" w:cstheme="minorHAnsi"/>
          <w:lang w:eastAsia="pt-PT"/>
        </w:rPr>
        <w:t xml:space="preserve">. </w:t>
      </w:r>
    </w:p>
    <w:p w14:paraId="588997B4" w14:textId="77777777" w:rsidR="007452A0" w:rsidRPr="009A539C" w:rsidRDefault="007452A0" w:rsidP="006E42F0">
      <w:pPr>
        <w:spacing w:before="120" w:after="160" w:line="360" w:lineRule="auto"/>
        <w:ind w:right="-1" w:firstLine="284"/>
        <w:jc w:val="both"/>
        <w:rPr>
          <w:rFonts w:eastAsia="Calibri" w:cstheme="minorHAnsi"/>
          <w:lang w:eastAsia="pt-PT"/>
        </w:rPr>
      </w:pPr>
      <w:r w:rsidRPr="009A539C">
        <w:rPr>
          <w:rFonts w:eastAsia="Calibri" w:cstheme="minorHAnsi"/>
          <w:b/>
          <w:lang w:eastAsia="pt-PT"/>
        </w:rPr>
        <w:t>II.</w:t>
      </w:r>
      <w:r w:rsidRPr="009A539C">
        <w:rPr>
          <w:rFonts w:eastAsia="Calibri" w:cstheme="minorHAnsi"/>
          <w:lang w:eastAsia="pt-PT"/>
        </w:rPr>
        <w:tab/>
        <w:t>Nem sempre se mostra clara a previsão de verdadeiro regime de adaptabilidade, não apenas pela proximidade entre o regime convencionado e a figura do banco de horas, como pela presença de mecanismos específicos</w:t>
      </w:r>
      <w:r w:rsidRPr="009A539C">
        <w:rPr>
          <w:rFonts w:eastAsia="Calibri" w:cstheme="minorHAnsi"/>
          <w:vertAlign w:val="superscript"/>
          <w:lang w:eastAsia="pt-PT"/>
        </w:rPr>
        <w:footnoteReference w:id="245"/>
      </w:r>
      <w:r w:rsidRPr="009A539C">
        <w:rPr>
          <w:rFonts w:eastAsia="Calibri" w:cstheme="minorHAnsi"/>
          <w:lang w:eastAsia="pt-PT"/>
        </w:rPr>
        <w:t xml:space="preserve">, designadamente associados às particularidades do </w:t>
      </w:r>
      <w:r w:rsidR="00295F4E" w:rsidRPr="009A539C">
        <w:rPr>
          <w:rFonts w:eastAsia="Calibri" w:cstheme="minorHAnsi"/>
          <w:lang w:eastAsia="pt-PT"/>
        </w:rPr>
        <w:t>setor</w:t>
      </w:r>
      <w:r w:rsidRPr="009A539C">
        <w:rPr>
          <w:rFonts w:eastAsia="Calibri" w:cstheme="minorHAnsi"/>
          <w:lang w:eastAsia="pt-PT"/>
        </w:rPr>
        <w:t xml:space="preserve"> ou da profissão, cuja qualificação é complexa</w:t>
      </w:r>
      <w:r w:rsidRPr="009A539C">
        <w:rPr>
          <w:rFonts w:eastAsia="Calibri" w:cstheme="minorHAnsi"/>
          <w:vertAlign w:val="superscript"/>
          <w:lang w:eastAsia="pt-PT"/>
        </w:rPr>
        <w:footnoteReference w:id="246"/>
      </w:r>
      <w:r w:rsidRPr="009A539C">
        <w:rPr>
          <w:rFonts w:eastAsia="Calibri" w:cstheme="minorHAnsi"/>
          <w:lang w:eastAsia="pt-PT"/>
        </w:rPr>
        <w:t>. Por outro lado, embora de modo corrente o regime de adaptabilidade figure em cláusula própria - com designações variáveis</w:t>
      </w:r>
      <w:r w:rsidRPr="009A539C">
        <w:rPr>
          <w:rFonts w:eastAsia="Calibri" w:cstheme="minorHAnsi"/>
          <w:vertAlign w:val="superscript"/>
          <w:lang w:eastAsia="pt-PT"/>
        </w:rPr>
        <w:footnoteReference w:id="247"/>
      </w:r>
      <w:r w:rsidRPr="009A539C">
        <w:rPr>
          <w:rFonts w:eastAsia="Calibri" w:cstheme="minorHAnsi"/>
          <w:lang w:eastAsia="pt-PT"/>
        </w:rPr>
        <w:t xml:space="preserve"> -, por vezes aparece no quadro da definição do período normal de trabalho</w:t>
      </w:r>
      <w:r w:rsidRPr="009A539C">
        <w:rPr>
          <w:rFonts w:eastAsia="Calibri" w:cstheme="minorHAnsi"/>
          <w:vertAlign w:val="superscript"/>
          <w:lang w:eastAsia="pt-PT"/>
        </w:rPr>
        <w:footnoteReference w:id="248"/>
      </w:r>
      <w:r w:rsidRPr="009A539C">
        <w:rPr>
          <w:rFonts w:eastAsia="Calibri" w:cstheme="minorHAnsi"/>
          <w:lang w:eastAsia="pt-PT"/>
        </w:rPr>
        <w:t xml:space="preserve">. </w:t>
      </w:r>
    </w:p>
    <w:p w14:paraId="318DAF0E" w14:textId="77777777" w:rsidR="007452A0" w:rsidRPr="009A539C" w:rsidRDefault="007452A0" w:rsidP="006E42F0">
      <w:pPr>
        <w:spacing w:before="120" w:after="160" w:line="360" w:lineRule="auto"/>
        <w:ind w:right="-1" w:firstLine="284"/>
        <w:jc w:val="both"/>
        <w:rPr>
          <w:rFonts w:eastAsia="Calibri" w:cstheme="minorHAnsi"/>
          <w:lang w:eastAsia="pt-PT"/>
        </w:rPr>
      </w:pPr>
    </w:p>
    <w:p w14:paraId="23817DAF" w14:textId="77777777" w:rsidR="007452A0" w:rsidRPr="009A539C" w:rsidRDefault="007452A0" w:rsidP="006E42F0">
      <w:pPr>
        <w:spacing w:before="120" w:after="160" w:line="360" w:lineRule="auto"/>
        <w:ind w:right="-1" w:firstLine="284"/>
        <w:jc w:val="both"/>
        <w:rPr>
          <w:rFonts w:eastAsia="Calibri" w:cstheme="minorHAnsi"/>
          <w:strike/>
          <w:sz w:val="20"/>
          <w:szCs w:val="20"/>
          <w:lang w:eastAsia="pt-PT"/>
        </w:rPr>
      </w:pPr>
      <w:r w:rsidRPr="009A539C">
        <w:rPr>
          <w:rFonts w:eastAsia="Calibri" w:cs="Calibri"/>
          <w:b/>
          <w:lang w:eastAsia="pt-PT"/>
        </w:rPr>
        <w:t>III.</w:t>
      </w:r>
      <w:r w:rsidRPr="009A539C">
        <w:rPr>
          <w:rFonts w:eastAsia="Calibri" w:cs="Calibri"/>
          <w:lang w:eastAsia="pt-PT"/>
        </w:rPr>
        <w:t xml:space="preserve"> Nas convenções de 2019, continuamos a encontrar IRCT em que a aplicação do regime de adaptabilidade carece do acordo do trabalhador</w:t>
      </w:r>
      <w:r w:rsidRPr="009A539C">
        <w:rPr>
          <w:rFonts w:eastAsia="Calibri" w:cs="Calibri"/>
          <w:vertAlign w:val="superscript"/>
          <w:lang w:eastAsia="pt-PT"/>
        </w:rPr>
        <w:footnoteReference w:id="249"/>
      </w:r>
      <w:r w:rsidRPr="009A539C">
        <w:rPr>
          <w:rFonts w:eastAsia="Calibri" w:cs="Calibri"/>
          <w:lang w:eastAsia="pt-PT"/>
        </w:rPr>
        <w:t xml:space="preserve"> – uma convenção limita a eficácia temporal </w:t>
      </w:r>
      <w:r w:rsidRPr="009A539C">
        <w:rPr>
          <w:rFonts w:eastAsia="Calibri" w:cstheme="minorHAnsi"/>
          <w:lang w:eastAsia="pt-PT"/>
        </w:rPr>
        <w:t>desse acordo a 2 anos</w:t>
      </w:r>
      <w:r w:rsidRPr="009A539C">
        <w:rPr>
          <w:rFonts w:eastAsia="Calibri" w:cstheme="minorHAnsi"/>
          <w:vertAlign w:val="superscript"/>
          <w:lang w:eastAsia="pt-PT"/>
        </w:rPr>
        <w:footnoteReference w:id="250"/>
      </w:r>
      <w:r w:rsidRPr="009A539C">
        <w:rPr>
          <w:rFonts w:eastAsia="Calibri" w:cstheme="minorHAnsi"/>
          <w:lang w:eastAsia="pt-PT"/>
        </w:rPr>
        <w:t xml:space="preserve"> –, ou em que este acordo deve ser encontrado para a definição dos termos da compensação dos períodos de alargamento de jornada</w:t>
      </w:r>
      <w:r w:rsidRPr="009A539C">
        <w:rPr>
          <w:rFonts w:eastAsia="Calibri" w:cstheme="minorHAnsi"/>
          <w:vertAlign w:val="superscript"/>
          <w:lang w:eastAsia="pt-PT"/>
        </w:rPr>
        <w:footnoteReference w:id="251"/>
      </w:r>
      <w:r w:rsidRPr="009A539C">
        <w:rPr>
          <w:rFonts w:eastAsia="Calibri" w:cstheme="minorHAnsi"/>
          <w:lang w:eastAsia="pt-PT"/>
        </w:rPr>
        <w:t xml:space="preserve">. </w:t>
      </w:r>
    </w:p>
    <w:p w14:paraId="39BF74FF" w14:textId="77777777" w:rsidR="007452A0" w:rsidRPr="009A539C" w:rsidRDefault="007452A0" w:rsidP="006E42F0">
      <w:pPr>
        <w:spacing w:before="120" w:after="160" w:line="360" w:lineRule="auto"/>
        <w:ind w:right="-1" w:firstLine="284"/>
        <w:jc w:val="both"/>
        <w:rPr>
          <w:rFonts w:eastAsia="Calibri" w:cstheme="minorHAnsi"/>
          <w:lang w:eastAsia="pt-PT"/>
        </w:rPr>
      </w:pPr>
      <w:r w:rsidRPr="009A539C">
        <w:rPr>
          <w:rFonts w:eastAsia="Calibri" w:cstheme="minorHAnsi"/>
          <w:lang w:eastAsia="pt-PT"/>
        </w:rPr>
        <w:t>Certas convenções circunscrevem a aplicação do regime a determinadas categorias de trabalhadores</w:t>
      </w:r>
      <w:r w:rsidRPr="009A539C">
        <w:rPr>
          <w:rFonts w:eastAsia="Calibri" w:cstheme="minorHAnsi"/>
          <w:vertAlign w:val="superscript"/>
          <w:lang w:eastAsia="pt-PT"/>
        </w:rPr>
        <w:footnoteReference w:id="252"/>
      </w:r>
      <w:r w:rsidRPr="009A539C">
        <w:rPr>
          <w:rFonts w:eastAsia="Calibri" w:cstheme="minorHAnsi"/>
          <w:lang w:eastAsia="pt-PT"/>
        </w:rPr>
        <w:t>, enquanto outras diferenciam o regime em função das categorias</w:t>
      </w:r>
      <w:r w:rsidRPr="009A539C">
        <w:rPr>
          <w:rFonts w:eastAsia="Calibri" w:cstheme="minorHAnsi"/>
          <w:vertAlign w:val="superscript"/>
          <w:lang w:eastAsia="pt-PT"/>
        </w:rPr>
        <w:footnoteReference w:id="253"/>
      </w:r>
      <w:r w:rsidRPr="009A539C">
        <w:rPr>
          <w:rFonts w:eastAsia="Calibri" w:cstheme="minorHAnsi"/>
          <w:lang w:eastAsia="pt-PT"/>
        </w:rPr>
        <w:t xml:space="preserve"> ou  unidades de trabalho </w:t>
      </w:r>
      <w:r w:rsidRPr="009A539C">
        <w:rPr>
          <w:rFonts w:eastAsia="Calibri" w:cstheme="minorHAnsi"/>
          <w:vertAlign w:val="superscript"/>
          <w:lang w:eastAsia="pt-PT"/>
        </w:rPr>
        <w:footnoteReference w:id="254"/>
      </w:r>
      <w:r w:rsidRPr="009A539C">
        <w:rPr>
          <w:rFonts w:eastAsia="Calibri" w:cstheme="minorHAnsi"/>
          <w:lang w:eastAsia="pt-PT"/>
        </w:rPr>
        <w:t>.</w:t>
      </w:r>
    </w:p>
    <w:p w14:paraId="00F82CFD" w14:textId="5814B47E" w:rsidR="007452A0" w:rsidRPr="009A539C" w:rsidRDefault="007452A0" w:rsidP="006E42F0">
      <w:pPr>
        <w:tabs>
          <w:tab w:val="left" w:pos="709"/>
        </w:tabs>
        <w:spacing w:before="120" w:after="160" w:line="360" w:lineRule="auto"/>
        <w:ind w:right="-1" w:firstLine="284"/>
        <w:jc w:val="both"/>
        <w:rPr>
          <w:rFonts w:eastAsia="Calibri" w:cs="Calibri"/>
          <w:b/>
          <w:lang w:eastAsia="pt-PT"/>
        </w:rPr>
      </w:pPr>
      <w:r w:rsidRPr="009A539C">
        <w:rPr>
          <w:rFonts w:eastAsia="Calibri" w:cs="Calibri"/>
          <w:b/>
          <w:lang w:eastAsia="pt-PT"/>
        </w:rPr>
        <w:t>IV.</w:t>
      </w:r>
      <w:r w:rsidRPr="009A539C">
        <w:rPr>
          <w:rFonts w:eastAsia="Calibri" w:cs="Calibri"/>
          <w:b/>
          <w:lang w:eastAsia="pt-PT"/>
        </w:rPr>
        <w:tab/>
      </w:r>
      <w:r w:rsidRPr="009A539C">
        <w:rPr>
          <w:rFonts w:eastAsia="Calibri" w:cs="Calibri"/>
          <w:lang w:eastAsia="pt-PT"/>
        </w:rPr>
        <w:t xml:space="preserve">O CT permite que as convenções coletivas alarguem o período normal de trabalho até 4 horas diárias e 60 horas semanais, sem que excedam as 50 horas por semana em cada período de dois meses (art.204.º, 1 e 2). Em 2019 localizam-se acréscimos horários variáveis entre 1,2,3 e 4 horas diárias e com amplitudes semanais </w:t>
      </w:r>
      <w:r w:rsidR="00416BF4" w:rsidRPr="009A539C">
        <w:rPr>
          <w:rFonts w:eastAsia="Calibri" w:cs="Calibri"/>
          <w:lang w:eastAsia="pt-PT"/>
        </w:rPr>
        <w:t xml:space="preserve">que oscilam entre as 40H e 60H </w:t>
      </w:r>
      <w:r w:rsidRPr="009A539C">
        <w:rPr>
          <w:rFonts w:eastAsia="Calibri" w:cs="Calibri"/>
          <w:lang w:eastAsia="pt-PT"/>
        </w:rPr>
        <w:t>semanais</w:t>
      </w:r>
      <w:r w:rsidRPr="009A539C">
        <w:rPr>
          <w:rFonts w:eastAsia="Calibri" w:cs="Calibri"/>
          <w:vertAlign w:val="superscript"/>
          <w:lang w:eastAsia="pt-PT"/>
        </w:rPr>
        <w:footnoteReference w:id="255"/>
      </w:r>
      <w:r w:rsidRPr="009A539C">
        <w:rPr>
          <w:rFonts w:eastAsia="Calibri" w:cs="Calibri"/>
          <w:lang w:eastAsia="pt-PT"/>
        </w:rPr>
        <w:t>.</w:t>
      </w:r>
      <w:r w:rsidRPr="009A539C">
        <w:rPr>
          <w:rFonts w:eastAsia="Calibri" w:cs="Calibri"/>
          <w:b/>
          <w:lang w:eastAsia="pt-PT"/>
        </w:rPr>
        <w:t xml:space="preserve"> </w:t>
      </w:r>
      <w:r w:rsidRPr="009A539C">
        <w:rPr>
          <w:rFonts w:eastAsia="Calibri" w:cs="Calibri"/>
          <w:lang w:eastAsia="pt-PT"/>
        </w:rPr>
        <w:t>A formulação mais comum tem sido a fixação desses limites em 2h diárias e 50h semanais, embora em 2019 exista uma variedade de outras soluções (cfr. quadro 5</w:t>
      </w:r>
      <w:r w:rsidR="00862EFF" w:rsidRPr="009A539C">
        <w:rPr>
          <w:rFonts w:eastAsia="Calibri" w:cs="Calibri"/>
          <w:lang w:eastAsia="pt-PT"/>
        </w:rPr>
        <w:t>2</w:t>
      </w:r>
      <w:r w:rsidRPr="009A539C">
        <w:rPr>
          <w:rFonts w:eastAsia="Calibri" w:cs="Calibri"/>
          <w:lang w:eastAsia="pt-PT"/>
        </w:rPr>
        <w:t>), que podem traduzir-se, designadamente:</w:t>
      </w:r>
    </w:p>
    <w:p w14:paraId="4BE28AED" w14:textId="77777777" w:rsidR="007452A0" w:rsidRPr="009A539C" w:rsidRDefault="007452A0" w:rsidP="006E42F0">
      <w:pPr>
        <w:tabs>
          <w:tab w:val="left" w:pos="709"/>
        </w:tabs>
        <w:spacing w:before="120" w:after="160" w:line="360" w:lineRule="auto"/>
        <w:ind w:left="567" w:right="-1" w:hanging="283"/>
        <w:jc w:val="both"/>
        <w:rPr>
          <w:rFonts w:eastAsia="Calibri" w:cstheme="minorHAnsi"/>
          <w:lang w:eastAsia="pt-PT"/>
        </w:rPr>
      </w:pPr>
      <w:r w:rsidRPr="009A539C">
        <w:rPr>
          <w:rFonts w:eastAsia="Calibri" w:cstheme="minorHAnsi"/>
          <w:lang w:eastAsia="pt-PT"/>
        </w:rPr>
        <w:t xml:space="preserve">– </w:t>
      </w:r>
      <w:r w:rsidRPr="009A539C">
        <w:rPr>
          <w:rFonts w:eastAsia="Calibri" w:cstheme="minorHAnsi"/>
          <w:lang w:eastAsia="pt-PT"/>
        </w:rPr>
        <w:tab/>
        <w:t>na limitação da margem de aumento semanal</w:t>
      </w:r>
      <w:r w:rsidRPr="009A539C">
        <w:rPr>
          <w:rFonts w:eastAsia="Calibri" w:cstheme="minorHAnsi"/>
          <w:vertAlign w:val="superscript"/>
          <w:lang w:eastAsia="pt-PT"/>
        </w:rPr>
        <w:footnoteReference w:id="256"/>
      </w:r>
      <w:r w:rsidRPr="009A539C">
        <w:rPr>
          <w:rFonts w:eastAsia="Calibri" w:cstheme="minorHAnsi"/>
          <w:lang w:eastAsia="pt-PT"/>
        </w:rPr>
        <w:t xml:space="preserve"> (eventualmente com manutenção da margem legal de aumento diário)</w:t>
      </w:r>
      <w:r w:rsidRPr="009A539C">
        <w:rPr>
          <w:rFonts w:eastAsia="Calibri" w:cstheme="minorHAnsi"/>
          <w:vertAlign w:val="superscript"/>
          <w:lang w:eastAsia="pt-PT"/>
        </w:rPr>
        <w:footnoteReference w:id="257"/>
      </w:r>
      <w:r w:rsidRPr="009A539C">
        <w:rPr>
          <w:rFonts w:eastAsia="Calibri" w:cstheme="minorHAnsi"/>
          <w:lang w:eastAsia="pt-PT"/>
        </w:rPr>
        <w:t>;</w:t>
      </w:r>
    </w:p>
    <w:p w14:paraId="4CF87599" w14:textId="77777777" w:rsidR="007452A0" w:rsidRPr="009A539C" w:rsidRDefault="007452A0" w:rsidP="006E42F0">
      <w:pPr>
        <w:spacing w:before="120" w:after="160" w:line="360" w:lineRule="auto"/>
        <w:ind w:left="567" w:right="-1" w:hanging="283"/>
        <w:jc w:val="both"/>
        <w:rPr>
          <w:rFonts w:eastAsia="Calibri" w:cstheme="minorHAnsi"/>
          <w:lang w:eastAsia="pt-PT"/>
        </w:rPr>
      </w:pPr>
      <w:r w:rsidRPr="009A539C">
        <w:rPr>
          <w:rFonts w:eastAsia="Calibri" w:cstheme="minorHAnsi"/>
          <w:lang w:eastAsia="pt-PT"/>
        </w:rPr>
        <w:t xml:space="preserve">– </w:t>
      </w:r>
      <w:r w:rsidRPr="009A539C">
        <w:rPr>
          <w:rFonts w:eastAsia="Calibri" w:cstheme="minorHAnsi"/>
          <w:lang w:eastAsia="pt-PT"/>
        </w:rPr>
        <w:tab/>
        <w:t>na maior limitação das margens diária e semanal</w:t>
      </w:r>
      <w:r w:rsidRPr="009A539C">
        <w:rPr>
          <w:rFonts w:eastAsia="Calibri" w:cstheme="minorHAnsi"/>
          <w:vertAlign w:val="superscript"/>
          <w:lang w:eastAsia="pt-PT"/>
        </w:rPr>
        <w:footnoteReference w:id="258"/>
      </w:r>
      <w:r w:rsidRPr="009A539C">
        <w:rPr>
          <w:rFonts w:eastAsia="Calibri" w:cstheme="minorHAnsi"/>
          <w:lang w:eastAsia="pt-PT"/>
        </w:rPr>
        <w:t>.</w:t>
      </w:r>
    </w:p>
    <w:p w14:paraId="72C4492B" w14:textId="77777777" w:rsidR="007452A0" w:rsidRPr="009A539C" w:rsidRDefault="000D3248" w:rsidP="006E42F0">
      <w:pPr>
        <w:spacing w:before="120" w:after="0" w:line="360" w:lineRule="auto"/>
        <w:ind w:right="-1" w:firstLine="284"/>
        <w:jc w:val="both"/>
        <w:rPr>
          <w:rFonts w:eastAsia="Calibri" w:cs="Calibri"/>
          <w:lang w:eastAsia="pt-PT"/>
        </w:rPr>
      </w:pPr>
      <w:r w:rsidRPr="009A539C">
        <w:rPr>
          <w:rFonts w:ascii="Calibri" w:eastAsia="Calibri" w:hAnsi="Calibri" w:cs="Calibri"/>
          <w:b/>
          <w:sz w:val="23"/>
          <w:szCs w:val="23"/>
          <w:lang w:eastAsia="pt-PT"/>
        </w:rPr>
        <w:t>V</w:t>
      </w:r>
      <w:r w:rsidR="007452A0" w:rsidRPr="009A539C">
        <w:rPr>
          <w:rFonts w:ascii="Calibri" w:eastAsia="Calibri" w:hAnsi="Calibri" w:cs="Calibri"/>
          <w:b/>
          <w:sz w:val="23"/>
          <w:szCs w:val="23"/>
          <w:lang w:eastAsia="pt-PT"/>
        </w:rPr>
        <w:t>.</w:t>
      </w:r>
      <w:r w:rsidR="007452A0" w:rsidRPr="009A539C">
        <w:rPr>
          <w:rFonts w:ascii="Calibri" w:eastAsia="Calibri" w:hAnsi="Calibri" w:cs="Calibri"/>
          <w:b/>
          <w:sz w:val="23"/>
          <w:szCs w:val="23"/>
          <w:lang w:eastAsia="pt-PT"/>
        </w:rPr>
        <w:tab/>
      </w:r>
      <w:r w:rsidR="007452A0" w:rsidRPr="009A539C">
        <w:rPr>
          <w:rFonts w:eastAsia="Calibri" w:cs="Calibri"/>
          <w:lang w:eastAsia="pt-PT"/>
        </w:rPr>
        <w:t>Nas convenções consideradas neste relatório, a possibilidade de extensão do regime de adaptabilidade a quem por ele não era originariamente abrangido (legalmente designada por adaptabilidade grupal - art. 206.º do CT) é versada num conjunto restrito de convenções</w:t>
      </w:r>
      <w:r w:rsidR="007452A0" w:rsidRPr="009A539C">
        <w:rPr>
          <w:rFonts w:eastAsia="Calibri" w:cs="Calibri"/>
          <w:vertAlign w:val="superscript"/>
          <w:lang w:eastAsia="pt-PT"/>
        </w:rPr>
        <w:footnoteReference w:id="259"/>
      </w:r>
      <w:r w:rsidR="007452A0" w:rsidRPr="009A539C">
        <w:rPr>
          <w:rFonts w:eastAsia="Calibri" w:cs="Calibri"/>
          <w:vertAlign w:val="superscript"/>
          <w:lang w:eastAsia="pt-PT"/>
        </w:rPr>
        <w:t xml:space="preserve"> </w:t>
      </w:r>
      <w:r w:rsidR="007452A0" w:rsidRPr="009A539C">
        <w:rPr>
          <w:rFonts w:eastAsia="Calibri" w:cs="Calibri"/>
          <w:lang w:eastAsia="pt-PT"/>
        </w:rPr>
        <w:t>e, em regra, através da mera reprodução da formulação legal.</w:t>
      </w:r>
    </w:p>
    <w:p w14:paraId="6F37E79C" w14:textId="77777777" w:rsidR="007452A0" w:rsidRPr="009A539C" w:rsidRDefault="007452A0" w:rsidP="006E42F0">
      <w:pPr>
        <w:spacing w:after="160" w:line="360" w:lineRule="atLeast"/>
        <w:ind w:right="-1" w:firstLine="284"/>
        <w:jc w:val="both"/>
        <w:rPr>
          <w:rFonts w:eastAsia="Calibri" w:cstheme="minorHAnsi"/>
          <w:lang w:eastAsia="pt-PT"/>
        </w:rPr>
      </w:pPr>
      <w:r w:rsidRPr="009A539C">
        <w:rPr>
          <w:rFonts w:eastAsia="Calibri" w:cstheme="minorHAnsi"/>
          <w:lang w:eastAsia="pt-PT"/>
        </w:rPr>
        <w:t>No quadro seguinte agrupam-se os valores máximos dos acréscimos do PNT diário e semanal convencionados em 2019, assim como os períodos de referência admitidos.</w:t>
      </w:r>
    </w:p>
    <w:p w14:paraId="4EBD4894" w14:textId="77777777" w:rsidR="007452A0" w:rsidRPr="004B7DBA" w:rsidRDefault="007452A0" w:rsidP="00B90788">
      <w:pPr>
        <w:spacing w:after="0" w:line="240" w:lineRule="auto"/>
        <w:ind w:right="-1"/>
        <w:rPr>
          <w:rFonts w:cs="Times New Roman"/>
          <w:color w:val="00000A"/>
          <w:sz w:val="20"/>
          <w:szCs w:val="20"/>
        </w:rPr>
      </w:pPr>
    </w:p>
    <w:p w14:paraId="71822C6D" w14:textId="5182183C" w:rsidR="007452A0" w:rsidRPr="004B7DBA" w:rsidRDefault="00785B2A" w:rsidP="00343774">
      <w:pPr>
        <w:pStyle w:val="Legenda"/>
        <w:jc w:val="center"/>
        <w:rPr>
          <w:b w:val="0"/>
          <w:bCs w:val="0"/>
          <w:sz w:val="20"/>
          <w:szCs w:val="20"/>
        </w:rPr>
      </w:pPr>
      <w:bookmarkStart w:id="650" w:name="_Toc15654989"/>
      <w:bookmarkStart w:id="651" w:name="_Toc45716673"/>
      <w:r w:rsidRPr="004B7DBA">
        <w:rPr>
          <w:b w:val="0"/>
          <w:sz w:val="20"/>
          <w:szCs w:val="20"/>
        </w:rPr>
        <w:t xml:space="preserve">Quadro </w:t>
      </w:r>
      <w:r w:rsidR="00942C57" w:rsidRPr="004B7DBA">
        <w:rPr>
          <w:b w:val="0"/>
          <w:sz w:val="20"/>
          <w:szCs w:val="20"/>
        </w:rPr>
        <w:fldChar w:fldCharType="begin"/>
      </w:r>
      <w:r w:rsidR="00942C57" w:rsidRPr="004B7DBA">
        <w:rPr>
          <w:b w:val="0"/>
          <w:sz w:val="20"/>
          <w:szCs w:val="20"/>
        </w:rPr>
        <w:instrText xml:space="preserve"> SEQ Quadro \* ARABIC </w:instrText>
      </w:r>
      <w:r w:rsidR="00942C57" w:rsidRPr="004B7DBA">
        <w:rPr>
          <w:b w:val="0"/>
          <w:sz w:val="20"/>
          <w:szCs w:val="20"/>
        </w:rPr>
        <w:fldChar w:fldCharType="separate"/>
      </w:r>
      <w:r w:rsidR="00D821DE" w:rsidRPr="004B7DBA">
        <w:rPr>
          <w:b w:val="0"/>
          <w:noProof/>
          <w:sz w:val="20"/>
          <w:szCs w:val="20"/>
        </w:rPr>
        <w:t>52</w:t>
      </w:r>
      <w:r w:rsidR="00942C57" w:rsidRPr="004B7DBA">
        <w:rPr>
          <w:b w:val="0"/>
          <w:noProof/>
          <w:sz w:val="20"/>
          <w:szCs w:val="20"/>
        </w:rPr>
        <w:fldChar w:fldCharType="end"/>
      </w:r>
      <w:r w:rsidR="007452A0" w:rsidRPr="004B7DBA">
        <w:rPr>
          <w:b w:val="0"/>
          <w:bCs w:val="0"/>
          <w:sz w:val="20"/>
          <w:szCs w:val="20"/>
        </w:rPr>
        <w:t xml:space="preserve"> - Adaptabilidade - Valores máximos de PNT e Período de referência</w:t>
      </w:r>
      <w:bookmarkEnd w:id="650"/>
      <w:r w:rsidR="001267D1" w:rsidRPr="004B7DBA">
        <w:rPr>
          <w:b w:val="0"/>
          <w:bCs w:val="0"/>
          <w:sz w:val="20"/>
          <w:szCs w:val="20"/>
        </w:rPr>
        <w:t xml:space="preserve"> </w:t>
      </w:r>
      <w:r w:rsidR="0092659D">
        <w:rPr>
          <w:b w:val="0"/>
          <w:bCs w:val="0"/>
          <w:sz w:val="20"/>
          <w:szCs w:val="20"/>
        </w:rPr>
        <w:t>(</w:t>
      </w:r>
      <w:r w:rsidR="001267D1" w:rsidRPr="004B7DBA">
        <w:rPr>
          <w:b w:val="0"/>
          <w:bCs w:val="0"/>
          <w:sz w:val="20"/>
          <w:szCs w:val="20"/>
        </w:rPr>
        <w:t>2019</w:t>
      </w:r>
      <w:r w:rsidR="0092659D">
        <w:rPr>
          <w:b w:val="0"/>
          <w:bCs w:val="0"/>
          <w:sz w:val="20"/>
          <w:szCs w:val="20"/>
        </w:rPr>
        <w:t>)</w:t>
      </w:r>
      <w:bookmarkEnd w:id="651"/>
    </w:p>
    <w:p w14:paraId="29EF57F2" w14:textId="72E7F775" w:rsidR="007452A0" w:rsidRPr="009A539C" w:rsidRDefault="00051B93" w:rsidP="00051B93">
      <w:pPr>
        <w:spacing w:after="0" w:line="240" w:lineRule="auto"/>
        <w:ind w:right="-1"/>
        <w:jc w:val="center"/>
        <w:rPr>
          <w:rFonts w:cs="Times New Roman"/>
          <w:color w:val="00000A"/>
        </w:rPr>
      </w:pPr>
      <w:r w:rsidRPr="009A539C">
        <w:rPr>
          <w:noProof/>
          <w:lang w:eastAsia="pt-PT"/>
        </w:rPr>
        <w:drawing>
          <wp:inline distT="0" distB="0" distL="0" distR="0" wp14:anchorId="599BDAEC" wp14:editId="432C0D31">
            <wp:extent cx="4048263" cy="1543507"/>
            <wp:effectExtent l="0" t="0" r="0" b="0"/>
            <wp:docPr id="1209" name="Imagem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48282" cy="1543514"/>
                    </a:xfrm>
                    <a:prstGeom prst="rect">
                      <a:avLst/>
                    </a:prstGeom>
                    <a:noFill/>
                    <a:ln>
                      <a:noFill/>
                    </a:ln>
                  </pic:spPr>
                </pic:pic>
              </a:graphicData>
            </a:graphic>
          </wp:inline>
        </w:drawing>
      </w:r>
    </w:p>
    <w:p w14:paraId="60BD4756" w14:textId="77777777" w:rsidR="00C853C1" w:rsidRPr="009A539C" w:rsidRDefault="00C853C1" w:rsidP="00C853C1">
      <w:pPr>
        <w:spacing w:after="0" w:line="240" w:lineRule="auto"/>
        <w:ind w:right="-1"/>
        <w:jc w:val="center"/>
        <w:rPr>
          <w:rFonts w:cs="Times New Roman"/>
          <w:color w:val="00000A"/>
        </w:rPr>
      </w:pPr>
    </w:p>
    <w:p w14:paraId="5E0DAC9D" w14:textId="77777777" w:rsidR="007452A0" w:rsidRPr="009A539C" w:rsidRDefault="007452A0" w:rsidP="006E42F0">
      <w:pPr>
        <w:tabs>
          <w:tab w:val="left" w:pos="-1985"/>
        </w:tabs>
        <w:spacing w:before="120" w:after="160" w:line="360" w:lineRule="auto"/>
        <w:ind w:right="-1" w:firstLine="284"/>
        <w:jc w:val="both"/>
        <w:rPr>
          <w:rFonts w:eastAsia="Calibri" w:cstheme="minorHAnsi"/>
          <w:lang w:eastAsia="pt-PT"/>
        </w:rPr>
      </w:pPr>
      <w:r w:rsidRPr="009A539C">
        <w:rPr>
          <w:rFonts w:eastAsia="Calibri" w:cs="Calibri"/>
          <w:b/>
          <w:lang w:eastAsia="pt-PT"/>
        </w:rPr>
        <w:t>V</w:t>
      </w:r>
      <w:r w:rsidR="000D3248" w:rsidRPr="009A539C">
        <w:rPr>
          <w:rFonts w:eastAsia="Calibri" w:cs="Calibri"/>
          <w:b/>
          <w:lang w:eastAsia="pt-PT"/>
        </w:rPr>
        <w:t>I</w:t>
      </w:r>
      <w:r w:rsidRPr="009A539C">
        <w:rPr>
          <w:rFonts w:eastAsia="Calibri" w:cs="Calibri"/>
          <w:b/>
          <w:lang w:eastAsia="pt-PT"/>
        </w:rPr>
        <w:t>.</w:t>
      </w:r>
      <w:r w:rsidRPr="009A539C">
        <w:rPr>
          <w:rFonts w:eastAsia="Calibri" w:cs="Calibri"/>
          <w:lang w:eastAsia="pt-PT"/>
        </w:rPr>
        <w:tab/>
      </w:r>
      <w:r w:rsidRPr="009A539C">
        <w:rPr>
          <w:rFonts w:eastAsia="Calibri" w:cstheme="minorHAnsi"/>
          <w:lang w:eastAsia="pt-PT"/>
        </w:rPr>
        <w:t xml:space="preserve">O regime de adaptabilidade pressupõe, necessariamente, a determinação de um período de referência a partir do qual se faça o apuramento, em termos médios, do volume horário do trabalho prestado. Quando o regime seja estabelecido por IRCT, a lei assume que dele possa constar a determinação do período de referência, impondo um limite de 12 meses, estabelecendo supletivamente um período de 4 meses, em termos gerais, ou de 6 meses, para certas situações (art. 207.º, 1 e 2, CT). </w:t>
      </w:r>
    </w:p>
    <w:p w14:paraId="4DA3EABC" w14:textId="77777777" w:rsidR="007452A0" w:rsidRPr="009A539C" w:rsidRDefault="007452A0" w:rsidP="006E42F0">
      <w:pPr>
        <w:tabs>
          <w:tab w:val="left" w:pos="-1985"/>
        </w:tabs>
        <w:spacing w:before="120" w:after="160" w:line="360" w:lineRule="auto"/>
        <w:ind w:right="-1" w:firstLine="284"/>
        <w:jc w:val="both"/>
        <w:rPr>
          <w:rFonts w:eastAsia="Calibri" w:cstheme="minorHAnsi"/>
          <w:lang w:eastAsia="pt-PT"/>
        </w:rPr>
      </w:pPr>
      <w:r w:rsidRPr="009A539C">
        <w:rPr>
          <w:rFonts w:eastAsia="Calibri" w:cstheme="minorHAnsi"/>
          <w:lang w:eastAsia="pt-PT"/>
        </w:rPr>
        <w:t>Nas convenções publicadas em 2019 encontramos, também, quanto a este ponto, grande variação. Só num caso o período de referência corresponde a 1 ano</w:t>
      </w:r>
      <w:r w:rsidRPr="009A539C">
        <w:rPr>
          <w:rFonts w:eastAsia="Calibri" w:cstheme="minorHAnsi"/>
          <w:vertAlign w:val="superscript"/>
          <w:lang w:eastAsia="pt-PT"/>
        </w:rPr>
        <w:footnoteReference w:id="260"/>
      </w:r>
      <w:r w:rsidRPr="009A539C">
        <w:rPr>
          <w:rFonts w:eastAsia="Calibri" w:cstheme="minorHAnsi"/>
          <w:lang w:eastAsia="pt-PT"/>
        </w:rPr>
        <w:t>, nas demais situações são fixados outros períodos:   6</w:t>
      </w:r>
      <w:r w:rsidRPr="009A539C">
        <w:rPr>
          <w:rFonts w:eastAsia="Calibri" w:cstheme="minorHAnsi"/>
          <w:vertAlign w:val="superscript"/>
          <w:lang w:eastAsia="pt-PT"/>
        </w:rPr>
        <w:footnoteReference w:id="261"/>
      </w:r>
      <w:r w:rsidRPr="009A539C">
        <w:rPr>
          <w:rFonts w:eastAsia="Calibri" w:cstheme="minorHAnsi"/>
          <w:lang w:eastAsia="pt-PT"/>
        </w:rPr>
        <w:t>, 4</w:t>
      </w:r>
      <w:r w:rsidRPr="009A539C">
        <w:rPr>
          <w:rFonts w:eastAsia="Calibri" w:cstheme="minorHAnsi"/>
          <w:vertAlign w:val="superscript"/>
          <w:lang w:eastAsia="pt-PT"/>
        </w:rPr>
        <w:footnoteReference w:id="262"/>
      </w:r>
      <w:r w:rsidRPr="009A539C">
        <w:rPr>
          <w:rFonts w:eastAsia="Calibri" w:cstheme="minorHAnsi"/>
          <w:lang w:eastAsia="pt-PT"/>
        </w:rPr>
        <w:t>,3</w:t>
      </w:r>
      <w:r w:rsidRPr="009A539C">
        <w:rPr>
          <w:rFonts w:eastAsia="Calibri" w:cstheme="minorHAnsi"/>
          <w:vertAlign w:val="superscript"/>
          <w:lang w:eastAsia="pt-PT"/>
        </w:rPr>
        <w:footnoteReference w:id="263"/>
      </w:r>
      <w:r w:rsidRPr="009A539C">
        <w:rPr>
          <w:rFonts w:eastAsia="Calibri" w:cstheme="minorHAnsi"/>
          <w:lang w:eastAsia="pt-PT"/>
        </w:rPr>
        <w:t xml:space="preserve"> e 2 meses</w:t>
      </w:r>
      <w:r w:rsidRPr="009A539C">
        <w:rPr>
          <w:rFonts w:eastAsia="Calibri" w:cstheme="minorHAnsi"/>
          <w:vertAlign w:val="superscript"/>
          <w:lang w:eastAsia="pt-PT"/>
        </w:rPr>
        <w:footnoteReference w:id="264"/>
      </w:r>
      <w:r w:rsidRPr="009A539C">
        <w:rPr>
          <w:rFonts w:eastAsia="Calibri" w:cstheme="minorHAnsi"/>
          <w:lang w:eastAsia="pt-PT"/>
        </w:rPr>
        <w:t xml:space="preserve"> . </w:t>
      </w:r>
    </w:p>
    <w:p w14:paraId="24711720" w14:textId="77777777" w:rsidR="007452A0" w:rsidRPr="009A539C" w:rsidRDefault="007452A0" w:rsidP="006E42F0">
      <w:pPr>
        <w:tabs>
          <w:tab w:val="left" w:pos="-1985"/>
        </w:tabs>
        <w:spacing w:before="120" w:after="160" w:line="360" w:lineRule="auto"/>
        <w:ind w:right="-1" w:firstLine="284"/>
        <w:jc w:val="both"/>
        <w:rPr>
          <w:rFonts w:eastAsia="Calibri" w:cstheme="minorHAnsi"/>
          <w:lang w:eastAsia="pt-PT"/>
        </w:rPr>
      </w:pPr>
      <w:r w:rsidRPr="009A539C">
        <w:rPr>
          <w:rFonts w:eastAsia="Calibri" w:cs="Calibri"/>
          <w:b/>
          <w:lang w:eastAsia="pt-PT"/>
        </w:rPr>
        <w:t>VI</w:t>
      </w:r>
      <w:r w:rsidR="000D3248" w:rsidRPr="009A539C">
        <w:rPr>
          <w:rFonts w:eastAsia="Calibri" w:cs="Calibri"/>
          <w:b/>
          <w:lang w:eastAsia="pt-PT"/>
        </w:rPr>
        <w:t>I</w:t>
      </w:r>
      <w:r w:rsidRPr="009A539C">
        <w:rPr>
          <w:rFonts w:eastAsia="Calibri" w:cs="Calibri"/>
          <w:b/>
          <w:lang w:eastAsia="pt-PT"/>
        </w:rPr>
        <w:t>.</w:t>
      </w:r>
      <w:r w:rsidRPr="009A539C">
        <w:rPr>
          <w:rFonts w:eastAsia="Calibri" w:cs="Calibri"/>
          <w:lang w:eastAsia="pt-PT"/>
        </w:rPr>
        <w:tab/>
      </w:r>
      <w:r w:rsidRPr="009A539C">
        <w:rPr>
          <w:rFonts w:eastAsia="Calibri" w:cstheme="minorHAnsi"/>
          <w:lang w:eastAsia="pt-PT"/>
        </w:rPr>
        <w:t xml:space="preserve">Integra também a estrutura do regime de adaptabilidade a fixação de horários com jornadas diferentes para vigorar durante o período de referência, a qual cabe, em princípio, ao empregador no quadro do planeamento da atividade e da gestão deste instrumento de flexibilidade da gestão temporal da prestação. </w:t>
      </w:r>
    </w:p>
    <w:p w14:paraId="2190DE86" w14:textId="77777777" w:rsidR="007452A0" w:rsidRPr="009A539C" w:rsidRDefault="007452A0" w:rsidP="006E42F0">
      <w:pPr>
        <w:tabs>
          <w:tab w:val="left" w:pos="-1985"/>
        </w:tabs>
        <w:spacing w:before="120" w:after="160" w:line="360" w:lineRule="auto"/>
        <w:ind w:right="-1" w:firstLine="284"/>
        <w:jc w:val="both"/>
        <w:rPr>
          <w:rFonts w:eastAsia="Calibri" w:cstheme="minorHAnsi"/>
          <w:lang w:eastAsia="pt-PT"/>
        </w:rPr>
      </w:pPr>
      <w:r w:rsidRPr="009A539C">
        <w:rPr>
          <w:rFonts w:eastAsia="Calibri" w:cstheme="minorHAnsi"/>
          <w:lang w:eastAsia="pt-PT"/>
        </w:rPr>
        <w:t>Essa fixação pode ser feita logo para o total do período de referência ou apenas para parte. Nesta segunda opção, os horários para o restante período serão estabelecidos posteriormente, de modo a que a articulação dos vários horários permita assegurar o PNT apurado em termos médios, respeitando as regras legais sobre a alteração do horário de trabalho (art.217.º, 2, do CT, exigindo que os novos horários sejam afixados com a antecedência de 7 dias ou, no caso de microempresa, de 3 dias).</w:t>
      </w:r>
    </w:p>
    <w:p w14:paraId="4DB5817D" w14:textId="77777777" w:rsidR="007452A0" w:rsidRPr="009A539C" w:rsidRDefault="007452A0" w:rsidP="006E42F0">
      <w:pPr>
        <w:tabs>
          <w:tab w:val="left" w:pos="-1985"/>
        </w:tabs>
        <w:spacing w:after="160" w:line="360" w:lineRule="auto"/>
        <w:ind w:right="-1" w:firstLine="284"/>
        <w:jc w:val="both"/>
        <w:rPr>
          <w:rFonts w:eastAsia="Calibri" w:cstheme="minorHAnsi"/>
          <w:lang w:eastAsia="pt-PT"/>
        </w:rPr>
      </w:pPr>
      <w:r w:rsidRPr="009A539C">
        <w:rPr>
          <w:rFonts w:eastAsia="Calibri" w:cstheme="minorHAnsi"/>
          <w:lang w:eastAsia="pt-PT"/>
        </w:rPr>
        <w:t xml:space="preserve">Nem sempre é fácil determinar em que medida as soluções convencionais se afastam ou não do regime legal, dado que, por vezes, parece que se combinam elementos dos regimes de adaptabilidade e de banco de horas. </w:t>
      </w:r>
    </w:p>
    <w:p w14:paraId="473564D6" w14:textId="77777777" w:rsidR="007452A0" w:rsidRPr="009A539C" w:rsidRDefault="007452A0" w:rsidP="006E42F0">
      <w:pPr>
        <w:tabs>
          <w:tab w:val="left" w:pos="-1985"/>
        </w:tabs>
        <w:spacing w:after="160" w:line="360" w:lineRule="auto"/>
        <w:ind w:right="-1" w:firstLine="284"/>
        <w:jc w:val="both"/>
        <w:rPr>
          <w:rFonts w:eastAsia="Calibri" w:cstheme="minorHAnsi"/>
          <w:lang w:eastAsia="pt-PT"/>
        </w:rPr>
      </w:pPr>
      <w:r w:rsidRPr="009A539C">
        <w:rPr>
          <w:rFonts w:eastAsia="Calibri" w:cstheme="minorHAnsi"/>
          <w:lang w:eastAsia="pt-PT"/>
        </w:rPr>
        <w:t xml:space="preserve">  Relativamente aos IRCT convencionais que tratam este ponto encontramos significativa variedade de soluções. Ora se repete a solução legal</w:t>
      </w:r>
      <w:r w:rsidRPr="009A539C">
        <w:rPr>
          <w:rFonts w:eastAsia="Calibri" w:cstheme="minorHAnsi"/>
          <w:vertAlign w:val="superscript"/>
          <w:lang w:eastAsia="pt-PT"/>
        </w:rPr>
        <w:footnoteReference w:id="265"/>
      </w:r>
      <w:r w:rsidRPr="009A539C">
        <w:rPr>
          <w:rFonts w:eastAsia="Calibri" w:cstheme="minorHAnsi"/>
          <w:lang w:eastAsia="pt-PT"/>
        </w:rPr>
        <w:t>, ora se determina apenas a observância de uma antecedência na fixação do horário de 7 dias</w:t>
      </w:r>
      <w:r w:rsidRPr="009A539C">
        <w:rPr>
          <w:rFonts w:eastAsia="Calibri" w:cstheme="minorHAnsi"/>
          <w:vertAlign w:val="superscript"/>
          <w:lang w:eastAsia="pt-PT"/>
        </w:rPr>
        <w:footnoteReference w:id="266"/>
      </w:r>
      <w:r w:rsidRPr="009A539C">
        <w:rPr>
          <w:rFonts w:eastAsia="Calibri" w:cstheme="minorHAnsi"/>
          <w:lang w:eastAsia="pt-PT"/>
        </w:rPr>
        <w:t>, ora esse período é alargado para 30 dias</w:t>
      </w:r>
      <w:r w:rsidRPr="009A539C">
        <w:rPr>
          <w:rFonts w:eastAsia="Calibri" w:cstheme="minorHAnsi"/>
          <w:vertAlign w:val="superscript"/>
          <w:lang w:eastAsia="pt-PT"/>
        </w:rPr>
        <w:footnoteReference w:id="267"/>
      </w:r>
      <w:r w:rsidRPr="009A539C">
        <w:rPr>
          <w:rFonts w:eastAsia="Calibri" w:cstheme="minorHAnsi"/>
          <w:lang w:eastAsia="pt-PT"/>
        </w:rPr>
        <w:t xml:space="preserve"> ou 2 semanas</w:t>
      </w:r>
      <w:r w:rsidRPr="009A539C">
        <w:rPr>
          <w:rFonts w:eastAsia="Calibri" w:cstheme="minorHAnsi"/>
          <w:vertAlign w:val="superscript"/>
          <w:lang w:eastAsia="pt-PT"/>
        </w:rPr>
        <w:footnoteReference w:id="268"/>
      </w:r>
      <w:r w:rsidRPr="009A539C">
        <w:rPr>
          <w:rFonts w:eastAsia="Calibri" w:cstheme="minorHAnsi"/>
          <w:lang w:eastAsia="pt-PT"/>
        </w:rPr>
        <w:t>. Por vezes, exige-se acordo escrito do trabalhador para redução do pré-aviso convencionado</w:t>
      </w:r>
      <w:r w:rsidRPr="009A539C">
        <w:rPr>
          <w:rFonts w:eastAsia="Calibri" w:cstheme="minorHAnsi"/>
          <w:vertAlign w:val="superscript"/>
          <w:lang w:eastAsia="pt-PT"/>
        </w:rPr>
        <w:footnoteReference w:id="269"/>
      </w:r>
      <w:r w:rsidRPr="009A539C">
        <w:rPr>
          <w:rFonts w:eastAsia="Calibri" w:cstheme="minorHAnsi"/>
          <w:lang w:eastAsia="pt-PT"/>
        </w:rPr>
        <w:t>. Por último, existem convenções que, pelo contrário, nada referem este propósito</w:t>
      </w:r>
      <w:r w:rsidRPr="009A539C">
        <w:rPr>
          <w:rFonts w:eastAsia="Calibri" w:cstheme="minorHAnsi"/>
          <w:vertAlign w:val="superscript"/>
          <w:lang w:eastAsia="pt-PT"/>
        </w:rPr>
        <w:footnoteReference w:id="270"/>
      </w:r>
      <w:r w:rsidRPr="009A539C">
        <w:rPr>
          <w:rFonts w:eastAsia="Calibri" w:cstheme="minorHAnsi"/>
          <w:lang w:eastAsia="pt-PT"/>
        </w:rPr>
        <w:t>.</w:t>
      </w:r>
    </w:p>
    <w:p w14:paraId="666A4A12" w14:textId="77777777" w:rsidR="007452A0" w:rsidRPr="009A539C" w:rsidRDefault="007452A0" w:rsidP="006E42F0">
      <w:pPr>
        <w:tabs>
          <w:tab w:val="left" w:pos="-1985"/>
        </w:tabs>
        <w:spacing w:before="120" w:after="160" w:line="360" w:lineRule="auto"/>
        <w:ind w:right="-1" w:firstLine="284"/>
        <w:jc w:val="both"/>
        <w:rPr>
          <w:rFonts w:eastAsia="Calibri" w:cstheme="minorHAnsi"/>
          <w:lang w:eastAsia="pt-PT"/>
        </w:rPr>
      </w:pPr>
      <w:r w:rsidRPr="009A539C">
        <w:rPr>
          <w:rFonts w:eastAsia="Calibri" w:cs="Calibri"/>
          <w:b/>
          <w:lang w:eastAsia="pt-PT"/>
        </w:rPr>
        <w:t>VII.</w:t>
      </w:r>
      <w:r w:rsidRPr="009A539C">
        <w:rPr>
          <w:rFonts w:eastAsia="Calibri" w:cstheme="minorHAnsi"/>
          <w:lang w:eastAsia="pt-PT"/>
        </w:rPr>
        <w:t xml:space="preserve"> Inerente ao regime de adaptabilidade é, também, a previsão de períodos em que a duração o trabalho é inferior ao PNT acordado, de modo a que, no final do período de referência, o total de horas trabalhadas dentro do horário corresponda a este, em termos médios.</w:t>
      </w:r>
    </w:p>
    <w:p w14:paraId="16A876B3" w14:textId="0D3F4537" w:rsidR="007452A0" w:rsidRPr="009A539C" w:rsidRDefault="007452A0" w:rsidP="006E42F0">
      <w:pPr>
        <w:tabs>
          <w:tab w:val="left" w:pos="-1985"/>
        </w:tabs>
        <w:spacing w:before="120" w:after="160" w:line="360" w:lineRule="auto"/>
        <w:ind w:right="-1" w:firstLine="284"/>
        <w:jc w:val="both"/>
        <w:rPr>
          <w:rFonts w:eastAsia="Calibri" w:cs="Calibri"/>
          <w:lang w:eastAsia="pt-PT"/>
        </w:rPr>
      </w:pPr>
      <w:r w:rsidRPr="009A539C">
        <w:rPr>
          <w:rFonts w:eastAsia="Calibri" w:cstheme="minorHAnsi"/>
          <w:lang w:eastAsia="pt-PT"/>
        </w:rPr>
        <w:t>Para este efeito, a maior parte das convenções estabelece limites máximos para a redução diária (frequentemente, 2 horas</w:t>
      </w:r>
      <w:r w:rsidRPr="009A539C">
        <w:rPr>
          <w:rFonts w:eastAsia="Calibri" w:cstheme="minorHAnsi"/>
          <w:vertAlign w:val="superscript"/>
          <w:lang w:eastAsia="pt-PT"/>
        </w:rPr>
        <w:footnoteReference w:id="271"/>
      </w:r>
      <w:r w:rsidRPr="009A539C">
        <w:rPr>
          <w:rFonts w:eastAsia="Calibri" w:cstheme="minorHAnsi"/>
          <w:lang w:eastAsia="pt-PT"/>
        </w:rPr>
        <w:t>), salvo se a redução, por acordo entre trabalhadores e empregador se traduzir em dias ou meios dias de</w:t>
      </w:r>
      <w:r w:rsidRPr="009A539C">
        <w:rPr>
          <w:rFonts w:eastAsia="Calibri" w:cs="Calibri"/>
          <w:lang w:eastAsia="pt-PT"/>
        </w:rPr>
        <w:t xml:space="preserve"> descanso</w:t>
      </w:r>
      <w:r w:rsidRPr="009A539C">
        <w:rPr>
          <w:rFonts w:eastAsia="Calibri" w:cs="Calibri"/>
          <w:vertAlign w:val="superscript"/>
          <w:lang w:eastAsia="pt-PT"/>
        </w:rPr>
        <w:footnoteReference w:id="272"/>
      </w:r>
      <w:r w:rsidR="008E7AA6" w:rsidRPr="009A539C">
        <w:rPr>
          <w:rFonts w:eastAsia="Calibri" w:cs="Calibri"/>
          <w:lang w:eastAsia="pt-PT"/>
        </w:rPr>
        <w:t xml:space="preserve"> ou </w:t>
      </w:r>
      <w:r w:rsidRPr="009A539C">
        <w:rPr>
          <w:rFonts w:eastAsia="Calibri" w:cs="Calibri"/>
          <w:lang w:eastAsia="pt-PT"/>
        </w:rPr>
        <w:t xml:space="preserve">através </w:t>
      </w:r>
      <w:r w:rsidRPr="009A539C">
        <w:rPr>
          <w:rFonts w:eastAsia="Calibri" w:cstheme="minorHAnsi"/>
          <w:lang w:eastAsia="pt-PT"/>
        </w:rPr>
        <w:t>do acréscimo de dias de férias</w:t>
      </w:r>
      <w:r w:rsidRPr="009A539C">
        <w:rPr>
          <w:rFonts w:eastAsia="Calibri" w:cstheme="minorHAnsi"/>
          <w:vertAlign w:val="superscript"/>
          <w:lang w:eastAsia="pt-PT"/>
        </w:rPr>
        <w:footnoteReference w:id="273"/>
      </w:r>
      <w:r w:rsidR="008E7AA6" w:rsidRPr="009A539C">
        <w:rPr>
          <w:rFonts w:eastAsia="Calibri" w:cstheme="minorHAnsi"/>
          <w:lang w:eastAsia="pt-PT"/>
        </w:rPr>
        <w:t>.</w:t>
      </w:r>
    </w:p>
    <w:p w14:paraId="57DE628E" w14:textId="77777777" w:rsidR="007452A0" w:rsidRPr="009A539C" w:rsidRDefault="007452A0" w:rsidP="006E42F0">
      <w:pPr>
        <w:tabs>
          <w:tab w:val="left" w:pos="-1985"/>
        </w:tabs>
        <w:spacing w:after="160" w:line="360" w:lineRule="auto"/>
        <w:ind w:right="-1" w:firstLine="284"/>
        <w:jc w:val="both"/>
        <w:rPr>
          <w:rFonts w:eastAsia="Calibri" w:cstheme="minorHAnsi"/>
          <w:lang w:eastAsia="pt-PT"/>
        </w:rPr>
      </w:pPr>
      <w:r w:rsidRPr="009A539C">
        <w:rPr>
          <w:rFonts w:eastAsia="Calibri" w:cstheme="minorHAnsi"/>
          <w:lang w:eastAsia="pt-PT"/>
        </w:rPr>
        <w:t xml:space="preserve">  Um outro ponto que integra a fisionomia do regime convencional respeita ás situações em que, no final do período de referência, as horas prestadas em acréscimo não estejam plenamente compensadas, determinando-se que serão pagas como trabalho suplementar</w:t>
      </w:r>
      <w:r w:rsidRPr="009A539C">
        <w:rPr>
          <w:rFonts w:eastAsia="Calibri" w:cstheme="minorHAnsi"/>
          <w:vertAlign w:val="superscript"/>
          <w:lang w:eastAsia="pt-PT"/>
        </w:rPr>
        <w:footnoteReference w:id="274"/>
      </w:r>
      <w:r w:rsidRPr="009A539C">
        <w:rPr>
          <w:rFonts w:eastAsia="Calibri" w:cstheme="minorHAnsi"/>
          <w:lang w:eastAsia="pt-PT"/>
        </w:rPr>
        <w:t>.</w:t>
      </w:r>
    </w:p>
    <w:p w14:paraId="0977BDE7" w14:textId="77777777" w:rsidR="007452A0" w:rsidRPr="009A539C" w:rsidRDefault="007452A0" w:rsidP="006E42F0">
      <w:pPr>
        <w:tabs>
          <w:tab w:val="left" w:pos="-1985"/>
        </w:tabs>
        <w:spacing w:after="160" w:line="360" w:lineRule="auto"/>
        <w:ind w:right="-1" w:firstLine="284"/>
        <w:jc w:val="both"/>
        <w:rPr>
          <w:rFonts w:eastAsia="Calibri" w:cstheme="minorHAnsi"/>
          <w:lang w:eastAsia="pt-PT"/>
        </w:rPr>
      </w:pPr>
    </w:p>
    <w:p w14:paraId="51BCF200" w14:textId="23C80391" w:rsidR="007452A0" w:rsidRPr="009A539C" w:rsidRDefault="000D3248" w:rsidP="006E42F0">
      <w:pPr>
        <w:tabs>
          <w:tab w:val="left" w:pos="-1985"/>
        </w:tabs>
        <w:spacing w:before="120" w:after="160" w:line="360" w:lineRule="auto"/>
        <w:ind w:right="-1" w:firstLine="284"/>
        <w:jc w:val="both"/>
        <w:rPr>
          <w:rFonts w:eastAsia="Calibri" w:cstheme="minorHAnsi"/>
          <w:lang w:eastAsia="pt-PT"/>
        </w:rPr>
      </w:pPr>
      <w:r w:rsidRPr="009A539C">
        <w:rPr>
          <w:rFonts w:eastAsia="Calibri" w:cs="Calibri"/>
          <w:b/>
          <w:lang w:eastAsia="pt-PT"/>
        </w:rPr>
        <w:t>V</w:t>
      </w:r>
      <w:r w:rsidR="007452A0" w:rsidRPr="009A539C">
        <w:rPr>
          <w:rFonts w:eastAsia="Calibri" w:cs="Calibri"/>
          <w:b/>
          <w:lang w:eastAsia="pt-PT"/>
        </w:rPr>
        <w:t xml:space="preserve">III. </w:t>
      </w:r>
      <w:r w:rsidR="007452A0" w:rsidRPr="009A539C">
        <w:rPr>
          <w:rFonts w:eastAsia="Calibri" w:cstheme="minorHAnsi"/>
          <w:lang w:eastAsia="pt-PT"/>
        </w:rPr>
        <w:t>Não é habitual a previsão de compensação pecuniária específica para a prestação de trabalho em regime de adaptabilidade, embora se encontrem algumas situações</w:t>
      </w:r>
      <w:r w:rsidR="007452A0" w:rsidRPr="009A539C">
        <w:rPr>
          <w:rFonts w:eastAsia="Calibri" w:cstheme="minorHAnsi"/>
          <w:vertAlign w:val="superscript"/>
          <w:lang w:eastAsia="pt-PT"/>
        </w:rPr>
        <w:footnoteReference w:id="275"/>
      </w:r>
      <w:r w:rsidR="007452A0" w:rsidRPr="009A539C">
        <w:rPr>
          <w:rFonts w:eastAsia="Calibri" w:cstheme="minorHAnsi"/>
          <w:lang w:eastAsia="pt-PT"/>
        </w:rPr>
        <w:t>. Pelo contrário, é muito comum a imposição do pagamento das despesas ou encargos ocasionados pela prática do regime de adaptabilidade, enunciada em termos gerais</w:t>
      </w:r>
      <w:r w:rsidR="007452A0" w:rsidRPr="009A539C">
        <w:rPr>
          <w:rFonts w:eastAsia="Calibri" w:cstheme="minorHAnsi"/>
          <w:vertAlign w:val="superscript"/>
          <w:lang w:eastAsia="pt-PT"/>
        </w:rPr>
        <w:footnoteReference w:id="276"/>
      </w:r>
      <w:r w:rsidR="007452A0" w:rsidRPr="009A539C">
        <w:rPr>
          <w:rFonts w:eastAsia="Calibri" w:cstheme="minorHAnsi"/>
          <w:lang w:eastAsia="pt-PT"/>
        </w:rPr>
        <w:t>, ou de modo especifico relativamente ao pagamento de transporte e ou alimentação</w:t>
      </w:r>
      <w:r w:rsidR="007452A0" w:rsidRPr="009A539C">
        <w:rPr>
          <w:rFonts w:eastAsia="Calibri" w:cstheme="minorHAnsi"/>
          <w:vertAlign w:val="superscript"/>
          <w:lang w:eastAsia="pt-PT"/>
        </w:rPr>
        <w:footnoteReference w:id="277"/>
      </w:r>
      <w:r w:rsidR="007452A0" w:rsidRPr="009A539C">
        <w:rPr>
          <w:rFonts w:eastAsia="Calibri" w:cstheme="minorHAnsi"/>
          <w:lang w:eastAsia="pt-PT"/>
        </w:rPr>
        <w:t xml:space="preserve">. E para as horas trabalhadas a mais e não compensadas prevê-se, nalguns casos, o seu pagamento como a trabalho  suplementar </w:t>
      </w:r>
      <w:r w:rsidR="007452A0" w:rsidRPr="009A539C">
        <w:rPr>
          <w:rFonts w:eastAsia="Calibri" w:cstheme="minorHAnsi"/>
          <w:vertAlign w:val="superscript"/>
          <w:lang w:eastAsia="pt-PT"/>
        </w:rPr>
        <w:footnoteReference w:id="278"/>
      </w:r>
      <w:r w:rsidR="007452A0" w:rsidRPr="009A539C">
        <w:rPr>
          <w:rFonts w:eastAsia="Calibri" w:cstheme="minorHAnsi"/>
          <w:lang w:eastAsia="pt-PT"/>
        </w:rPr>
        <w:t xml:space="preserve"> . </w:t>
      </w:r>
    </w:p>
    <w:p w14:paraId="589CD4D9" w14:textId="77777777" w:rsidR="007452A0" w:rsidRPr="009A539C" w:rsidRDefault="007452A0" w:rsidP="006E42F0">
      <w:pPr>
        <w:tabs>
          <w:tab w:val="left" w:pos="-1985"/>
        </w:tabs>
        <w:spacing w:before="120" w:after="160" w:line="360" w:lineRule="auto"/>
        <w:ind w:right="-1" w:firstLine="284"/>
        <w:jc w:val="both"/>
        <w:rPr>
          <w:rFonts w:eastAsia="Calibri" w:cstheme="minorHAnsi"/>
          <w:lang w:eastAsia="pt-PT"/>
        </w:rPr>
      </w:pPr>
      <w:r w:rsidRPr="009A539C">
        <w:rPr>
          <w:rFonts w:eastAsia="Calibri" w:cs="Calibri"/>
          <w:b/>
          <w:lang w:eastAsia="pt-PT"/>
        </w:rPr>
        <w:t xml:space="preserve">IX. </w:t>
      </w:r>
      <w:r w:rsidRPr="009A539C">
        <w:rPr>
          <w:rFonts w:eastAsia="Calibri" w:cstheme="minorHAnsi"/>
          <w:lang w:eastAsia="pt-PT"/>
        </w:rPr>
        <w:t>No âmbito do tratamento convencional da adaptabilidade encontramos ainda, com regularidade, outras matérias:</w:t>
      </w:r>
    </w:p>
    <w:p w14:paraId="139E636C" w14:textId="77777777" w:rsidR="007452A0" w:rsidRPr="009A539C" w:rsidRDefault="007452A0" w:rsidP="00642AA5">
      <w:pPr>
        <w:tabs>
          <w:tab w:val="left" w:pos="851"/>
        </w:tabs>
        <w:spacing w:before="120" w:after="160" w:line="360" w:lineRule="auto"/>
        <w:ind w:left="993" w:right="-1"/>
        <w:jc w:val="both"/>
        <w:rPr>
          <w:rFonts w:eastAsia="Calibri" w:cstheme="minorHAnsi"/>
          <w:lang w:eastAsia="pt-PT"/>
        </w:rPr>
      </w:pPr>
      <w:r w:rsidRPr="009A539C">
        <w:rPr>
          <w:rFonts w:eastAsia="Calibri" w:cstheme="minorHAnsi"/>
          <w:lang w:eastAsia="pt-PT"/>
        </w:rPr>
        <w:t xml:space="preserve">– </w:t>
      </w:r>
      <w:r w:rsidRPr="009A539C">
        <w:rPr>
          <w:rFonts w:eastAsia="Calibri" w:cstheme="minorHAnsi"/>
          <w:lang w:eastAsia="pt-PT"/>
        </w:rPr>
        <w:tab/>
        <w:t>estabelecimento de dispensas de aplicação do regime, próximos da lei</w:t>
      </w:r>
      <w:r w:rsidRPr="009A539C">
        <w:rPr>
          <w:rFonts w:eastAsia="Calibri" w:cstheme="minorHAnsi"/>
          <w:vertAlign w:val="superscript"/>
          <w:lang w:eastAsia="pt-PT"/>
        </w:rPr>
        <w:footnoteReference w:id="279"/>
      </w:r>
      <w:r w:rsidRPr="009A539C">
        <w:rPr>
          <w:rFonts w:eastAsia="Calibri" w:cstheme="minorHAnsi"/>
          <w:lang w:eastAsia="pt-PT"/>
        </w:rPr>
        <w:t>;</w:t>
      </w:r>
    </w:p>
    <w:p w14:paraId="3E58F0DD" w14:textId="77777777" w:rsidR="007452A0" w:rsidRPr="009A539C" w:rsidRDefault="007452A0" w:rsidP="00642AA5">
      <w:pPr>
        <w:tabs>
          <w:tab w:val="left" w:pos="851"/>
        </w:tabs>
        <w:spacing w:before="120" w:after="160" w:line="360" w:lineRule="auto"/>
        <w:ind w:left="993" w:right="-1"/>
        <w:jc w:val="both"/>
        <w:rPr>
          <w:rFonts w:eastAsia="Calibri" w:cstheme="minorHAnsi"/>
          <w:lang w:eastAsia="pt-PT"/>
        </w:rPr>
      </w:pPr>
      <w:r w:rsidRPr="009A539C">
        <w:rPr>
          <w:rFonts w:eastAsia="Calibri" w:cstheme="minorHAnsi"/>
          <w:lang w:eastAsia="pt-PT"/>
        </w:rPr>
        <w:t>–</w:t>
      </w:r>
      <w:r w:rsidRPr="009A539C">
        <w:rPr>
          <w:rFonts w:eastAsia="Calibri" w:cstheme="minorHAnsi"/>
          <w:lang w:eastAsia="pt-PT"/>
        </w:rPr>
        <w:tab/>
        <w:t xml:space="preserve"> procedimentalização da aplicação do regime</w:t>
      </w:r>
      <w:r w:rsidRPr="009A539C">
        <w:rPr>
          <w:rFonts w:eastAsia="Calibri" w:cstheme="minorHAnsi"/>
          <w:vertAlign w:val="superscript"/>
          <w:lang w:eastAsia="pt-PT"/>
        </w:rPr>
        <w:footnoteReference w:id="280"/>
      </w:r>
      <w:r w:rsidRPr="009A539C">
        <w:rPr>
          <w:rFonts w:eastAsia="Calibri" w:cstheme="minorHAnsi"/>
          <w:lang w:eastAsia="pt-PT"/>
        </w:rPr>
        <w:t>;</w:t>
      </w:r>
    </w:p>
    <w:p w14:paraId="751D24D3" w14:textId="77777777" w:rsidR="007452A0" w:rsidRPr="009A539C" w:rsidRDefault="007452A0" w:rsidP="00642AA5">
      <w:pPr>
        <w:tabs>
          <w:tab w:val="left" w:pos="851"/>
        </w:tabs>
        <w:spacing w:before="120" w:after="160" w:line="360" w:lineRule="auto"/>
        <w:ind w:left="993" w:right="-1"/>
        <w:jc w:val="both"/>
        <w:rPr>
          <w:rFonts w:eastAsia="Calibri" w:cstheme="minorHAnsi"/>
          <w:lang w:eastAsia="pt-PT"/>
        </w:rPr>
      </w:pPr>
      <w:r w:rsidRPr="009A539C">
        <w:rPr>
          <w:rFonts w:eastAsia="Calibri" w:cstheme="minorHAnsi"/>
          <w:lang w:eastAsia="pt-PT"/>
        </w:rPr>
        <w:t xml:space="preserve">– </w:t>
      </w:r>
      <w:r w:rsidRPr="009A539C">
        <w:rPr>
          <w:rFonts w:eastAsia="Calibri" w:cstheme="minorHAnsi"/>
          <w:lang w:eastAsia="pt-PT"/>
        </w:rPr>
        <w:tab/>
        <w:t>esquemas de tutela para os trabalhadores que integrem um mesmo agregado familiar</w:t>
      </w:r>
      <w:r w:rsidRPr="009A539C">
        <w:rPr>
          <w:rFonts w:eastAsia="Calibri" w:cstheme="minorHAnsi"/>
          <w:vertAlign w:val="superscript"/>
          <w:lang w:eastAsia="pt-PT"/>
        </w:rPr>
        <w:footnoteReference w:id="281"/>
      </w:r>
      <w:r w:rsidRPr="009A539C">
        <w:rPr>
          <w:rFonts w:eastAsia="Calibri" w:cstheme="minorHAnsi"/>
          <w:lang w:eastAsia="pt-PT"/>
        </w:rPr>
        <w:t>.</w:t>
      </w:r>
    </w:p>
    <w:p w14:paraId="7A1AAAFC" w14:textId="7B69C3CE" w:rsidR="007452A0" w:rsidRPr="009A539C" w:rsidRDefault="007452A0" w:rsidP="00922B44">
      <w:pPr>
        <w:pStyle w:val="PargrafodaLista"/>
        <w:numPr>
          <w:ilvl w:val="0"/>
          <w:numId w:val="73"/>
        </w:numPr>
        <w:tabs>
          <w:tab w:val="left" w:pos="851"/>
        </w:tabs>
        <w:spacing w:before="120" w:after="160" w:line="360" w:lineRule="auto"/>
        <w:ind w:left="1418" w:right="-1" w:hanging="425"/>
        <w:jc w:val="both"/>
        <w:rPr>
          <w:rFonts w:eastAsia="Calibri" w:cstheme="minorHAnsi"/>
          <w:lang w:eastAsia="pt-PT"/>
        </w:rPr>
      </w:pPr>
      <w:r w:rsidRPr="009A539C">
        <w:rPr>
          <w:rFonts w:eastAsia="Calibri" w:cstheme="minorHAnsi"/>
          <w:lang w:eastAsia="pt-PT"/>
        </w:rPr>
        <w:t>esquemas de articulação do regime de adaptabilidade com  o regime do banco de horas</w:t>
      </w:r>
      <w:r w:rsidRPr="009A539C">
        <w:rPr>
          <w:vertAlign w:val="superscript"/>
          <w:lang w:eastAsia="pt-PT"/>
        </w:rPr>
        <w:footnoteReference w:id="282"/>
      </w:r>
      <w:r w:rsidRPr="009A539C">
        <w:rPr>
          <w:rFonts w:eastAsia="Calibri" w:cstheme="minorHAnsi"/>
          <w:lang w:eastAsia="pt-PT"/>
        </w:rPr>
        <w:t>, isenção de horário</w:t>
      </w:r>
      <w:r w:rsidRPr="009A539C">
        <w:rPr>
          <w:vertAlign w:val="superscript"/>
          <w:lang w:eastAsia="pt-PT"/>
        </w:rPr>
        <w:footnoteReference w:id="283"/>
      </w:r>
      <w:r w:rsidRPr="009A539C">
        <w:rPr>
          <w:rFonts w:eastAsia="Calibri" w:cstheme="minorHAnsi"/>
          <w:lang w:eastAsia="pt-PT"/>
        </w:rPr>
        <w:t xml:space="preserve"> e trabalho suplementar</w:t>
      </w:r>
      <w:r w:rsidRPr="009A539C">
        <w:rPr>
          <w:vertAlign w:val="superscript"/>
          <w:lang w:eastAsia="pt-PT"/>
        </w:rPr>
        <w:footnoteReference w:id="284"/>
      </w:r>
      <w:r w:rsidR="00F30D92" w:rsidRPr="009A539C">
        <w:rPr>
          <w:rFonts w:eastAsia="Calibri" w:cstheme="minorHAnsi"/>
          <w:lang w:eastAsia="pt-PT"/>
        </w:rPr>
        <w:t>.</w:t>
      </w:r>
    </w:p>
    <w:p w14:paraId="6C1E7AF5" w14:textId="77777777" w:rsidR="007452A0" w:rsidRPr="009A539C" w:rsidRDefault="007452A0" w:rsidP="00B90788">
      <w:pPr>
        <w:tabs>
          <w:tab w:val="left" w:pos="851"/>
        </w:tabs>
        <w:spacing w:after="160" w:line="360" w:lineRule="auto"/>
        <w:ind w:right="-1" w:firstLine="425"/>
        <w:jc w:val="both"/>
        <w:rPr>
          <w:rFonts w:eastAsia="Calibri" w:cstheme="minorHAnsi"/>
          <w:lang w:eastAsia="pt-PT"/>
        </w:rPr>
      </w:pPr>
    </w:p>
    <w:p w14:paraId="685FFB1E" w14:textId="77777777" w:rsidR="007452A0" w:rsidRPr="009A539C" w:rsidRDefault="007452A0" w:rsidP="00AF188D">
      <w:pPr>
        <w:pStyle w:val="Cabealho4"/>
        <w:numPr>
          <w:ilvl w:val="0"/>
          <w:numId w:val="63"/>
        </w:numPr>
        <w:rPr>
          <w:rFonts w:asciiTheme="minorHAnsi" w:hAnsiTheme="minorHAnsi" w:cstheme="minorHAnsi"/>
          <w:b w:val="0"/>
          <w:bCs w:val="0"/>
          <w:iCs w:val="0"/>
          <w:color w:val="auto"/>
        </w:rPr>
      </w:pPr>
      <w:bookmarkStart w:id="652" w:name="_Toc7017703"/>
      <w:bookmarkStart w:id="653" w:name="_Toc15652503"/>
      <w:bookmarkStart w:id="654" w:name="_Toc42511769"/>
      <w:bookmarkStart w:id="655" w:name="_Toc42514533"/>
      <w:bookmarkStart w:id="656" w:name="_Toc45535717"/>
      <w:bookmarkStart w:id="657" w:name="_Toc470179383"/>
      <w:bookmarkStart w:id="658" w:name="_Toc449106622"/>
      <w:r w:rsidRPr="009A539C">
        <w:rPr>
          <w:rFonts w:asciiTheme="minorHAnsi" w:hAnsiTheme="minorHAnsi" w:cstheme="minorHAnsi"/>
          <w:b w:val="0"/>
          <w:bCs w:val="0"/>
          <w:iCs w:val="0"/>
          <w:color w:val="auto"/>
        </w:rPr>
        <w:t>Banco de horas: principais caraterísticas dos regimes convencionais</w:t>
      </w:r>
      <w:bookmarkEnd w:id="652"/>
      <w:bookmarkEnd w:id="653"/>
      <w:bookmarkEnd w:id="654"/>
      <w:bookmarkEnd w:id="655"/>
      <w:bookmarkEnd w:id="656"/>
    </w:p>
    <w:p w14:paraId="4531A050" w14:textId="77777777" w:rsidR="007452A0" w:rsidRPr="009A539C" w:rsidRDefault="007452A0" w:rsidP="00B90788">
      <w:pPr>
        <w:keepNext/>
        <w:keepLines/>
        <w:spacing w:before="360" w:after="0"/>
        <w:ind w:left="1145" w:right="-1"/>
        <w:outlineLvl w:val="2"/>
        <w:rPr>
          <w:rFonts w:cstheme="minorHAnsi"/>
          <w:b/>
          <w:i/>
        </w:rPr>
      </w:pPr>
    </w:p>
    <w:bookmarkEnd w:id="657"/>
    <w:bookmarkEnd w:id="658"/>
    <w:p w14:paraId="1BE004EA" w14:textId="77777777" w:rsidR="007452A0" w:rsidRPr="009A539C" w:rsidRDefault="007452A0" w:rsidP="00C57F4C">
      <w:pPr>
        <w:numPr>
          <w:ilvl w:val="0"/>
          <w:numId w:val="42"/>
        </w:numPr>
        <w:tabs>
          <w:tab w:val="left" w:pos="-1701"/>
        </w:tabs>
        <w:spacing w:before="120" w:after="0" w:line="360" w:lineRule="auto"/>
        <w:ind w:left="0" w:right="-1" w:firstLine="284"/>
        <w:jc w:val="both"/>
        <w:rPr>
          <w:rFonts w:eastAsia="Calibri" w:cstheme="minorHAnsi"/>
          <w:lang w:eastAsia="pt-PT"/>
        </w:rPr>
      </w:pPr>
      <w:r w:rsidRPr="009A539C">
        <w:rPr>
          <w:rFonts w:eastAsia="Calibri" w:cstheme="minorHAnsi"/>
          <w:lang w:eastAsia="pt-PT"/>
        </w:rPr>
        <w:t xml:space="preserve">Nos termos da lei (art. 208.º do CT), o banco de horas corresponde à possibilidade de fixação de um certo volume de horas de trabalho, exigíveis ao trabalhador, que o empregador pode gerir fora do horário de trabalho. </w:t>
      </w:r>
    </w:p>
    <w:p w14:paraId="7C295567" w14:textId="77777777" w:rsidR="007452A0" w:rsidRPr="009A539C" w:rsidRDefault="007452A0" w:rsidP="00C57F4C">
      <w:pPr>
        <w:tabs>
          <w:tab w:val="left" w:pos="-1701"/>
        </w:tabs>
        <w:spacing w:before="120" w:after="0" w:line="360" w:lineRule="auto"/>
        <w:ind w:right="-1" w:firstLine="284"/>
        <w:jc w:val="both"/>
        <w:rPr>
          <w:rFonts w:eastAsia="Calibri" w:cstheme="minorHAnsi"/>
          <w:lang w:eastAsia="pt-PT"/>
        </w:rPr>
      </w:pPr>
      <w:r w:rsidRPr="009A539C">
        <w:rPr>
          <w:rFonts w:eastAsia="Calibri" w:cstheme="minorHAnsi"/>
          <w:lang w:eastAsia="pt-PT"/>
        </w:rPr>
        <w:t xml:space="preserve"> Nas situações em que o acréscimo de horas de trabalho é total ou parcialmente compensado com descanso, distinguir o regime do banco de horas do da adaptabilidade pode constituir uma tarefa espinhosa. E tal como em anos anteriores,  a  plasticidade da figura tem correspondência nas convenções coletivas, existindo situações de difícil qualificação.</w:t>
      </w:r>
    </w:p>
    <w:p w14:paraId="58BE4CCC" w14:textId="77777777" w:rsidR="007452A0" w:rsidRPr="009A539C" w:rsidRDefault="007452A0" w:rsidP="00C57F4C">
      <w:pPr>
        <w:tabs>
          <w:tab w:val="left" w:pos="-1701"/>
        </w:tabs>
        <w:spacing w:before="120" w:after="0" w:line="360" w:lineRule="auto"/>
        <w:ind w:right="-1" w:firstLine="284"/>
        <w:jc w:val="both"/>
        <w:rPr>
          <w:rFonts w:eastAsia="Calibri" w:cstheme="minorHAnsi"/>
          <w:lang w:eastAsia="pt-PT"/>
        </w:rPr>
      </w:pPr>
      <w:r w:rsidRPr="009A539C">
        <w:rPr>
          <w:rFonts w:eastAsia="Calibri" w:cstheme="minorHAnsi"/>
          <w:lang w:eastAsia="pt-PT"/>
        </w:rPr>
        <w:t>Conforme referido nos Relatórios precedentes, ter-se-á em consideração que, contrariamente  ao regime de adaptabilidade, o banco de horas não envolve a definição de horários de trabalho diferentes no decurso de um período de referência, sendo tanto o acréscimo do tempo de trabalho como a utilização da compensação em descanso</w:t>
      </w:r>
      <w:r w:rsidRPr="009A539C">
        <w:rPr>
          <w:rFonts w:eastAsia="Calibri" w:cs="Calibri"/>
          <w:lang w:eastAsia="pt-PT"/>
        </w:rPr>
        <w:t xml:space="preserve"> geridos casuisticamente. É, também, típico do banco de horas a definição de um volume horário total a ser gerido nestes termos</w:t>
      </w:r>
      <w:r w:rsidRPr="009A539C">
        <w:rPr>
          <w:rFonts w:eastAsia="Calibri" w:cs="Calibri"/>
          <w:vertAlign w:val="superscript"/>
          <w:lang w:eastAsia="pt-PT"/>
        </w:rPr>
        <w:footnoteReference w:id="285"/>
      </w:r>
      <w:r w:rsidRPr="009A539C">
        <w:rPr>
          <w:rFonts w:eastAsia="Calibri" w:cs="Calibri"/>
          <w:lang w:eastAsia="pt-PT"/>
        </w:rPr>
        <w:t>.</w:t>
      </w:r>
    </w:p>
    <w:p w14:paraId="3F86D8BB" w14:textId="77777777" w:rsidR="00FC36E5" w:rsidRPr="009A539C" w:rsidRDefault="00FC36E5" w:rsidP="00642AA5">
      <w:pPr>
        <w:spacing w:line="240" w:lineRule="auto"/>
        <w:ind w:right="-1"/>
        <w:rPr>
          <w:rFonts w:cs="Times New Roman"/>
          <w:b/>
          <w:bCs/>
          <w:color w:val="4F81BD" w:themeColor="accent1"/>
        </w:rPr>
      </w:pPr>
    </w:p>
    <w:p w14:paraId="33355E11" w14:textId="77777777" w:rsidR="007452A0" w:rsidRPr="009A539C" w:rsidRDefault="007452A0" w:rsidP="00B90788">
      <w:pPr>
        <w:spacing w:after="0" w:line="240" w:lineRule="auto"/>
        <w:ind w:right="-1"/>
        <w:rPr>
          <w:rFonts w:cs="Times New Roman"/>
          <w:color w:val="00000A"/>
        </w:rPr>
      </w:pPr>
    </w:p>
    <w:p w14:paraId="21668DBE" w14:textId="3198424B" w:rsidR="007452A0" w:rsidRPr="004B7DBA" w:rsidRDefault="00785B2A" w:rsidP="00343774">
      <w:pPr>
        <w:pStyle w:val="Legenda"/>
        <w:jc w:val="center"/>
        <w:rPr>
          <w:b w:val="0"/>
          <w:bCs w:val="0"/>
          <w:sz w:val="20"/>
          <w:szCs w:val="20"/>
        </w:rPr>
      </w:pPr>
      <w:bookmarkStart w:id="659" w:name="_Toc15654990"/>
      <w:bookmarkStart w:id="660" w:name="_Toc45716674"/>
      <w:r w:rsidRPr="004B7DBA">
        <w:rPr>
          <w:b w:val="0"/>
          <w:sz w:val="20"/>
          <w:szCs w:val="20"/>
        </w:rPr>
        <w:t xml:space="preserve">Quadro </w:t>
      </w:r>
      <w:r w:rsidR="00942C57" w:rsidRPr="004B7DBA">
        <w:rPr>
          <w:b w:val="0"/>
          <w:sz w:val="20"/>
          <w:szCs w:val="20"/>
        </w:rPr>
        <w:fldChar w:fldCharType="begin"/>
      </w:r>
      <w:r w:rsidR="00942C57" w:rsidRPr="004B7DBA">
        <w:rPr>
          <w:b w:val="0"/>
          <w:sz w:val="20"/>
          <w:szCs w:val="20"/>
        </w:rPr>
        <w:instrText xml:space="preserve"> SEQ Quadro \* ARABIC </w:instrText>
      </w:r>
      <w:r w:rsidR="00942C57" w:rsidRPr="004B7DBA">
        <w:rPr>
          <w:b w:val="0"/>
          <w:sz w:val="20"/>
          <w:szCs w:val="20"/>
        </w:rPr>
        <w:fldChar w:fldCharType="separate"/>
      </w:r>
      <w:r w:rsidR="00D821DE" w:rsidRPr="004B7DBA">
        <w:rPr>
          <w:b w:val="0"/>
          <w:noProof/>
          <w:sz w:val="20"/>
          <w:szCs w:val="20"/>
        </w:rPr>
        <w:t>53</w:t>
      </w:r>
      <w:r w:rsidR="00942C57" w:rsidRPr="004B7DBA">
        <w:rPr>
          <w:b w:val="0"/>
          <w:noProof/>
          <w:sz w:val="20"/>
          <w:szCs w:val="20"/>
        </w:rPr>
        <w:fldChar w:fldCharType="end"/>
      </w:r>
      <w:r w:rsidR="007452A0" w:rsidRPr="004B7DBA">
        <w:rPr>
          <w:b w:val="0"/>
          <w:bCs w:val="0"/>
          <w:sz w:val="20"/>
          <w:szCs w:val="20"/>
        </w:rPr>
        <w:t xml:space="preserve"> - IRCT publicados em 2019 com cláusulas sobre Banco de Horas (por tipo)</w:t>
      </w:r>
      <w:bookmarkEnd w:id="659"/>
      <w:bookmarkEnd w:id="660"/>
    </w:p>
    <w:p w14:paraId="76586426" w14:textId="77777777" w:rsidR="007452A0" w:rsidRPr="004B7DBA" w:rsidRDefault="007452A0" w:rsidP="00B90788">
      <w:pPr>
        <w:spacing w:after="0" w:line="360" w:lineRule="auto"/>
        <w:ind w:right="-1"/>
        <w:rPr>
          <w:rFonts w:eastAsia="Calibri" w:cs="Times New Roman"/>
          <w:sz w:val="20"/>
          <w:szCs w:val="20"/>
        </w:rPr>
      </w:pPr>
    </w:p>
    <w:p w14:paraId="3806F380" w14:textId="77777777" w:rsidR="007452A0" w:rsidRPr="009A539C" w:rsidRDefault="007452A0" w:rsidP="00B90788">
      <w:pPr>
        <w:spacing w:after="0" w:line="360" w:lineRule="auto"/>
        <w:ind w:right="-1"/>
        <w:jc w:val="center"/>
        <w:rPr>
          <w:rFonts w:eastAsia="Calibri" w:cs="Times New Roman"/>
        </w:rPr>
      </w:pPr>
      <w:r w:rsidRPr="009A539C">
        <w:rPr>
          <w:rFonts w:cs="Times New Roman"/>
          <w:noProof/>
          <w:color w:val="00000A"/>
          <w:lang w:eastAsia="pt-PT"/>
        </w:rPr>
        <w:drawing>
          <wp:inline distT="0" distB="0" distL="0" distR="0" wp14:anchorId="5C76566C" wp14:editId="42DE6246">
            <wp:extent cx="3998794" cy="1977617"/>
            <wp:effectExtent l="0" t="0" r="1905" b="0"/>
            <wp:docPr id="1178" name="Imagem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996955" cy="1976707"/>
                    </a:xfrm>
                    <a:prstGeom prst="rect">
                      <a:avLst/>
                    </a:prstGeom>
                    <a:noFill/>
                    <a:ln>
                      <a:noFill/>
                    </a:ln>
                  </pic:spPr>
                </pic:pic>
              </a:graphicData>
            </a:graphic>
          </wp:inline>
        </w:drawing>
      </w:r>
    </w:p>
    <w:p w14:paraId="7DB84C57" w14:textId="77777777" w:rsidR="007452A0" w:rsidRPr="009A539C" w:rsidRDefault="007452A0" w:rsidP="00B90788">
      <w:pPr>
        <w:spacing w:after="0" w:line="360" w:lineRule="auto"/>
        <w:ind w:right="-1"/>
        <w:jc w:val="center"/>
        <w:rPr>
          <w:rFonts w:eastAsia="Calibri" w:cs="Times New Roman"/>
        </w:rPr>
      </w:pPr>
    </w:p>
    <w:p w14:paraId="22559374" w14:textId="4B3DA2BF" w:rsidR="007452A0" w:rsidRPr="009A539C" w:rsidRDefault="007452A0" w:rsidP="00C57F4C">
      <w:pPr>
        <w:spacing w:after="0" w:line="360" w:lineRule="auto"/>
        <w:ind w:right="-1" w:firstLine="284"/>
        <w:jc w:val="both"/>
        <w:rPr>
          <w:rFonts w:eastAsia="Calibri" w:cstheme="minorHAnsi"/>
          <w:lang w:eastAsia="pt-PT"/>
        </w:rPr>
      </w:pPr>
      <w:r w:rsidRPr="009A539C">
        <w:rPr>
          <w:rFonts w:eastAsia="Calibri" w:cstheme="minorHAnsi"/>
          <w:b/>
          <w:lang w:eastAsia="pt-PT"/>
        </w:rPr>
        <w:t xml:space="preserve">II. </w:t>
      </w:r>
      <w:r w:rsidRPr="009A539C">
        <w:rPr>
          <w:rFonts w:eastAsia="Calibri" w:cstheme="minorHAnsi"/>
          <w:lang w:eastAsia="pt-PT"/>
        </w:rPr>
        <w:t xml:space="preserve">Sem novidade, em 2019, as convenções coletivas apresentam desenhos muito variados da figura do banco de horas, articulando os diversos elementos que a estruturam (aumento da jornada de trabalho, volume horário disponível, modos de compensação, iniciativa da compensação). </w:t>
      </w:r>
    </w:p>
    <w:p w14:paraId="480687B5" w14:textId="77777777" w:rsidR="007452A0" w:rsidRPr="009A539C" w:rsidRDefault="007452A0" w:rsidP="00C57F4C">
      <w:pPr>
        <w:spacing w:after="0" w:line="360" w:lineRule="auto"/>
        <w:ind w:right="-1" w:firstLine="284"/>
        <w:jc w:val="both"/>
        <w:rPr>
          <w:rFonts w:eastAsia="Calibri" w:cstheme="minorHAnsi"/>
          <w:lang w:eastAsia="pt-PT"/>
        </w:rPr>
      </w:pPr>
      <w:r w:rsidRPr="009A539C">
        <w:rPr>
          <w:rFonts w:eastAsia="Calibri" w:cstheme="minorHAnsi"/>
          <w:lang w:eastAsia="pt-PT"/>
        </w:rPr>
        <w:t xml:space="preserve"> Várias convenções dão abertura à utilização do banco de horas também no interesse</w:t>
      </w:r>
      <w:r w:rsidRPr="009A539C">
        <w:rPr>
          <w:rFonts w:eastAsia="Calibri" w:cstheme="minorHAnsi"/>
          <w:vertAlign w:val="superscript"/>
          <w:lang w:eastAsia="pt-PT"/>
        </w:rPr>
        <w:footnoteReference w:id="286"/>
      </w:r>
      <w:r w:rsidRPr="009A539C">
        <w:rPr>
          <w:rFonts w:eastAsia="Calibri" w:cstheme="minorHAnsi"/>
          <w:lang w:eastAsia="pt-PT"/>
        </w:rPr>
        <w:t xml:space="preserve"> e por iniciativa do trabalhador</w:t>
      </w:r>
      <w:r w:rsidRPr="009A539C">
        <w:rPr>
          <w:rFonts w:eastAsia="Calibri" w:cstheme="minorHAnsi"/>
          <w:vertAlign w:val="superscript"/>
          <w:lang w:eastAsia="pt-PT"/>
        </w:rPr>
        <w:footnoteReference w:id="287"/>
      </w:r>
      <w:r w:rsidRPr="009A539C">
        <w:rPr>
          <w:rFonts w:eastAsia="Calibri" w:cstheme="minorHAnsi"/>
          <w:lang w:eastAsia="pt-PT"/>
        </w:rPr>
        <w:t xml:space="preserve"> (as mais das vezes sujeita à anuência do empregador</w:t>
      </w:r>
      <w:r w:rsidRPr="009A539C">
        <w:rPr>
          <w:rFonts w:eastAsia="Calibri" w:cstheme="minorHAnsi"/>
          <w:vertAlign w:val="superscript"/>
          <w:lang w:eastAsia="pt-PT"/>
        </w:rPr>
        <w:footnoteReference w:id="288"/>
      </w:r>
      <w:r w:rsidRPr="009A539C">
        <w:rPr>
          <w:rFonts w:eastAsia="Calibri" w:cstheme="minorHAnsi"/>
          <w:lang w:eastAsia="pt-PT"/>
        </w:rPr>
        <w:t>), retirando, pois, unilateralidade a este mecanismos de flexibilização.</w:t>
      </w:r>
    </w:p>
    <w:p w14:paraId="3D90F7EE" w14:textId="77777777" w:rsidR="007452A0" w:rsidRPr="009A539C" w:rsidRDefault="007452A0" w:rsidP="00C57F4C">
      <w:pPr>
        <w:spacing w:after="0" w:line="360" w:lineRule="auto"/>
        <w:ind w:right="-1" w:firstLine="284"/>
        <w:jc w:val="both"/>
        <w:rPr>
          <w:rFonts w:eastAsia="Calibri" w:cstheme="minorHAnsi"/>
          <w:lang w:eastAsia="pt-PT"/>
        </w:rPr>
      </w:pPr>
      <w:r w:rsidRPr="009A539C">
        <w:rPr>
          <w:rFonts w:eastAsia="Calibri" w:cstheme="minorHAnsi"/>
          <w:lang w:eastAsia="pt-PT"/>
        </w:rPr>
        <w:t>De outra parte, o regime surge em contextos também distintos: na maior parte dos casos, em cláusula própria com epígrafe que a identifica; noutros casos, a propósito da regulação do horário de trabalho</w:t>
      </w:r>
      <w:r w:rsidRPr="009A539C">
        <w:rPr>
          <w:rFonts w:eastAsia="Calibri" w:cstheme="minorHAnsi"/>
          <w:vertAlign w:val="superscript"/>
          <w:lang w:eastAsia="pt-PT"/>
        </w:rPr>
        <w:footnoteReference w:id="289"/>
      </w:r>
      <w:r w:rsidRPr="009A539C">
        <w:rPr>
          <w:rFonts w:eastAsia="Calibri" w:cstheme="minorHAnsi"/>
          <w:lang w:eastAsia="pt-PT"/>
        </w:rPr>
        <w:t xml:space="preserve"> ou designado regime de tempo de trabalho específico</w:t>
      </w:r>
      <w:r w:rsidRPr="009A539C">
        <w:rPr>
          <w:rFonts w:eastAsia="Calibri" w:cstheme="minorHAnsi"/>
          <w:vertAlign w:val="superscript"/>
          <w:lang w:eastAsia="pt-PT"/>
        </w:rPr>
        <w:footnoteReference w:id="290"/>
      </w:r>
      <w:r w:rsidRPr="009A539C">
        <w:rPr>
          <w:rFonts w:eastAsia="Calibri" w:cstheme="minorHAnsi"/>
          <w:lang w:eastAsia="pt-PT"/>
        </w:rPr>
        <w:t xml:space="preserve"> noutros ainda aparece sem qualificação, através de uma identificação genérica (por exemplo, “organização especial do trabalho”</w:t>
      </w:r>
      <w:r w:rsidRPr="009A539C">
        <w:rPr>
          <w:rFonts w:eastAsia="Calibri" w:cstheme="minorHAnsi"/>
          <w:vertAlign w:val="superscript"/>
          <w:lang w:eastAsia="pt-PT"/>
        </w:rPr>
        <w:footnoteReference w:id="291"/>
      </w:r>
      <w:r w:rsidRPr="009A539C">
        <w:rPr>
          <w:rFonts w:eastAsia="Calibri" w:cstheme="minorHAnsi"/>
          <w:lang w:eastAsia="pt-PT"/>
        </w:rPr>
        <w:t>; ou “regimes de tempo de trabalho dependente de IRCT”</w:t>
      </w:r>
      <w:r w:rsidRPr="009A539C">
        <w:rPr>
          <w:rFonts w:eastAsia="Calibri" w:cstheme="minorHAnsi"/>
          <w:vertAlign w:val="superscript"/>
          <w:lang w:eastAsia="pt-PT"/>
        </w:rPr>
        <w:footnoteReference w:id="292"/>
      </w:r>
      <w:r w:rsidRPr="009A539C">
        <w:rPr>
          <w:rFonts w:eastAsia="Calibri" w:cstheme="minorHAnsi"/>
          <w:lang w:eastAsia="pt-PT"/>
        </w:rPr>
        <w:t>).</w:t>
      </w:r>
    </w:p>
    <w:p w14:paraId="7D8442BE" w14:textId="77777777" w:rsidR="007452A0" w:rsidRPr="009A539C" w:rsidRDefault="007452A0" w:rsidP="00C57F4C">
      <w:pPr>
        <w:spacing w:after="0" w:line="360" w:lineRule="auto"/>
        <w:ind w:right="-1" w:firstLine="284"/>
        <w:jc w:val="both"/>
        <w:rPr>
          <w:rFonts w:eastAsia="Calibri" w:cs="Calibri"/>
          <w:strike/>
          <w:lang w:eastAsia="pt-PT"/>
        </w:rPr>
      </w:pPr>
      <w:r w:rsidRPr="009A539C">
        <w:rPr>
          <w:rFonts w:eastAsia="Calibri" w:cstheme="minorHAnsi"/>
          <w:lang w:eastAsia="pt-PT"/>
        </w:rPr>
        <w:t>Noutro plano ainda, o recurso ao banco de horas tanto pode depender apenas de iniciativa do empregador</w:t>
      </w:r>
      <w:r w:rsidRPr="009A539C">
        <w:rPr>
          <w:rFonts w:eastAsia="Calibri" w:cstheme="minorHAnsi"/>
          <w:vertAlign w:val="superscript"/>
          <w:lang w:eastAsia="pt-PT"/>
        </w:rPr>
        <w:footnoteReference w:id="293"/>
      </w:r>
      <w:r w:rsidRPr="009A539C">
        <w:rPr>
          <w:rFonts w:eastAsia="Calibri" w:cstheme="minorHAnsi"/>
          <w:lang w:eastAsia="pt-PT"/>
        </w:rPr>
        <w:t>, como carecer de instituição por iniciativa deste mas admitir a sua aplicação por iniciativa do trabalhador</w:t>
      </w:r>
      <w:r w:rsidRPr="009A539C">
        <w:rPr>
          <w:rFonts w:eastAsia="Calibri" w:cstheme="minorHAnsi"/>
          <w:vertAlign w:val="superscript"/>
          <w:lang w:eastAsia="pt-PT"/>
        </w:rPr>
        <w:footnoteReference w:id="294"/>
      </w:r>
      <w:r w:rsidRPr="009A539C">
        <w:rPr>
          <w:rFonts w:eastAsia="Calibri" w:cstheme="minorHAnsi"/>
          <w:lang w:eastAsia="pt-PT"/>
        </w:rPr>
        <w:t>, ou depender de acordo (escrito) do trabalhador</w:t>
      </w:r>
      <w:r w:rsidRPr="009A539C">
        <w:rPr>
          <w:rFonts w:eastAsia="Calibri" w:cstheme="minorHAnsi"/>
          <w:vertAlign w:val="superscript"/>
          <w:lang w:eastAsia="pt-PT"/>
        </w:rPr>
        <w:footnoteReference w:id="295"/>
      </w:r>
      <w:r w:rsidRPr="009A539C">
        <w:rPr>
          <w:rFonts w:eastAsia="Calibri" w:cstheme="minorHAnsi"/>
          <w:lang w:eastAsia="pt-PT"/>
        </w:rPr>
        <w:t>.</w:t>
      </w:r>
      <w:r w:rsidRPr="009A539C">
        <w:rPr>
          <w:rFonts w:eastAsia="Calibri" w:cs="Calibri"/>
          <w:lang w:eastAsia="pt-PT"/>
        </w:rPr>
        <w:t xml:space="preserve"> </w:t>
      </w:r>
      <w:r w:rsidRPr="009A539C">
        <w:rPr>
          <w:rFonts w:eastAsia="Calibri" w:cstheme="minorHAnsi"/>
          <w:lang w:eastAsia="pt-PT"/>
        </w:rPr>
        <w:t>Encontramos, ainda, a previsão da possibilidade de o trabalhador solicitar a dispensa do regime de banco de horas, com base em “motivo legalmente atendível”</w:t>
      </w:r>
      <w:r w:rsidRPr="009A539C">
        <w:rPr>
          <w:rFonts w:eastAsia="Calibri" w:cstheme="minorHAnsi"/>
          <w:vertAlign w:val="superscript"/>
          <w:lang w:eastAsia="pt-PT"/>
        </w:rPr>
        <w:footnoteReference w:id="296"/>
      </w:r>
      <w:r w:rsidRPr="009A539C">
        <w:rPr>
          <w:rFonts w:eastAsia="Calibri" w:cstheme="minorHAnsi"/>
          <w:lang w:eastAsia="pt-PT"/>
        </w:rPr>
        <w:t>.</w:t>
      </w:r>
    </w:p>
    <w:p w14:paraId="560178B2" w14:textId="77777777" w:rsidR="007452A0" w:rsidRPr="009A539C" w:rsidRDefault="007452A0" w:rsidP="00C57F4C">
      <w:pPr>
        <w:spacing w:after="0" w:line="360" w:lineRule="auto"/>
        <w:ind w:right="-1" w:firstLine="284"/>
        <w:jc w:val="both"/>
        <w:rPr>
          <w:rFonts w:eastAsia="Calibri" w:cstheme="minorHAnsi"/>
          <w:lang w:eastAsia="pt-PT"/>
        </w:rPr>
      </w:pPr>
      <w:r w:rsidRPr="009A539C">
        <w:rPr>
          <w:rFonts w:eastAsia="Calibri" w:cstheme="minorHAnsi"/>
          <w:lang w:eastAsia="pt-PT"/>
        </w:rPr>
        <w:t>Finalmente, a aplicação do banco de horas não depende, na generalidade dos casos, da verificação de quaisquer pressupostos especiais. Contudo, algumas convenções tipificam as situações em que pode ser aplicado, ainda que com grande amplitude</w:t>
      </w:r>
      <w:r w:rsidRPr="009A539C">
        <w:rPr>
          <w:rFonts w:eastAsia="Calibri" w:cstheme="minorHAnsi"/>
          <w:vertAlign w:val="superscript"/>
          <w:lang w:eastAsia="pt-PT"/>
        </w:rPr>
        <w:footnoteReference w:id="297"/>
      </w:r>
      <w:r w:rsidRPr="009A539C">
        <w:rPr>
          <w:rFonts w:eastAsia="Calibri" w:cstheme="minorHAnsi"/>
          <w:lang w:eastAsia="pt-PT"/>
        </w:rPr>
        <w:t>, ou limitam essa possibilidade a situações precisas</w:t>
      </w:r>
      <w:r w:rsidRPr="009A539C">
        <w:rPr>
          <w:rFonts w:eastAsia="Calibri" w:cstheme="minorHAnsi"/>
          <w:vertAlign w:val="superscript"/>
          <w:lang w:eastAsia="pt-PT"/>
        </w:rPr>
        <w:footnoteReference w:id="298"/>
      </w:r>
      <w:r w:rsidRPr="009A539C">
        <w:rPr>
          <w:rFonts w:eastAsia="Calibri" w:cstheme="minorHAnsi"/>
          <w:lang w:eastAsia="pt-PT"/>
        </w:rPr>
        <w:t xml:space="preserve">.  </w:t>
      </w:r>
    </w:p>
    <w:p w14:paraId="1180204E" w14:textId="77777777" w:rsidR="007452A0" w:rsidRPr="009A539C" w:rsidRDefault="007452A0" w:rsidP="00C57F4C">
      <w:pPr>
        <w:spacing w:after="0" w:line="360" w:lineRule="atLeast"/>
        <w:ind w:right="-1" w:firstLine="284"/>
        <w:jc w:val="both"/>
        <w:rPr>
          <w:rFonts w:eastAsia="Calibri" w:cstheme="minorHAnsi"/>
          <w:b/>
          <w:lang w:eastAsia="pt-PT"/>
        </w:rPr>
      </w:pPr>
    </w:p>
    <w:p w14:paraId="7B64096E" w14:textId="77777777" w:rsidR="007452A0" w:rsidRPr="009A539C" w:rsidRDefault="007452A0" w:rsidP="00C57F4C">
      <w:pPr>
        <w:tabs>
          <w:tab w:val="left" w:pos="993"/>
        </w:tabs>
        <w:spacing w:after="0" w:line="360" w:lineRule="atLeast"/>
        <w:ind w:right="-1" w:firstLine="284"/>
        <w:jc w:val="both"/>
        <w:rPr>
          <w:rFonts w:eastAsia="Times New Roman" w:cstheme="minorHAnsi"/>
        </w:rPr>
      </w:pPr>
      <w:r w:rsidRPr="009A539C">
        <w:rPr>
          <w:rFonts w:eastAsia="Calibri" w:cstheme="minorHAnsi"/>
          <w:b/>
          <w:lang w:eastAsia="pt-PT"/>
        </w:rPr>
        <w:t xml:space="preserve">III. </w:t>
      </w:r>
      <w:r w:rsidRPr="009A539C">
        <w:rPr>
          <w:rFonts w:eastAsia="Calibri" w:cstheme="minorHAnsi"/>
          <w:b/>
          <w:lang w:eastAsia="pt-PT"/>
        </w:rPr>
        <w:tab/>
        <w:t xml:space="preserve"> </w:t>
      </w:r>
      <w:r w:rsidRPr="009A539C">
        <w:rPr>
          <w:rFonts w:eastAsia="Calibri" w:cstheme="minorHAnsi"/>
          <w:lang w:eastAsia="pt-PT"/>
        </w:rPr>
        <w:t>O alargamento da jornada de trabalho facultado pelo Código do Trabalho, no âmbito do regime banco de horas instituído por convenção coletiva, está sujeito aos seguintes limites: 4</w:t>
      </w:r>
      <w:r w:rsidRPr="009A539C">
        <w:rPr>
          <w:rFonts w:eastAsia="Times New Roman" w:cstheme="minorHAnsi"/>
        </w:rPr>
        <w:t xml:space="preserve"> horas diárias, 60 horas semanais e 200 horas por ano (art. 208.º, 2)</w:t>
      </w:r>
      <w:r w:rsidRPr="009A539C">
        <w:rPr>
          <w:rFonts w:eastAsia="Times New Roman" w:cstheme="minorHAnsi"/>
          <w:vertAlign w:val="superscript"/>
        </w:rPr>
        <w:footnoteReference w:id="299"/>
      </w:r>
      <w:r w:rsidRPr="009A539C">
        <w:rPr>
          <w:rFonts w:eastAsia="Times New Roman" w:cstheme="minorHAnsi"/>
        </w:rPr>
        <w:t>.</w:t>
      </w:r>
    </w:p>
    <w:p w14:paraId="47CAAA89" w14:textId="77777777" w:rsidR="007452A0" w:rsidRPr="009A539C" w:rsidRDefault="007452A0" w:rsidP="00C57F4C">
      <w:pPr>
        <w:tabs>
          <w:tab w:val="left" w:pos="993"/>
        </w:tabs>
        <w:spacing w:after="0" w:line="360" w:lineRule="atLeast"/>
        <w:ind w:right="-1" w:firstLine="284"/>
        <w:jc w:val="both"/>
        <w:rPr>
          <w:rFonts w:eastAsia="Times New Roman" w:cs="Times New Roman"/>
        </w:rPr>
      </w:pPr>
      <w:r w:rsidRPr="009A539C">
        <w:rPr>
          <w:rFonts w:eastAsia="Times New Roman" w:cstheme="minorHAnsi"/>
        </w:rPr>
        <w:t>Nas convenções coletivas publicadas em 2019 encontramos regimes que replicam estes limites, em termos gerais</w:t>
      </w:r>
      <w:r w:rsidRPr="009A539C">
        <w:rPr>
          <w:rFonts w:eastAsia="Times New Roman" w:cstheme="minorHAnsi"/>
          <w:vertAlign w:val="superscript"/>
        </w:rPr>
        <w:footnoteReference w:id="300"/>
      </w:r>
      <w:r w:rsidRPr="009A539C">
        <w:rPr>
          <w:rFonts w:eastAsia="Times New Roman" w:cstheme="minorHAnsi"/>
        </w:rPr>
        <w:t>. Contudo, a quase totalidade das convenções estabelece limites inferiores (quer para a jornada diária, quer para a jornada semanal, quer para a jornada anual, na maior parte dos casos para todas elas, em alguns apenas para parte</w:t>
      </w:r>
      <w:r w:rsidRPr="009A539C">
        <w:rPr>
          <w:rFonts w:eastAsia="Times New Roman" w:cstheme="minorHAnsi"/>
          <w:vertAlign w:val="superscript"/>
        </w:rPr>
        <w:footnoteReference w:id="301"/>
      </w:r>
      <w:r w:rsidRPr="009A539C">
        <w:rPr>
          <w:rFonts w:eastAsia="Times New Roman" w:cstheme="minorHAnsi"/>
        </w:rPr>
        <w:t>). É comum a determinação de um máximo de alargamento diário de 2</w:t>
      </w:r>
      <w:r w:rsidRPr="009A539C">
        <w:rPr>
          <w:rFonts w:eastAsia="Times New Roman" w:cs="Times New Roman"/>
        </w:rPr>
        <w:t xml:space="preserve"> horas e de 50 horas por semana</w:t>
      </w:r>
      <w:r w:rsidRPr="009A539C">
        <w:rPr>
          <w:rFonts w:eastAsia="Times New Roman" w:cs="Times New Roman"/>
          <w:vertAlign w:val="superscript"/>
        </w:rPr>
        <w:footnoteReference w:id="302"/>
      </w:r>
      <w:r w:rsidRPr="009A539C">
        <w:rPr>
          <w:rFonts w:eastAsia="Times New Roman" w:cs="Times New Roman"/>
        </w:rPr>
        <w:t>, embora as soluções sejam, como se tem referido, muito variáveis (já ficaram mencionadas soluções de aumento de 3 ou 4 horas diárias; encontramos, no período semanal, para além dos volumes já referidos de 50 e 60 horas, máximos de 48</w:t>
      </w:r>
      <w:r w:rsidRPr="009A539C">
        <w:rPr>
          <w:rFonts w:eastAsia="Times New Roman" w:cs="Times New Roman"/>
          <w:vertAlign w:val="superscript"/>
        </w:rPr>
        <w:footnoteReference w:id="303"/>
      </w:r>
      <w:r w:rsidRPr="009A539C">
        <w:rPr>
          <w:rFonts w:eastAsia="Times New Roman" w:cs="Times New Roman"/>
        </w:rPr>
        <w:t xml:space="preserve"> e 55 horas</w:t>
      </w:r>
      <w:r w:rsidRPr="009A539C">
        <w:rPr>
          <w:rFonts w:eastAsia="Times New Roman" w:cs="Times New Roman"/>
          <w:vertAlign w:val="superscript"/>
        </w:rPr>
        <w:footnoteReference w:id="304"/>
      </w:r>
      <w:r w:rsidRPr="009A539C">
        <w:rPr>
          <w:rFonts w:eastAsia="Times New Roman" w:cs="Times New Roman"/>
        </w:rPr>
        <w:t xml:space="preserve">). Também </w:t>
      </w:r>
    </w:p>
    <w:p w14:paraId="44FD2110" w14:textId="77777777" w:rsidR="007452A0" w:rsidRPr="009A539C" w:rsidRDefault="007452A0" w:rsidP="00C57F4C">
      <w:pPr>
        <w:tabs>
          <w:tab w:val="left" w:pos="993"/>
        </w:tabs>
        <w:spacing w:after="0" w:line="360" w:lineRule="atLeast"/>
        <w:ind w:right="-1" w:firstLine="284"/>
        <w:jc w:val="both"/>
        <w:rPr>
          <w:rFonts w:eastAsia="Times New Roman" w:cstheme="minorHAnsi"/>
        </w:rPr>
      </w:pPr>
      <w:r w:rsidRPr="009A539C">
        <w:rPr>
          <w:rFonts w:eastAsia="Times New Roman" w:cstheme="minorHAnsi"/>
        </w:rPr>
        <w:t>os máximos anuais são muito diversificados: para além das 150 horas encontramos previsões de160H</w:t>
      </w:r>
      <w:r w:rsidRPr="009A539C">
        <w:rPr>
          <w:rFonts w:eastAsia="Times New Roman" w:cstheme="minorHAnsi"/>
          <w:vertAlign w:val="superscript"/>
        </w:rPr>
        <w:footnoteReference w:id="305"/>
      </w:r>
      <w:r w:rsidRPr="009A539C">
        <w:rPr>
          <w:rFonts w:eastAsia="Times New Roman" w:cstheme="minorHAnsi"/>
        </w:rPr>
        <w:t>, 175 horas</w:t>
      </w:r>
      <w:r w:rsidRPr="009A539C">
        <w:rPr>
          <w:rFonts w:eastAsia="Times New Roman" w:cstheme="minorHAnsi"/>
          <w:vertAlign w:val="superscript"/>
        </w:rPr>
        <w:footnoteReference w:id="306"/>
      </w:r>
      <w:r w:rsidRPr="009A539C">
        <w:rPr>
          <w:rFonts w:eastAsia="Times New Roman" w:cstheme="minorHAnsi"/>
        </w:rPr>
        <w:t xml:space="preserve"> ou 200 horas</w:t>
      </w:r>
      <w:r w:rsidRPr="009A539C">
        <w:rPr>
          <w:rFonts w:eastAsia="Times New Roman" w:cstheme="minorHAnsi"/>
          <w:vertAlign w:val="superscript"/>
        </w:rPr>
        <w:footnoteReference w:id="307"/>
      </w:r>
      <w:r w:rsidRPr="009A539C">
        <w:rPr>
          <w:rFonts w:eastAsia="Times New Roman" w:cstheme="minorHAnsi"/>
        </w:rPr>
        <w:t xml:space="preserve">. </w:t>
      </w:r>
    </w:p>
    <w:p w14:paraId="3DEA2DBE" w14:textId="77777777" w:rsidR="007452A0" w:rsidRPr="009A539C" w:rsidRDefault="007452A0" w:rsidP="00C57F4C">
      <w:pPr>
        <w:tabs>
          <w:tab w:val="left" w:pos="993"/>
        </w:tabs>
        <w:spacing w:after="0" w:line="360" w:lineRule="atLeast"/>
        <w:ind w:right="-1" w:firstLine="284"/>
        <w:jc w:val="both"/>
        <w:rPr>
          <w:rFonts w:eastAsia="Calibri" w:cstheme="minorHAnsi"/>
          <w:lang w:eastAsia="pt-PT"/>
        </w:rPr>
      </w:pPr>
      <w:r w:rsidRPr="009A539C">
        <w:rPr>
          <w:rFonts w:eastAsia="Calibri" w:cstheme="minorHAnsi"/>
          <w:lang w:eastAsia="pt-PT"/>
        </w:rPr>
        <w:t>O quadro seguinte apresenta uma síntese dos acréscimos horários ao período de trabalho diário e semanal, bem como do volume horário anual afeto ao banco de horas, convencionados em 2019.</w:t>
      </w:r>
    </w:p>
    <w:p w14:paraId="5BE99E13" w14:textId="77777777" w:rsidR="007452A0" w:rsidRPr="009A539C" w:rsidRDefault="007452A0" w:rsidP="00B90788">
      <w:pPr>
        <w:tabs>
          <w:tab w:val="left" w:pos="993"/>
        </w:tabs>
        <w:spacing w:after="0" w:line="360" w:lineRule="atLeast"/>
        <w:ind w:right="-1" w:firstLine="425"/>
        <w:jc w:val="both"/>
        <w:rPr>
          <w:rFonts w:eastAsia="Calibri" w:cstheme="minorHAnsi"/>
          <w:lang w:eastAsia="pt-PT"/>
        </w:rPr>
      </w:pPr>
    </w:p>
    <w:p w14:paraId="4C758A83" w14:textId="77777777" w:rsidR="00FC36E5" w:rsidRPr="009A539C" w:rsidRDefault="00FC36E5" w:rsidP="00C57F4C">
      <w:pPr>
        <w:spacing w:line="240" w:lineRule="auto"/>
        <w:ind w:right="-1"/>
        <w:rPr>
          <w:rFonts w:cs="Times New Roman"/>
          <w:b/>
          <w:bCs/>
          <w:color w:val="4F81BD" w:themeColor="accent1"/>
          <w:sz w:val="20"/>
          <w:szCs w:val="20"/>
        </w:rPr>
      </w:pPr>
      <w:bookmarkStart w:id="661" w:name="_Toc15654991"/>
    </w:p>
    <w:p w14:paraId="544F999B" w14:textId="77777777" w:rsidR="00FC36E5" w:rsidRPr="009A539C" w:rsidRDefault="00FC36E5" w:rsidP="00B90788">
      <w:pPr>
        <w:spacing w:line="240" w:lineRule="auto"/>
        <w:ind w:right="-1"/>
        <w:jc w:val="center"/>
        <w:rPr>
          <w:rFonts w:cs="Times New Roman"/>
          <w:b/>
          <w:bCs/>
          <w:color w:val="4F81BD" w:themeColor="accent1"/>
          <w:sz w:val="20"/>
          <w:szCs w:val="20"/>
        </w:rPr>
      </w:pPr>
    </w:p>
    <w:p w14:paraId="0CC4BD3B" w14:textId="696FD84E" w:rsidR="007452A0" w:rsidRPr="009A539C" w:rsidRDefault="00785B2A" w:rsidP="00343774">
      <w:pPr>
        <w:pStyle w:val="Legenda"/>
        <w:jc w:val="center"/>
        <w:rPr>
          <w:b w:val="0"/>
          <w:bCs w:val="0"/>
          <w:sz w:val="20"/>
          <w:szCs w:val="20"/>
        </w:rPr>
      </w:pPr>
      <w:bookmarkStart w:id="662" w:name="_Toc45716675"/>
      <w:r w:rsidRPr="004B7DBA">
        <w:rPr>
          <w:b w:val="0"/>
          <w:sz w:val="20"/>
          <w:szCs w:val="20"/>
        </w:rPr>
        <w:t xml:space="preserve">Quadro </w:t>
      </w:r>
      <w:r w:rsidR="00942C57" w:rsidRPr="004B7DBA">
        <w:rPr>
          <w:b w:val="0"/>
          <w:sz w:val="20"/>
          <w:szCs w:val="20"/>
        </w:rPr>
        <w:fldChar w:fldCharType="begin"/>
      </w:r>
      <w:r w:rsidR="00942C57" w:rsidRPr="004B7DBA">
        <w:rPr>
          <w:b w:val="0"/>
          <w:sz w:val="20"/>
          <w:szCs w:val="20"/>
        </w:rPr>
        <w:instrText xml:space="preserve"> SEQ Quadro \* ARABIC </w:instrText>
      </w:r>
      <w:r w:rsidR="00942C57" w:rsidRPr="004B7DBA">
        <w:rPr>
          <w:b w:val="0"/>
          <w:sz w:val="20"/>
          <w:szCs w:val="20"/>
        </w:rPr>
        <w:fldChar w:fldCharType="separate"/>
      </w:r>
      <w:r w:rsidR="00D821DE" w:rsidRPr="004B7DBA">
        <w:rPr>
          <w:b w:val="0"/>
          <w:noProof/>
          <w:sz w:val="20"/>
          <w:szCs w:val="20"/>
        </w:rPr>
        <w:t>54</w:t>
      </w:r>
      <w:r w:rsidR="00942C57" w:rsidRPr="004B7DBA">
        <w:rPr>
          <w:b w:val="0"/>
          <w:noProof/>
          <w:sz w:val="20"/>
          <w:szCs w:val="20"/>
        </w:rPr>
        <w:fldChar w:fldCharType="end"/>
      </w:r>
      <w:r w:rsidR="00F467AC" w:rsidRPr="004B7DBA">
        <w:rPr>
          <w:b w:val="0"/>
          <w:bCs w:val="0"/>
          <w:noProof/>
          <w:sz w:val="20"/>
          <w:szCs w:val="20"/>
        </w:rPr>
        <w:t xml:space="preserve"> </w:t>
      </w:r>
      <w:r w:rsidR="007452A0" w:rsidRPr="004B7DBA">
        <w:rPr>
          <w:b w:val="0"/>
          <w:bCs w:val="0"/>
          <w:sz w:val="20"/>
          <w:szCs w:val="20"/>
        </w:rPr>
        <w:t>- Convenções q</w:t>
      </w:r>
      <w:r w:rsidR="00F467AC" w:rsidRPr="004B7DBA">
        <w:rPr>
          <w:b w:val="0"/>
          <w:bCs w:val="0"/>
          <w:sz w:val="20"/>
          <w:szCs w:val="20"/>
        </w:rPr>
        <w:t xml:space="preserve">ue regulam Banco de Horas </w:t>
      </w:r>
      <w:r w:rsidR="007452A0" w:rsidRPr="004B7DBA">
        <w:rPr>
          <w:b w:val="0"/>
          <w:bCs w:val="0"/>
          <w:sz w:val="20"/>
          <w:szCs w:val="20"/>
        </w:rPr>
        <w:t>(Acréscimos</w:t>
      </w:r>
      <w:r w:rsidR="007452A0" w:rsidRPr="009A539C">
        <w:rPr>
          <w:b w:val="0"/>
          <w:bCs w:val="0"/>
          <w:sz w:val="20"/>
          <w:szCs w:val="20"/>
        </w:rPr>
        <w:t>)</w:t>
      </w:r>
      <w:bookmarkEnd w:id="661"/>
      <w:r w:rsidR="0092659D">
        <w:rPr>
          <w:b w:val="0"/>
          <w:bCs w:val="0"/>
          <w:sz w:val="20"/>
          <w:szCs w:val="20"/>
        </w:rPr>
        <w:t xml:space="preserve"> (</w:t>
      </w:r>
      <w:r w:rsidR="0092659D" w:rsidRPr="004B7DBA">
        <w:rPr>
          <w:b w:val="0"/>
          <w:bCs w:val="0"/>
          <w:sz w:val="20"/>
          <w:szCs w:val="20"/>
        </w:rPr>
        <w:t>2019</w:t>
      </w:r>
      <w:r w:rsidR="0092659D">
        <w:rPr>
          <w:b w:val="0"/>
          <w:bCs w:val="0"/>
          <w:sz w:val="20"/>
          <w:szCs w:val="20"/>
        </w:rPr>
        <w:t>)</w:t>
      </w:r>
      <w:bookmarkEnd w:id="662"/>
    </w:p>
    <w:p w14:paraId="729C45D0" w14:textId="77777777" w:rsidR="007452A0" w:rsidRPr="009A539C" w:rsidRDefault="007452A0" w:rsidP="00B90788">
      <w:pPr>
        <w:spacing w:after="0" w:line="240" w:lineRule="auto"/>
        <w:ind w:right="-1"/>
        <w:rPr>
          <w:rFonts w:cs="Times New Roman"/>
          <w:color w:val="00000A"/>
        </w:rPr>
      </w:pPr>
    </w:p>
    <w:p w14:paraId="702F4468" w14:textId="77777777" w:rsidR="007452A0" w:rsidRPr="009A539C" w:rsidRDefault="007452A0" w:rsidP="00B90788">
      <w:pPr>
        <w:spacing w:after="0" w:line="240" w:lineRule="auto"/>
        <w:ind w:right="-1"/>
        <w:jc w:val="center"/>
        <w:rPr>
          <w:rFonts w:cs="Times New Roman"/>
          <w:color w:val="00000A"/>
        </w:rPr>
      </w:pPr>
      <w:r w:rsidRPr="009A539C">
        <w:rPr>
          <w:rFonts w:cs="Times New Roman"/>
          <w:noProof/>
          <w:color w:val="00000A"/>
          <w:lang w:eastAsia="pt-PT"/>
        </w:rPr>
        <w:drawing>
          <wp:inline distT="0" distB="0" distL="0" distR="0" wp14:anchorId="686CE6A0" wp14:editId="34D8881B">
            <wp:extent cx="4937863" cy="2088108"/>
            <wp:effectExtent l="0" t="0" r="0" b="7620"/>
            <wp:docPr id="1179" name="Imagem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940013" cy="2089017"/>
                    </a:xfrm>
                    <a:prstGeom prst="rect">
                      <a:avLst/>
                    </a:prstGeom>
                    <a:noFill/>
                    <a:ln>
                      <a:noFill/>
                    </a:ln>
                  </pic:spPr>
                </pic:pic>
              </a:graphicData>
            </a:graphic>
          </wp:inline>
        </w:drawing>
      </w:r>
    </w:p>
    <w:p w14:paraId="60602FC2" w14:textId="77777777" w:rsidR="007452A0" w:rsidRPr="009A539C" w:rsidRDefault="007452A0" w:rsidP="00B90788">
      <w:pPr>
        <w:spacing w:after="0" w:line="240" w:lineRule="auto"/>
        <w:ind w:right="-1"/>
        <w:rPr>
          <w:rFonts w:cs="Times New Roman"/>
          <w:color w:val="00000A"/>
        </w:rPr>
      </w:pPr>
    </w:p>
    <w:p w14:paraId="6515078E" w14:textId="77777777" w:rsidR="007452A0" w:rsidRPr="009A539C" w:rsidRDefault="007452A0" w:rsidP="00B90788">
      <w:pPr>
        <w:spacing w:after="0" w:line="240" w:lineRule="auto"/>
        <w:ind w:right="-1"/>
        <w:rPr>
          <w:rFonts w:cs="Times New Roman"/>
          <w:color w:val="00000A"/>
        </w:rPr>
      </w:pPr>
    </w:p>
    <w:p w14:paraId="72CFC9DE" w14:textId="77777777" w:rsidR="007452A0" w:rsidRPr="009A539C" w:rsidRDefault="007452A0" w:rsidP="00B90788">
      <w:pPr>
        <w:spacing w:after="0" w:line="240" w:lineRule="auto"/>
        <w:ind w:right="-1"/>
        <w:rPr>
          <w:rFonts w:cs="Times New Roman"/>
        </w:rPr>
      </w:pPr>
    </w:p>
    <w:p w14:paraId="28805072" w14:textId="77777777" w:rsidR="007452A0" w:rsidRPr="009A539C" w:rsidRDefault="007452A0" w:rsidP="00C57F4C">
      <w:pPr>
        <w:tabs>
          <w:tab w:val="left" w:pos="-2835"/>
        </w:tabs>
        <w:spacing w:after="0" w:line="360" w:lineRule="atLeast"/>
        <w:ind w:right="-1" w:firstLine="426"/>
        <w:jc w:val="both"/>
        <w:rPr>
          <w:rFonts w:eastAsia="Calibri" w:cstheme="minorHAnsi"/>
          <w:lang w:eastAsia="pt-PT"/>
        </w:rPr>
      </w:pPr>
      <w:r w:rsidRPr="009A539C">
        <w:rPr>
          <w:rFonts w:eastAsia="Calibri" w:cstheme="minorHAnsi"/>
          <w:lang w:eastAsia="pt-PT"/>
        </w:rPr>
        <w:t xml:space="preserve">Várias convenções coletivas expressamente contemplam </w:t>
      </w:r>
      <w:r w:rsidR="00D6379C" w:rsidRPr="009A539C">
        <w:rPr>
          <w:rFonts w:eastAsia="Calibri" w:cstheme="minorHAnsi"/>
          <w:lang w:eastAsia="pt-PT"/>
        </w:rPr>
        <w:t>a possibilidade de ser prestado</w:t>
      </w:r>
      <w:r w:rsidRPr="009A539C">
        <w:rPr>
          <w:rFonts w:eastAsia="Calibri" w:cstheme="minorHAnsi"/>
          <w:lang w:eastAsia="pt-PT"/>
        </w:rPr>
        <w:t xml:space="preserve"> trabalho ao abrigo do regime de banco de horas em dia de descanso semanal ou feriado</w:t>
      </w:r>
      <w:r w:rsidRPr="009A539C">
        <w:rPr>
          <w:rFonts w:eastAsia="Calibri" w:cstheme="minorHAnsi"/>
          <w:vertAlign w:val="superscript"/>
          <w:lang w:eastAsia="pt-PT"/>
        </w:rPr>
        <w:footnoteReference w:id="308"/>
      </w:r>
      <w:r w:rsidRPr="009A539C">
        <w:rPr>
          <w:rFonts w:eastAsia="Calibri" w:cstheme="minorHAnsi"/>
          <w:lang w:eastAsia="pt-PT"/>
        </w:rPr>
        <w:t>. Outras, pelo contrário, afastam liminarmente essa possibilidade (exceto nos casos em que o feriado seja dia normal de trabalho)</w:t>
      </w:r>
      <w:r w:rsidRPr="009A539C">
        <w:rPr>
          <w:rFonts w:eastAsia="Calibri" w:cstheme="minorHAnsi"/>
          <w:vertAlign w:val="superscript"/>
          <w:lang w:eastAsia="pt-PT"/>
        </w:rPr>
        <w:footnoteReference w:id="309"/>
      </w:r>
      <w:r w:rsidRPr="009A539C">
        <w:rPr>
          <w:rFonts w:eastAsia="Calibri" w:cstheme="minorHAnsi"/>
          <w:lang w:eastAsia="pt-PT"/>
        </w:rPr>
        <w:t xml:space="preserve">.  </w:t>
      </w:r>
    </w:p>
    <w:p w14:paraId="5D9AF68F" w14:textId="77777777" w:rsidR="007452A0" w:rsidRPr="009A539C" w:rsidRDefault="007452A0" w:rsidP="00C57F4C">
      <w:pPr>
        <w:tabs>
          <w:tab w:val="left" w:pos="-2835"/>
        </w:tabs>
        <w:spacing w:before="120" w:after="0" w:line="360" w:lineRule="atLeast"/>
        <w:ind w:right="-1" w:firstLine="426"/>
        <w:jc w:val="both"/>
        <w:rPr>
          <w:rFonts w:eastAsia="Calibri" w:cstheme="minorHAnsi"/>
          <w:lang w:eastAsia="pt-PT"/>
        </w:rPr>
      </w:pPr>
      <w:r w:rsidRPr="009A539C">
        <w:rPr>
          <w:rFonts w:eastAsia="Calibri" w:cstheme="minorHAnsi"/>
          <w:lang w:eastAsia="pt-PT"/>
        </w:rPr>
        <w:t>A previsão de que a utilização do banco de horas pode, em grande parte dos casos, ser iniciada tanto com o acréscimo como com a redução da jornada de trabalho</w:t>
      </w:r>
      <w:r w:rsidRPr="009A539C">
        <w:rPr>
          <w:rFonts w:eastAsia="Calibri" w:cstheme="minorHAnsi"/>
          <w:vertAlign w:val="superscript"/>
          <w:lang w:eastAsia="pt-PT"/>
        </w:rPr>
        <w:footnoteReference w:id="310"/>
      </w:r>
      <w:r w:rsidRPr="009A539C">
        <w:rPr>
          <w:rFonts w:eastAsia="Calibri" w:cstheme="minorHAnsi"/>
          <w:lang w:eastAsia="pt-PT"/>
        </w:rPr>
        <w:t>.</w:t>
      </w:r>
    </w:p>
    <w:p w14:paraId="1CF1C14A" w14:textId="77777777" w:rsidR="007452A0" w:rsidRPr="009A539C" w:rsidRDefault="007452A0" w:rsidP="00C57F4C">
      <w:pPr>
        <w:tabs>
          <w:tab w:val="left" w:pos="-2835"/>
        </w:tabs>
        <w:spacing w:before="120" w:after="0" w:line="360" w:lineRule="atLeast"/>
        <w:ind w:right="-1" w:firstLine="426"/>
        <w:jc w:val="both"/>
        <w:rPr>
          <w:rFonts w:eastAsia="Calibri" w:cstheme="minorHAnsi"/>
          <w:lang w:eastAsia="pt-PT"/>
        </w:rPr>
      </w:pPr>
    </w:p>
    <w:p w14:paraId="0190F899" w14:textId="77777777" w:rsidR="007452A0" w:rsidRPr="009A539C" w:rsidRDefault="007452A0" w:rsidP="00C57F4C">
      <w:pPr>
        <w:tabs>
          <w:tab w:val="left" w:pos="-2835"/>
        </w:tabs>
        <w:spacing w:after="0" w:line="360" w:lineRule="atLeast"/>
        <w:ind w:right="-1" w:firstLine="426"/>
        <w:jc w:val="both"/>
        <w:rPr>
          <w:rFonts w:eastAsia="Calibri" w:cstheme="minorHAnsi"/>
          <w:lang w:eastAsia="pt-PT"/>
        </w:rPr>
      </w:pPr>
      <w:r w:rsidRPr="009A539C">
        <w:rPr>
          <w:rFonts w:eastAsia="Calibri" w:cstheme="minorHAnsi"/>
          <w:b/>
          <w:lang w:eastAsia="pt-PT"/>
        </w:rPr>
        <w:t>IV.</w:t>
      </w:r>
      <w:r w:rsidRPr="009A539C">
        <w:rPr>
          <w:rFonts w:eastAsia="Calibri" w:cstheme="minorHAnsi"/>
          <w:lang w:eastAsia="pt-PT"/>
        </w:rPr>
        <w:t xml:space="preserve"> Determina o Código do Trabalho [art. 208.º, 4, </w:t>
      </w:r>
      <w:r w:rsidRPr="009A539C">
        <w:rPr>
          <w:rFonts w:eastAsia="Calibri" w:cstheme="minorHAnsi"/>
          <w:i/>
          <w:lang w:eastAsia="pt-PT"/>
        </w:rPr>
        <w:t>b</w:t>
      </w:r>
      <w:r w:rsidRPr="009A539C">
        <w:rPr>
          <w:rFonts w:eastAsia="Calibri" w:cstheme="minorHAnsi"/>
          <w:lang w:eastAsia="pt-PT"/>
        </w:rPr>
        <w:t xml:space="preserve">) e </w:t>
      </w:r>
      <w:r w:rsidRPr="009A539C">
        <w:rPr>
          <w:rFonts w:eastAsia="Calibri" w:cstheme="minorHAnsi"/>
          <w:i/>
          <w:lang w:eastAsia="pt-PT"/>
        </w:rPr>
        <w:t>c</w:t>
      </w:r>
      <w:r w:rsidRPr="009A539C">
        <w:rPr>
          <w:rFonts w:eastAsia="Calibri" w:cstheme="minorHAnsi"/>
          <w:lang w:eastAsia="pt-PT"/>
        </w:rPr>
        <w:t>)] que os IRCT que instituam regimes de bancos de horas devem definir a antecedência com que o empregador deve avisar o trabalhador da necessidade de prestar trabalho em acréscimo, bem como o pré-aviso para a utilização da redução de horas em crédito, no caso de a compensação ser efetuada em tempo.</w:t>
      </w:r>
    </w:p>
    <w:p w14:paraId="319DA85A" w14:textId="77777777" w:rsidR="007452A0" w:rsidRPr="009A539C" w:rsidRDefault="007452A0" w:rsidP="00C57F4C">
      <w:pPr>
        <w:tabs>
          <w:tab w:val="left" w:pos="-2835"/>
        </w:tabs>
        <w:spacing w:after="0" w:line="360" w:lineRule="atLeast"/>
        <w:ind w:right="-1" w:firstLine="426"/>
        <w:jc w:val="both"/>
        <w:rPr>
          <w:rFonts w:eastAsia="Calibri" w:cs="Calibri"/>
          <w:lang w:eastAsia="pt-PT"/>
        </w:rPr>
      </w:pPr>
    </w:p>
    <w:p w14:paraId="085042F7" w14:textId="77777777" w:rsidR="007452A0" w:rsidRPr="009A539C" w:rsidRDefault="007452A0" w:rsidP="00C57F4C">
      <w:pPr>
        <w:tabs>
          <w:tab w:val="left" w:pos="-2835"/>
        </w:tabs>
        <w:spacing w:after="0" w:line="360" w:lineRule="atLeast"/>
        <w:ind w:right="-1" w:firstLine="426"/>
        <w:jc w:val="both"/>
        <w:rPr>
          <w:rFonts w:eastAsia="Calibri" w:cstheme="minorHAnsi"/>
          <w:lang w:eastAsia="pt-PT"/>
        </w:rPr>
      </w:pPr>
      <w:r w:rsidRPr="009A539C">
        <w:rPr>
          <w:rFonts w:eastAsia="Calibri" w:cstheme="minorHAnsi"/>
          <w:lang w:eastAsia="pt-PT"/>
        </w:rPr>
        <w:t>As convenções coletivas publicadas em 2019 oferecem um panorama diversificado. Regra geral, as convenções estabelecem uma antecedência de 2</w:t>
      </w:r>
      <w:r w:rsidRPr="009A539C">
        <w:rPr>
          <w:rFonts w:eastAsia="Calibri" w:cstheme="minorHAnsi"/>
          <w:vertAlign w:val="superscript"/>
          <w:lang w:eastAsia="pt-PT"/>
        </w:rPr>
        <w:footnoteReference w:id="311"/>
      </w:r>
      <w:r w:rsidRPr="009A539C">
        <w:rPr>
          <w:rFonts w:eastAsia="Calibri" w:cstheme="minorHAnsi"/>
          <w:lang w:eastAsia="pt-PT"/>
        </w:rPr>
        <w:t xml:space="preserve"> 3</w:t>
      </w:r>
      <w:r w:rsidRPr="009A539C">
        <w:rPr>
          <w:rFonts w:eastAsia="Calibri" w:cstheme="minorHAnsi"/>
          <w:vertAlign w:val="superscript"/>
          <w:lang w:eastAsia="pt-PT"/>
        </w:rPr>
        <w:footnoteReference w:id="312"/>
      </w:r>
      <w:r w:rsidRPr="009A539C">
        <w:rPr>
          <w:rFonts w:eastAsia="Calibri" w:cstheme="minorHAnsi"/>
          <w:lang w:eastAsia="pt-PT"/>
        </w:rPr>
        <w:t>, 5</w:t>
      </w:r>
      <w:r w:rsidRPr="009A539C">
        <w:rPr>
          <w:rFonts w:eastAsia="Calibri" w:cstheme="minorHAnsi"/>
          <w:vertAlign w:val="superscript"/>
          <w:lang w:eastAsia="pt-PT"/>
        </w:rPr>
        <w:footnoteReference w:id="313"/>
      </w:r>
      <w:r w:rsidRPr="009A539C">
        <w:rPr>
          <w:rFonts w:eastAsia="Calibri" w:cstheme="minorHAnsi"/>
          <w:lang w:eastAsia="pt-PT"/>
        </w:rPr>
        <w:t xml:space="preserve"> ou 7</w:t>
      </w:r>
      <w:r w:rsidRPr="009A539C">
        <w:rPr>
          <w:rFonts w:eastAsia="Calibri" w:cstheme="minorHAnsi"/>
          <w:vertAlign w:val="superscript"/>
          <w:lang w:eastAsia="pt-PT"/>
        </w:rPr>
        <w:footnoteReference w:id="314"/>
      </w:r>
      <w:r w:rsidRPr="009A539C">
        <w:rPr>
          <w:rFonts w:eastAsia="Calibri" w:cstheme="minorHAnsi"/>
          <w:lang w:eastAsia="pt-PT"/>
        </w:rPr>
        <w:t>dias para a exigência de alargamento da jornada diária, com salvaguarda da possibilidade de diminuição dessa antecedência em certas circunstâncias, estabelecendo regime paralelo para a efetivação da redução</w:t>
      </w:r>
      <w:r w:rsidRPr="009A539C">
        <w:rPr>
          <w:rFonts w:eastAsia="Calibri" w:cstheme="minorHAnsi"/>
          <w:vertAlign w:val="superscript"/>
          <w:lang w:eastAsia="pt-PT"/>
        </w:rPr>
        <w:footnoteReference w:id="315"/>
      </w:r>
      <w:r w:rsidRPr="009A539C">
        <w:rPr>
          <w:rFonts w:eastAsia="Calibri" w:cstheme="minorHAnsi"/>
          <w:lang w:eastAsia="pt-PT"/>
        </w:rPr>
        <w:t xml:space="preserve">. </w:t>
      </w:r>
    </w:p>
    <w:p w14:paraId="0A25BA8A" w14:textId="77777777" w:rsidR="007452A0" w:rsidRPr="009A539C" w:rsidRDefault="007452A0" w:rsidP="00C57F4C">
      <w:pPr>
        <w:tabs>
          <w:tab w:val="left" w:pos="-2835"/>
        </w:tabs>
        <w:spacing w:after="0" w:line="360" w:lineRule="atLeast"/>
        <w:ind w:right="-1" w:firstLine="426"/>
        <w:jc w:val="both"/>
        <w:rPr>
          <w:rFonts w:eastAsia="Calibri" w:cstheme="minorHAnsi"/>
          <w:lang w:eastAsia="pt-PT"/>
        </w:rPr>
      </w:pPr>
    </w:p>
    <w:p w14:paraId="6471EFD3" w14:textId="5A0158D7" w:rsidR="007452A0" w:rsidRPr="009A539C" w:rsidRDefault="007452A0" w:rsidP="00C57F4C">
      <w:pPr>
        <w:tabs>
          <w:tab w:val="left" w:pos="-2835"/>
        </w:tabs>
        <w:spacing w:after="0" w:line="360" w:lineRule="atLeast"/>
        <w:ind w:right="-1" w:firstLine="426"/>
        <w:jc w:val="both"/>
        <w:rPr>
          <w:rFonts w:eastAsia="Calibri" w:cstheme="minorHAnsi"/>
          <w:lang w:eastAsia="pt-PT"/>
        </w:rPr>
      </w:pPr>
      <w:r w:rsidRPr="009A539C">
        <w:rPr>
          <w:rFonts w:eastAsia="Calibri" w:cstheme="minorHAnsi"/>
          <w:b/>
          <w:lang w:eastAsia="pt-PT"/>
        </w:rPr>
        <w:t xml:space="preserve">V. </w:t>
      </w:r>
      <w:r w:rsidRPr="009A539C">
        <w:rPr>
          <w:rFonts w:eastAsia="Calibri" w:cstheme="minorHAnsi"/>
          <w:lang w:eastAsia="pt-PT"/>
        </w:rPr>
        <w:t xml:space="preserve">O banco de horas envolve, como já se referiu, a possibilidade de, em certos momentos, ter lugar um alargamento da jornada de trabalho. Coloca-se, por isso, a questão de saber de que modo será feito a compensação pela atividade prestada para além do PNT contratado. O CT [art. 208.º, 4, </w:t>
      </w:r>
      <w:r w:rsidRPr="009A539C">
        <w:rPr>
          <w:rFonts w:eastAsia="Calibri" w:cstheme="minorHAnsi"/>
          <w:i/>
          <w:lang w:eastAsia="pt-PT"/>
        </w:rPr>
        <w:t>a</w:t>
      </w:r>
      <w:r w:rsidRPr="009A539C">
        <w:rPr>
          <w:rFonts w:eastAsia="Calibri" w:cstheme="minorHAnsi"/>
          <w:lang w:eastAsia="pt-PT"/>
        </w:rPr>
        <w:t xml:space="preserve">)] </w:t>
      </w:r>
      <w:r w:rsidR="003B6FBB" w:rsidRPr="009A539C">
        <w:rPr>
          <w:rFonts w:eastAsia="Calibri" w:cstheme="minorHAnsi"/>
          <w:lang w:eastAsia="pt-PT"/>
        </w:rPr>
        <w:t>consente</w:t>
      </w:r>
      <w:r w:rsidRPr="009A539C">
        <w:rPr>
          <w:rFonts w:eastAsia="Calibri" w:cstheme="minorHAnsi"/>
          <w:lang w:eastAsia="pt-PT"/>
        </w:rPr>
        <w:t xml:space="preserve"> três</w:t>
      </w:r>
      <w:r w:rsidRPr="009A539C">
        <w:rPr>
          <w:rFonts w:eastAsia="Calibri" w:cstheme="minorHAnsi"/>
          <w:b/>
          <w:lang w:eastAsia="pt-PT"/>
        </w:rPr>
        <w:t xml:space="preserve"> </w:t>
      </w:r>
      <w:r w:rsidRPr="009A539C">
        <w:rPr>
          <w:rFonts w:eastAsia="Calibri" w:cstheme="minorHAnsi"/>
          <w:lang w:eastAsia="pt-PT"/>
        </w:rPr>
        <w:t>formas de compensação do trabalho prestado em acréscimo em regime de banco de horas: em tempo (por redução das horas de trabalho ou concessão de dias de férias), em dinheiro ou mediante uma combinação das diferentes formas.</w:t>
      </w:r>
    </w:p>
    <w:p w14:paraId="020A4FE1" w14:textId="77777777" w:rsidR="007452A0" w:rsidRPr="009A539C" w:rsidRDefault="007452A0" w:rsidP="00C57F4C">
      <w:pPr>
        <w:tabs>
          <w:tab w:val="left" w:pos="-2835"/>
        </w:tabs>
        <w:spacing w:after="0" w:line="360" w:lineRule="atLeast"/>
        <w:ind w:right="-1" w:firstLine="426"/>
        <w:jc w:val="both"/>
        <w:rPr>
          <w:rFonts w:eastAsia="Calibri" w:cstheme="minorHAnsi"/>
          <w:lang w:eastAsia="pt-PT"/>
        </w:rPr>
      </w:pPr>
      <w:r w:rsidRPr="009A539C">
        <w:rPr>
          <w:rFonts w:eastAsia="Calibri" w:cstheme="minorHAnsi"/>
          <w:lang w:eastAsia="pt-PT"/>
        </w:rPr>
        <w:t>A análise das convenções publicadas em 2019 permite traçar um perfil muito próximo do relatado em  Relatórios anteriores:</w:t>
      </w:r>
    </w:p>
    <w:p w14:paraId="60A71AD7" w14:textId="74D8EFBE" w:rsidR="007452A0" w:rsidRPr="009A539C" w:rsidRDefault="007452A0" w:rsidP="00C57F4C">
      <w:pPr>
        <w:pStyle w:val="PargrafodaLista"/>
        <w:numPr>
          <w:ilvl w:val="0"/>
          <w:numId w:val="92"/>
        </w:numPr>
        <w:tabs>
          <w:tab w:val="left" w:pos="709"/>
        </w:tabs>
        <w:spacing w:after="0" w:line="360" w:lineRule="atLeast"/>
        <w:ind w:right="-1"/>
        <w:jc w:val="both"/>
        <w:rPr>
          <w:rFonts w:eastAsia="Calibri" w:cstheme="minorHAnsi"/>
          <w:lang w:eastAsia="pt-PT"/>
        </w:rPr>
      </w:pPr>
      <w:r w:rsidRPr="009A539C">
        <w:rPr>
          <w:rFonts w:eastAsia="Calibri" w:cstheme="minorHAnsi"/>
          <w:lang w:eastAsia="pt-PT"/>
        </w:rPr>
        <w:t>assinalável  diversidade de soluções encontradas;</w:t>
      </w:r>
    </w:p>
    <w:p w14:paraId="05BD9B7A" w14:textId="6076020A" w:rsidR="007452A0" w:rsidRPr="009A539C" w:rsidRDefault="007452A0" w:rsidP="00C57F4C">
      <w:pPr>
        <w:pStyle w:val="PargrafodaLista"/>
        <w:numPr>
          <w:ilvl w:val="0"/>
          <w:numId w:val="92"/>
        </w:numPr>
        <w:tabs>
          <w:tab w:val="left" w:pos="709"/>
        </w:tabs>
        <w:spacing w:after="0" w:line="360" w:lineRule="atLeast"/>
        <w:ind w:right="-1"/>
        <w:jc w:val="both"/>
        <w:rPr>
          <w:rFonts w:eastAsia="Calibri" w:cstheme="minorHAnsi"/>
          <w:lang w:eastAsia="pt-PT"/>
        </w:rPr>
      </w:pPr>
      <w:r w:rsidRPr="009A539C">
        <w:rPr>
          <w:rFonts w:eastAsia="Calibri" w:cstheme="minorHAnsi"/>
          <w:lang w:eastAsia="pt-PT"/>
        </w:rPr>
        <w:t>predomina o estabelecimento, como regra, da compensação através da redução equivalente do tempo de trabalho</w:t>
      </w:r>
      <w:r w:rsidRPr="009A539C">
        <w:rPr>
          <w:vertAlign w:val="superscript"/>
          <w:lang w:eastAsia="pt-PT"/>
        </w:rPr>
        <w:footnoteReference w:id="316"/>
      </w:r>
      <w:r w:rsidRPr="009A539C">
        <w:rPr>
          <w:rFonts w:eastAsia="Calibri" w:cstheme="minorHAnsi"/>
          <w:lang w:eastAsia="pt-PT"/>
        </w:rPr>
        <w:t xml:space="preserve"> (eventualmente, com aplicação de majoração</w:t>
      </w:r>
      <w:r w:rsidRPr="009A539C">
        <w:rPr>
          <w:vertAlign w:val="superscript"/>
          <w:lang w:eastAsia="pt-PT"/>
        </w:rPr>
        <w:footnoteReference w:id="317"/>
      </w:r>
      <w:r w:rsidRPr="009A539C">
        <w:rPr>
          <w:rFonts w:eastAsia="Calibri" w:cstheme="minorHAnsi"/>
          <w:lang w:eastAsia="pt-PT"/>
        </w:rPr>
        <w:t>);</w:t>
      </w:r>
    </w:p>
    <w:p w14:paraId="56025AFB" w14:textId="761BF285" w:rsidR="007452A0" w:rsidRPr="009A539C" w:rsidRDefault="007452A0" w:rsidP="00C57F4C">
      <w:pPr>
        <w:pStyle w:val="PargrafodaLista"/>
        <w:numPr>
          <w:ilvl w:val="0"/>
          <w:numId w:val="92"/>
        </w:numPr>
        <w:tabs>
          <w:tab w:val="left" w:pos="709"/>
        </w:tabs>
        <w:spacing w:after="0" w:line="360" w:lineRule="atLeast"/>
        <w:ind w:right="-1"/>
        <w:jc w:val="both"/>
        <w:rPr>
          <w:rFonts w:eastAsia="Calibri" w:cstheme="minorHAnsi"/>
          <w:lang w:eastAsia="pt-PT"/>
        </w:rPr>
      </w:pPr>
      <w:r w:rsidRPr="009A539C">
        <w:rPr>
          <w:rFonts w:eastAsia="Calibri" w:cstheme="minorHAnsi"/>
          <w:lang w:eastAsia="pt-PT"/>
        </w:rPr>
        <w:t>esta redução tanto pode ser operada por ato unilateral do empregador como por escolha do trabalhador, sendo, neste caso, mais frequente a exigência de concordância da outra parte;</w:t>
      </w:r>
    </w:p>
    <w:p w14:paraId="336929D9" w14:textId="5DC23951" w:rsidR="007452A0" w:rsidRPr="009A539C" w:rsidRDefault="007452A0" w:rsidP="00C57F4C">
      <w:pPr>
        <w:pStyle w:val="PargrafodaLista"/>
        <w:numPr>
          <w:ilvl w:val="0"/>
          <w:numId w:val="92"/>
        </w:numPr>
        <w:tabs>
          <w:tab w:val="left" w:pos="709"/>
        </w:tabs>
        <w:spacing w:after="0" w:line="360" w:lineRule="atLeast"/>
        <w:ind w:right="-1"/>
        <w:jc w:val="both"/>
        <w:rPr>
          <w:rFonts w:eastAsia="Calibri" w:cstheme="minorHAnsi"/>
          <w:lang w:eastAsia="pt-PT"/>
        </w:rPr>
      </w:pPr>
      <w:r w:rsidRPr="009A539C">
        <w:rPr>
          <w:rFonts w:eastAsia="Calibri" w:cstheme="minorHAnsi"/>
          <w:lang w:eastAsia="pt-PT"/>
        </w:rPr>
        <w:t>a compensação em dinheiro tende a ficar reservada para as situações em que não foi operada a redução em compensação no período estabelecido na convenção</w:t>
      </w:r>
      <w:r w:rsidRPr="009A539C">
        <w:rPr>
          <w:vertAlign w:val="superscript"/>
          <w:lang w:eastAsia="pt-PT"/>
        </w:rPr>
        <w:footnoteReference w:id="318"/>
      </w:r>
      <w:r w:rsidRPr="009A539C">
        <w:rPr>
          <w:rFonts w:eastAsia="Calibri" w:cstheme="minorHAnsi"/>
          <w:lang w:eastAsia="pt-PT"/>
        </w:rPr>
        <w:t xml:space="preserve">. </w:t>
      </w:r>
    </w:p>
    <w:p w14:paraId="64773B6D" w14:textId="77777777" w:rsidR="007452A0" w:rsidRPr="009A539C" w:rsidRDefault="007452A0" w:rsidP="00642AA5">
      <w:pPr>
        <w:tabs>
          <w:tab w:val="left" w:pos="851"/>
        </w:tabs>
        <w:spacing w:after="0" w:line="360" w:lineRule="atLeast"/>
        <w:ind w:left="993" w:right="-1"/>
        <w:jc w:val="both"/>
        <w:rPr>
          <w:rFonts w:eastAsia="Calibri" w:cs="Calibri"/>
          <w:lang w:eastAsia="pt-PT"/>
        </w:rPr>
      </w:pPr>
    </w:p>
    <w:p w14:paraId="4D2FBD62" w14:textId="37B2BB56" w:rsidR="007452A0" w:rsidRPr="009A539C" w:rsidRDefault="00F30D92" w:rsidP="00C57F4C">
      <w:pPr>
        <w:spacing w:after="0" w:line="360" w:lineRule="atLeast"/>
        <w:ind w:right="-1" w:firstLine="284"/>
        <w:jc w:val="both"/>
        <w:rPr>
          <w:rFonts w:eastAsia="Calibri" w:cstheme="minorHAnsi"/>
          <w:lang w:eastAsia="pt-PT"/>
        </w:rPr>
      </w:pPr>
      <w:r w:rsidRPr="009A539C">
        <w:rPr>
          <w:rFonts w:eastAsia="Calibri" w:cstheme="minorHAnsi"/>
          <w:lang w:eastAsia="pt-PT"/>
        </w:rPr>
        <w:t>Como em anteriores,</w:t>
      </w:r>
      <w:r w:rsidR="007452A0" w:rsidRPr="009A539C">
        <w:rPr>
          <w:rFonts w:eastAsia="Calibri" w:cstheme="minorHAnsi"/>
          <w:lang w:eastAsia="pt-PT"/>
        </w:rPr>
        <w:t xml:space="preserve"> admite</w:t>
      </w:r>
      <w:r w:rsidRPr="009A539C">
        <w:rPr>
          <w:rFonts w:eastAsia="Calibri" w:cstheme="minorHAnsi"/>
          <w:lang w:eastAsia="pt-PT"/>
        </w:rPr>
        <w:t>-se</w:t>
      </w:r>
      <w:r w:rsidR="007452A0" w:rsidRPr="009A539C">
        <w:rPr>
          <w:rFonts w:eastAsia="Calibri" w:cstheme="minorHAnsi"/>
          <w:lang w:eastAsia="pt-PT"/>
        </w:rPr>
        <w:t xml:space="preserve"> a compensação através das diferentes formas previstas na lei, nuns casos estabelecendo que a escolha pertencerá ao empregador</w:t>
      </w:r>
      <w:r w:rsidR="007452A0" w:rsidRPr="009A539C">
        <w:rPr>
          <w:rFonts w:eastAsia="Calibri" w:cstheme="minorHAnsi"/>
          <w:vertAlign w:val="superscript"/>
          <w:lang w:eastAsia="pt-PT"/>
        </w:rPr>
        <w:footnoteReference w:id="319"/>
      </w:r>
      <w:r w:rsidR="007452A0" w:rsidRPr="009A539C">
        <w:rPr>
          <w:rFonts w:eastAsia="Calibri" w:cstheme="minorHAnsi"/>
          <w:lang w:eastAsia="pt-PT"/>
        </w:rPr>
        <w:t>, noutros determinando que tal será determinado por acordo</w:t>
      </w:r>
      <w:r w:rsidR="007452A0" w:rsidRPr="009A539C">
        <w:rPr>
          <w:rFonts w:eastAsia="Calibri" w:cstheme="minorHAnsi"/>
          <w:vertAlign w:val="superscript"/>
          <w:lang w:eastAsia="pt-PT"/>
        </w:rPr>
        <w:footnoteReference w:id="320"/>
      </w:r>
      <w:r w:rsidR="00565062" w:rsidRPr="009A539C">
        <w:rPr>
          <w:rFonts w:eastAsia="Calibri" w:cstheme="minorHAnsi"/>
          <w:lang w:eastAsia="pt-PT"/>
        </w:rPr>
        <w:t xml:space="preserve">, nalguns </w:t>
      </w:r>
      <w:r w:rsidR="007452A0" w:rsidRPr="009A539C">
        <w:rPr>
          <w:rFonts w:eastAsia="Calibri" w:cstheme="minorHAnsi"/>
          <w:lang w:eastAsia="pt-PT"/>
        </w:rPr>
        <w:t>casos</w:t>
      </w:r>
      <w:r w:rsidR="00565062" w:rsidRPr="009A539C">
        <w:rPr>
          <w:rFonts w:eastAsia="Calibri" w:cstheme="minorHAnsi"/>
          <w:lang w:eastAsia="pt-PT"/>
        </w:rPr>
        <w:t xml:space="preserve"> definindo o procedimento para </w:t>
      </w:r>
      <w:r w:rsidR="007452A0" w:rsidRPr="009A539C">
        <w:rPr>
          <w:rFonts w:eastAsia="Calibri" w:cstheme="minorHAnsi"/>
          <w:lang w:eastAsia="pt-PT"/>
        </w:rPr>
        <w:t xml:space="preserve">compensação através da redução do trabalho ou de férias </w:t>
      </w:r>
      <w:r w:rsidR="007452A0" w:rsidRPr="009A539C">
        <w:rPr>
          <w:rFonts w:eastAsia="Calibri" w:cstheme="minorHAnsi"/>
          <w:vertAlign w:val="superscript"/>
          <w:lang w:eastAsia="pt-PT"/>
        </w:rPr>
        <w:footnoteReference w:id="321"/>
      </w:r>
      <w:r w:rsidR="007452A0" w:rsidRPr="009A539C">
        <w:rPr>
          <w:rFonts w:eastAsia="Calibri" w:cstheme="minorHAnsi"/>
          <w:lang w:eastAsia="pt-PT"/>
        </w:rPr>
        <w:t>.</w:t>
      </w:r>
    </w:p>
    <w:p w14:paraId="3B812AF3" w14:textId="77777777" w:rsidR="007452A0" w:rsidRPr="009A539C" w:rsidRDefault="007452A0" w:rsidP="00C57F4C">
      <w:pPr>
        <w:spacing w:after="0" w:line="360" w:lineRule="atLeast"/>
        <w:ind w:right="-1" w:firstLine="284"/>
        <w:jc w:val="both"/>
        <w:rPr>
          <w:rFonts w:eastAsia="Calibri" w:cstheme="minorHAnsi"/>
          <w:lang w:eastAsia="pt-PT"/>
        </w:rPr>
      </w:pPr>
      <w:r w:rsidRPr="009A539C">
        <w:rPr>
          <w:rFonts w:eastAsia="Calibri" w:cstheme="minorHAnsi"/>
          <w:lang w:eastAsia="pt-PT"/>
        </w:rPr>
        <w:t xml:space="preserve">A determinação do período em que deve ter lugar a compensação é deferida, pelo Código do Trabalho, à convenção coletiva (art. 208.º, 4, </w:t>
      </w:r>
      <w:r w:rsidRPr="009A539C">
        <w:rPr>
          <w:rFonts w:eastAsia="Calibri" w:cstheme="minorHAnsi"/>
          <w:i/>
          <w:lang w:eastAsia="pt-PT"/>
        </w:rPr>
        <w:t>c</w:t>
      </w:r>
      <w:r w:rsidRPr="009A539C">
        <w:rPr>
          <w:rFonts w:eastAsia="Calibri" w:cstheme="minorHAnsi"/>
          <w:lang w:eastAsia="pt-PT"/>
        </w:rPr>
        <w:t>), do CT). Também quanto a este ponto não se registam alterações relevantes no quadro apresentado nos Relatórios anteriores:</w:t>
      </w:r>
    </w:p>
    <w:p w14:paraId="655977A7" w14:textId="77777777" w:rsidR="007452A0" w:rsidRPr="009A539C" w:rsidRDefault="007452A0" w:rsidP="00C57F4C">
      <w:pPr>
        <w:spacing w:after="0" w:line="360" w:lineRule="atLeast"/>
        <w:ind w:left="709" w:right="-1" w:hanging="283"/>
        <w:jc w:val="both"/>
        <w:rPr>
          <w:rFonts w:eastAsia="Calibri" w:cstheme="minorHAnsi"/>
          <w:lang w:eastAsia="pt-PT"/>
        </w:rPr>
      </w:pPr>
      <w:r w:rsidRPr="009A539C">
        <w:rPr>
          <w:rFonts w:eastAsia="Calibri" w:cstheme="minorHAnsi"/>
          <w:lang w:eastAsia="pt-PT"/>
        </w:rPr>
        <w:t>–</w:t>
      </w:r>
      <w:r w:rsidRPr="009A539C">
        <w:rPr>
          <w:rFonts w:eastAsia="Calibri" w:cstheme="minorHAnsi"/>
          <w:lang w:eastAsia="pt-PT"/>
        </w:rPr>
        <w:tab/>
        <w:t xml:space="preserve"> encontram-se soluções muito diversas;</w:t>
      </w:r>
    </w:p>
    <w:p w14:paraId="34503788" w14:textId="77777777" w:rsidR="007452A0" w:rsidRPr="009A539C" w:rsidRDefault="007452A0" w:rsidP="00C57F4C">
      <w:pPr>
        <w:spacing w:after="0" w:line="360" w:lineRule="atLeast"/>
        <w:ind w:left="709" w:right="-1" w:hanging="283"/>
        <w:jc w:val="both"/>
        <w:rPr>
          <w:rFonts w:eastAsia="Calibri" w:cstheme="minorHAnsi"/>
          <w:lang w:eastAsia="pt-PT"/>
        </w:rPr>
      </w:pPr>
      <w:r w:rsidRPr="009A539C">
        <w:rPr>
          <w:rFonts w:eastAsia="Calibri" w:cstheme="minorHAnsi"/>
          <w:lang w:eastAsia="pt-PT"/>
        </w:rPr>
        <w:t xml:space="preserve">– </w:t>
      </w:r>
      <w:r w:rsidRPr="009A539C">
        <w:rPr>
          <w:rFonts w:eastAsia="Calibri" w:cstheme="minorHAnsi"/>
          <w:lang w:eastAsia="pt-PT"/>
        </w:rPr>
        <w:tab/>
        <w:t>é largamente prevalente a solução que reporta o período de compensação ao ano civil</w:t>
      </w:r>
      <w:r w:rsidRPr="009A539C">
        <w:rPr>
          <w:rFonts w:eastAsia="Calibri" w:cstheme="minorHAnsi"/>
          <w:vertAlign w:val="superscript"/>
          <w:lang w:eastAsia="pt-PT"/>
        </w:rPr>
        <w:footnoteReference w:id="322"/>
      </w:r>
      <w:r w:rsidRPr="009A539C">
        <w:rPr>
          <w:rFonts w:eastAsia="Calibri" w:cstheme="minorHAnsi"/>
          <w:lang w:eastAsia="pt-PT"/>
        </w:rPr>
        <w:t>, com eventual possibilidade de extensão em certos casos</w:t>
      </w:r>
      <w:r w:rsidRPr="009A539C">
        <w:rPr>
          <w:rFonts w:eastAsia="Calibri" w:cstheme="minorHAnsi"/>
          <w:vertAlign w:val="superscript"/>
          <w:lang w:eastAsia="pt-PT"/>
        </w:rPr>
        <w:footnoteReference w:id="323"/>
      </w:r>
      <w:r w:rsidRPr="009A539C">
        <w:rPr>
          <w:rFonts w:eastAsia="Calibri" w:cstheme="minorHAnsi"/>
          <w:lang w:eastAsia="pt-PT"/>
        </w:rPr>
        <w:t xml:space="preserve"> encontrando-se, ainda assim, soluções diferentes, como o estabelecimento de um período de 4 meses</w:t>
      </w:r>
      <w:r w:rsidRPr="009A539C">
        <w:rPr>
          <w:rFonts w:eastAsia="Calibri" w:cstheme="minorHAnsi"/>
          <w:vertAlign w:val="superscript"/>
          <w:lang w:eastAsia="pt-PT"/>
        </w:rPr>
        <w:footnoteReference w:id="324"/>
      </w:r>
      <w:r w:rsidRPr="009A539C">
        <w:rPr>
          <w:rFonts w:eastAsia="Calibri" w:cstheme="minorHAnsi"/>
          <w:lang w:eastAsia="pt-PT"/>
        </w:rPr>
        <w:t>.</w:t>
      </w:r>
    </w:p>
    <w:p w14:paraId="046F2B89" w14:textId="77777777" w:rsidR="007452A0" w:rsidRPr="009A539C" w:rsidRDefault="007452A0" w:rsidP="00642AA5">
      <w:pPr>
        <w:spacing w:after="0" w:line="360" w:lineRule="atLeast"/>
        <w:ind w:left="993" w:right="-1"/>
        <w:jc w:val="both"/>
        <w:rPr>
          <w:rFonts w:eastAsia="Calibri" w:cstheme="minorHAnsi"/>
          <w:lang w:eastAsia="pt-PT"/>
        </w:rPr>
      </w:pPr>
    </w:p>
    <w:p w14:paraId="37E5D30E" w14:textId="25112175" w:rsidR="007452A0" w:rsidRPr="009A539C" w:rsidRDefault="007452A0" w:rsidP="00C57F4C">
      <w:pPr>
        <w:spacing w:after="0" w:line="360" w:lineRule="atLeast"/>
        <w:ind w:right="-1" w:firstLine="284"/>
        <w:jc w:val="both"/>
        <w:rPr>
          <w:rFonts w:eastAsia="Calibri" w:cstheme="minorHAnsi"/>
          <w:lang w:eastAsia="pt-PT"/>
        </w:rPr>
      </w:pPr>
      <w:r w:rsidRPr="009A539C">
        <w:rPr>
          <w:rFonts w:eastAsia="Calibri" w:cstheme="minorHAnsi"/>
          <w:lang w:eastAsia="pt-PT"/>
        </w:rPr>
        <w:tab/>
      </w:r>
      <w:r w:rsidR="003B6FBB" w:rsidRPr="009A539C">
        <w:rPr>
          <w:rFonts w:eastAsia="Calibri" w:cstheme="minorHAnsi"/>
          <w:lang w:eastAsia="pt-PT"/>
        </w:rPr>
        <w:t>Observam-se, por vezes, a</w:t>
      </w:r>
      <w:r w:rsidRPr="009A539C">
        <w:rPr>
          <w:rFonts w:eastAsia="Calibri" w:cstheme="minorHAnsi"/>
          <w:lang w:eastAsia="pt-PT"/>
        </w:rPr>
        <w:t xml:space="preserve"> definição de regras para as situações em que a compensação não possa ter lugar no período estabelecido, fundamentalmente de acordo com as seguintes linhas de solução:</w:t>
      </w:r>
    </w:p>
    <w:p w14:paraId="06DE80FA" w14:textId="2A29F2A3" w:rsidR="007452A0" w:rsidRPr="009A539C" w:rsidRDefault="007452A0" w:rsidP="00C57F4C">
      <w:pPr>
        <w:spacing w:after="0" w:line="360" w:lineRule="atLeast"/>
        <w:ind w:left="993" w:right="-1" w:hanging="567"/>
        <w:jc w:val="both"/>
        <w:rPr>
          <w:rFonts w:eastAsia="Calibri" w:cstheme="minorHAnsi"/>
          <w:lang w:eastAsia="pt-PT"/>
        </w:rPr>
      </w:pPr>
      <w:r w:rsidRPr="009A539C">
        <w:rPr>
          <w:rFonts w:eastAsia="Calibri" w:cstheme="minorHAnsi"/>
          <w:lang w:eastAsia="pt-PT"/>
        </w:rPr>
        <w:t xml:space="preserve">– </w:t>
      </w:r>
      <w:r w:rsidRPr="009A539C">
        <w:rPr>
          <w:rFonts w:eastAsia="Calibri" w:cstheme="minorHAnsi"/>
          <w:lang w:eastAsia="pt-PT"/>
        </w:rPr>
        <w:tab/>
      </w:r>
      <w:r w:rsidR="003B6FBB" w:rsidRPr="009A539C">
        <w:rPr>
          <w:rFonts w:eastAsia="Calibri" w:cstheme="minorHAnsi"/>
          <w:lang w:eastAsia="pt-PT"/>
        </w:rPr>
        <w:t xml:space="preserve">considera-se saldado a favor do trabalhador, </w:t>
      </w:r>
      <w:r w:rsidRPr="009A539C">
        <w:rPr>
          <w:rFonts w:eastAsia="Calibri" w:cstheme="minorHAnsi"/>
          <w:lang w:eastAsia="pt-PT"/>
        </w:rPr>
        <w:t>o número de horas não trabalhadas</w:t>
      </w:r>
      <w:r w:rsidR="003B6FBB" w:rsidRPr="009A539C">
        <w:rPr>
          <w:rFonts w:eastAsia="Calibri" w:cstheme="minorHAnsi"/>
          <w:lang w:eastAsia="pt-PT"/>
        </w:rPr>
        <w:t xml:space="preserve">, </w:t>
      </w:r>
      <w:r w:rsidRPr="009A539C">
        <w:rPr>
          <w:rFonts w:eastAsia="Calibri" w:cstheme="minorHAnsi"/>
          <w:lang w:eastAsia="pt-PT"/>
        </w:rPr>
        <w:t>por razões não imputáveis ao trabalhador</w:t>
      </w:r>
      <w:r w:rsidRPr="009A539C">
        <w:rPr>
          <w:rFonts w:eastAsia="Calibri" w:cstheme="minorHAnsi"/>
          <w:vertAlign w:val="superscript"/>
          <w:lang w:eastAsia="pt-PT"/>
        </w:rPr>
        <w:footnoteReference w:id="325"/>
      </w:r>
      <w:r w:rsidRPr="009A539C">
        <w:rPr>
          <w:rFonts w:eastAsia="Calibri" w:cstheme="minorHAnsi"/>
          <w:lang w:eastAsia="pt-PT"/>
        </w:rPr>
        <w:t xml:space="preserve"> para os casos em que o banco de horas começou a ser utilizado através da diminuição da jornada, sem que o tempo a menos tenha sido recuperado</w:t>
      </w:r>
      <w:r w:rsidRPr="009A539C">
        <w:rPr>
          <w:rFonts w:eastAsia="Calibri" w:cstheme="minorHAnsi"/>
          <w:vertAlign w:val="superscript"/>
          <w:lang w:eastAsia="pt-PT"/>
        </w:rPr>
        <w:footnoteReference w:id="326"/>
      </w:r>
      <w:r w:rsidRPr="009A539C">
        <w:rPr>
          <w:rFonts w:eastAsia="Calibri" w:cstheme="minorHAnsi"/>
          <w:lang w:eastAsia="pt-PT"/>
        </w:rPr>
        <w:t>;</w:t>
      </w:r>
    </w:p>
    <w:p w14:paraId="2106B5D6" w14:textId="77777777" w:rsidR="007452A0" w:rsidRPr="009A539C" w:rsidRDefault="007452A0" w:rsidP="00C57F4C">
      <w:pPr>
        <w:spacing w:after="0" w:line="360" w:lineRule="atLeast"/>
        <w:ind w:left="993" w:right="-1" w:hanging="567"/>
        <w:jc w:val="both"/>
        <w:rPr>
          <w:rFonts w:eastAsia="Calibri" w:cstheme="minorHAnsi"/>
          <w:lang w:eastAsia="pt-PT"/>
        </w:rPr>
      </w:pPr>
      <w:r w:rsidRPr="009A539C">
        <w:rPr>
          <w:rFonts w:eastAsia="Calibri" w:cstheme="minorHAnsi"/>
          <w:lang w:eastAsia="pt-PT"/>
        </w:rPr>
        <w:t xml:space="preserve">– </w:t>
      </w:r>
      <w:r w:rsidRPr="009A539C">
        <w:rPr>
          <w:rFonts w:eastAsia="Calibri" w:cstheme="minorHAnsi"/>
          <w:lang w:eastAsia="pt-PT"/>
        </w:rPr>
        <w:tab/>
        <w:t>se a falta de compensação decorrer de facto relativo ao trabalhador, a compensação poderá ser operada durante o ano civil subsequente, não contando nesse ano para efeitos das limitações horárias relativas ao banco de horas</w:t>
      </w:r>
      <w:r w:rsidRPr="009A539C">
        <w:rPr>
          <w:rFonts w:eastAsia="Calibri" w:cstheme="minorHAnsi"/>
          <w:vertAlign w:val="superscript"/>
          <w:lang w:eastAsia="pt-PT"/>
        </w:rPr>
        <w:footnoteReference w:id="327"/>
      </w:r>
      <w:r w:rsidRPr="009A539C">
        <w:rPr>
          <w:rFonts w:eastAsia="Calibri" w:cstheme="minorHAnsi"/>
          <w:lang w:eastAsia="pt-PT"/>
        </w:rPr>
        <w:t>;</w:t>
      </w:r>
    </w:p>
    <w:p w14:paraId="197AA35E" w14:textId="77777777" w:rsidR="007452A0" w:rsidRPr="009A539C" w:rsidRDefault="007452A0" w:rsidP="00C57F4C">
      <w:pPr>
        <w:spacing w:after="0" w:line="360" w:lineRule="atLeast"/>
        <w:ind w:left="993" w:right="-1" w:hanging="567"/>
        <w:jc w:val="both"/>
        <w:rPr>
          <w:rFonts w:eastAsia="Calibri" w:cs="Calibri"/>
          <w:lang w:eastAsia="pt-PT"/>
        </w:rPr>
      </w:pPr>
      <w:r w:rsidRPr="009A539C">
        <w:rPr>
          <w:rFonts w:eastAsia="Calibri" w:cstheme="minorHAnsi"/>
          <w:lang w:eastAsia="pt-PT"/>
        </w:rPr>
        <w:t xml:space="preserve">– </w:t>
      </w:r>
      <w:r w:rsidRPr="009A539C">
        <w:rPr>
          <w:rFonts w:eastAsia="Calibri" w:cstheme="minorHAnsi"/>
          <w:lang w:eastAsia="pt-PT"/>
        </w:rPr>
        <w:tab/>
        <w:t>quando exista trabalho para além do PNT não compensado, prevê-se o pagamento em dinheiro, ora a singelo</w:t>
      </w:r>
      <w:r w:rsidRPr="009A539C">
        <w:rPr>
          <w:rFonts w:eastAsia="Calibri" w:cstheme="minorHAnsi"/>
          <w:vertAlign w:val="superscript"/>
          <w:lang w:eastAsia="pt-PT"/>
        </w:rPr>
        <w:footnoteReference w:id="328"/>
      </w:r>
      <w:r w:rsidRPr="009A539C">
        <w:rPr>
          <w:rFonts w:eastAsia="Calibri" w:cstheme="minorHAnsi"/>
          <w:lang w:eastAsia="pt-PT"/>
        </w:rPr>
        <w:t>, ora como trabalho suplementar</w:t>
      </w:r>
      <w:r w:rsidRPr="009A539C">
        <w:rPr>
          <w:rFonts w:eastAsia="Calibri" w:cstheme="minorHAnsi"/>
          <w:vertAlign w:val="superscript"/>
          <w:lang w:eastAsia="pt-PT"/>
        </w:rPr>
        <w:footnoteReference w:id="329"/>
      </w:r>
      <w:r w:rsidRPr="009A539C">
        <w:rPr>
          <w:rFonts w:eastAsia="Calibri" w:cstheme="minorHAnsi"/>
          <w:lang w:eastAsia="pt-PT"/>
        </w:rPr>
        <w:t>, ora, ainda com acréscimo</w:t>
      </w:r>
      <w:r w:rsidRPr="009A539C">
        <w:rPr>
          <w:rFonts w:eastAsia="Calibri" w:cs="Calibri"/>
          <w:lang w:eastAsia="pt-PT"/>
        </w:rPr>
        <w:t xml:space="preserve"> especificamente  determinado</w:t>
      </w:r>
      <w:r w:rsidRPr="009A539C">
        <w:rPr>
          <w:rFonts w:eastAsia="Calibri" w:cs="Calibri"/>
          <w:vertAlign w:val="superscript"/>
          <w:lang w:eastAsia="pt-PT"/>
        </w:rPr>
        <w:footnoteReference w:id="330"/>
      </w:r>
      <w:r w:rsidRPr="009A539C">
        <w:rPr>
          <w:rFonts w:eastAsia="Calibri" w:cs="Calibri"/>
          <w:lang w:eastAsia="pt-PT"/>
        </w:rPr>
        <w:t>;</w:t>
      </w:r>
    </w:p>
    <w:p w14:paraId="10DA11B6" w14:textId="77777777" w:rsidR="007452A0" w:rsidRPr="009A539C" w:rsidRDefault="007452A0" w:rsidP="00C57F4C">
      <w:pPr>
        <w:spacing w:after="0" w:line="360" w:lineRule="atLeast"/>
        <w:ind w:left="993" w:right="-1" w:hanging="567"/>
        <w:jc w:val="both"/>
        <w:rPr>
          <w:rFonts w:eastAsia="Calibri" w:cstheme="minorHAnsi"/>
          <w:lang w:eastAsia="pt-PT"/>
        </w:rPr>
      </w:pPr>
      <w:r w:rsidRPr="009A539C">
        <w:rPr>
          <w:rFonts w:eastAsia="Calibri" w:cs="Calibri"/>
          <w:color w:val="0070C0"/>
          <w:lang w:eastAsia="pt-PT"/>
        </w:rPr>
        <w:t xml:space="preserve">– </w:t>
      </w:r>
      <w:r w:rsidRPr="009A539C">
        <w:rPr>
          <w:rFonts w:eastAsia="Calibri" w:cs="Calibri"/>
          <w:lang w:eastAsia="pt-PT"/>
        </w:rPr>
        <w:tab/>
      </w:r>
      <w:r w:rsidRPr="009A539C">
        <w:rPr>
          <w:rFonts w:eastAsia="Calibri" w:cstheme="minorHAnsi"/>
          <w:lang w:eastAsia="pt-PT"/>
        </w:rPr>
        <w:t>quando a impossibilidade de compensação decorra da cessação do contrato de trabalho, estabelece-se a obrigatoriedade de pagamento, a singelo</w:t>
      </w:r>
      <w:r w:rsidRPr="009A539C">
        <w:rPr>
          <w:rFonts w:eastAsia="Calibri" w:cstheme="minorHAnsi"/>
          <w:vertAlign w:val="superscript"/>
          <w:lang w:eastAsia="pt-PT"/>
        </w:rPr>
        <w:footnoteReference w:id="331"/>
      </w:r>
      <w:r w:rsidRPr="009A539C">
        <w:rPr>
          <w:rFonts w:eastAsia="Calibri" w:cstheme="minorHAnsi"/>
          <w:lang w:eastAsia="pt-PT"/>
        </w:rPr>
        <w:t xml:space="preserve"> ou com acréscimo</w:t>
      </w:r>
      <w:r w:rsidRPr="009A539C">
        <w:rPr>
          <w:rFonts w:eastAsia="Calibri" w:cstheme="minorHAnsi"/>
          <w:vertAlign w:val="superscript"/>
          <w:lang w:eastAsia="pt-PT"/>
        </w:rPr>
        <w:footnoteReference w:id="332"/>
      </w:r>
      <w:r w:rsidRPr="009A539C">
        <w:rPr>
          <w:rFonts w:eastAsia="Calibri" w:cstheme="minorHAnsi"/>
          <w:lang w:eastAsia="pt-PT"/>
        </w:rPr>
        <w:t>.</w:t>
      </w:r>
    </w:p>
    <w:p w14:paraId="18E62E50" w14:textId="77777777" w:rsidR="007452A0" w:rsidRPr="009A539C" w:rsidRDefault="007452A0" w:rsidP="00642AA5">
      <w:pPr>
        <w:tabs>
          <w:tab w:val="left" w:pos="851"/>
        </w:tabs>
        <w:spacing w:after="0" w:line="360" w:lineRule="atLeast"/>
        <w:ind w:left="993" w:right="-1"/>
        <w:jc w:val="both"/>
        <w:rPr>
          <w:rFonts w:eastAsia="Calibri" w:cstheme="minorHAnsi"/>
          <w:lang w:eastAsia="pt-PT"/>
        </w:rPr>
      </w:pPr>
    </w:p>
    <w:p w14:paraId="2293FA31" w14:textId="77777777" w:rsidR="00F64830" w:rsidRPr="009A539C" w:rsidRDefault="007452A0" w:rsidP="00C57F4C">
      <w:pPr>
        <w:tabs>
          <w:tab w:val="left" w:pos="0"/>
        </w:tabs>
        <w:spacing w:before="120" w:after="0" w:line="360" w:lineRule="atLeast"/>
        <w:ind w:right="-1" w:firstLine="426"/>
        <w:jc w:val="both"/>
        <w:rPr>
          <w:rFonts w:eastAsia="Calibri" w:cs="Calibri"/>
          <w:lang w:eastAsia="pt-PT"/>
        </w:rPr>
      </w:pPr>
      <w:r w:rsidRPr="009A539C">
        <w:rPr>
          <w:rFonts w:eastAsia="Calibri" w:cstheme="minorHAnsi"/>
          <w:b/>
          <w:lang w:eastAsia="pt-PT"/>
        </w:rPr>
        <w:t>VI.</w:t>
      </w:r>
      <w:r w:rsidRPr="009A539C">
        <w:rPr>
          <w:rFonts w:eastAsia="Calibri" w:cstheme="minorHAnsi"/>
          <w:lang w:eastAsia="pt-PT"/>
        </w:rPr>
        <w:t xml:space="preserve"> </w:t>
      </w:r>
      <w:r w:rsidR="00F64830" w:rsidRPr="009A539C">
        <w:rPr>
          <w:rFonts w:eastAsia="Calibri" w:cstheme="minorHAnsi"/>
          <w:lang w:eastAsia="pt-PT"/>
        </w:rPr>
        <w:t>A criatividade das convenções coletivas expressa-se ainda com a frequente adição ao regime dos bancos de horas de regras sobre questões particulares: exigência de que o empregador mantenha uma conta corrente  com registo do funcionamento do banco de horas, a que o trabalhador tem acesso</w:t>
      </w:r>
      <w:r w:rsidR="00F64830" w:rsidRPr="009A539C">
        <w:rPr>
          <w:rFonts w:eastAsia="Calibri" w:cstheme="minorHAnsi"/>
          <w:vertAlign w:val="superscript"/>
          <w:lang w:eastAsia="pt-PT"/>
        </w:rPr>
        <w:footnoteReference w:id="333"/>
      </w:r>
      <w:r w:rsidR="00F64830" w:rsidRPr="009A539C">
        <w:rPr>
          <w:rFonts w:eastAsia="Calibri" w:cstheme="minorHAnsi"/>
          <w:lang w:eastAsia="pt-PT"/>
        </w:rPr>
        <w:t>; articulação com a atribuição do subsídio</w:t>
      </w:r>
      <w:r w:rsidR="00F64830" w:rsidRPr="009A539C">
        <w:rPr>
          <w:rFonts w:eastAsia="Calibri" w:cs="Calibri"/>
          <w:lang w:eastAsia="pt-PT"/>
        </w:rPr>
        <w:t xml:space="preserve"> de refeição, em especial no âmbito da redução da jornada</w:t>
      </w:r>
      <w:r w:rsidR="00F64830" w:rsidRPr="009A539C">
        <w:rPr>
          <w:rFonts w:eastAsia="Calibri" w:cs="Calibri"/>
          <w:vertAlign w:val="superscript"/>
          <w:lang w:eastAsia="pt-PT"/>
        </w:rPr>
        <w:footnoteReference w:id="334"/>
      </w:r>
      <w:r w:rsidR="00F64830" w:rsidRPr="009A539C">
        <w:rPr>
          <w:rFonts w:eastAsia="Calibri" w:cs="Calibri"/>
          <w:lang w:eastAsia="pt-PT"/>
        </w:rPr>
        <w:t>; previsão da compensação de despesas decorrentes da variação da jornada</w:t>
      </w:r>
      <w:r w:rsidR="00F64830" w:rsidRPr="009A539C">
        <w:rPr>
          <w:rFonts w:eastAsia="Calibri" w:cs="Calibri"/>
          <w:vertAlign w:val="superscript"/>
          <w:lang w:eastAsia="pt-PT"/>
        </w:rPr>
        <w:footnoteReference w:id="335"/>
      </w:r>
      <w:r w:rsidR="00F64830" w:rsidRPr="009A539C">
        <w:rPr>
          <w:rFonts w:eastAsia="Calibri" w:cs="Calibri"/>
          <w:lang w:eastAsia="pt-PT"/>
        </w:rPr>
        <w:t>; assim como fornecimento de meio de transporte</w:t>
      </w:r>
      <w:r w:rsidR="00F64830" w:rsidRPr="009A539C">
        <w:rPr>
          <w:rFonts w:eastAsia="Calibri" w:cs="Calibri"/>
          <w:vertAlign w:val="superscript"/>
          <w:lang w:eastAsia="pt-PT"/>
        </w:rPr>
        <w:footnoteReference w:id="336"/>
      </w:r>
      <w:r w:rsidR="00F64830" w:rsidRPr="009A539C">
        <w:rPr>
          <w:rFonts w:eastAsia="Calibri" w:cs="Calibri"/>
          <w:lang w:eastAsia="pt-PT"/>
        </w:rPr>
        <w:t>.</w:t>
      </w:r>
    </w:p>
    <w:p w14:paraId="00C1B6F1" w14:textId="21F1FDF3" w:rsidR="00F64830" w:rsidRPr="009A539C" w:rsidRDefault="00F64830" w:rsidP="00C57F4C">
      <w:pPr>
        <w:tabs>
          <w:tab w:val="left" w:pos="0"/>
        </w:tabs>
        <w:spacing w:after="0" w:line="360" w:lineRule="atLeast"/>
        <w:ind w:right="-1" w:firstLine="426"/>
        <w:jc w:val="both"/>
        <w:rPr>
          <w:rFonts w:eastAsia="Calibri" w:cstheme="minorHAnsi"/>
          <w:lang w:eastAsia="pt-PT"/>
        </w:rPr>
      </w:pPr>
    </w:p>
    <w:p w14:paraId="518B7992" w14:textId="5733FEC5" w:rsidR="007452A0" w:rsidRPr="009A539C" w:rsidRDefault="007452A0" w:rsidP="00C57F4C">
      <w:pPr>
        <w:tabs>
          <w:tab w:val="left" w:pos="0"/>
        </w:tabs>
        <w:spacing w:after="0" w:line="360" w:lineRule="atLeast"/>
        <w:ind w:right="-1" w:firstLine="426"/>
        <w:jc w:val="both"/>
        <w:rPr>
          <w:rFonts w:eastAsia="Calibri" w:cstheme="minorHAnsi"/>
          <w:lang w:eastAsia="pt-PT"/>
        </w:rPr>
      </w:pPr>
      <w:r w:rsidRPr="009A539C">
        <w:rPr>
          <w:rFonts w:eastAsia="Calibri" w:cstheme="minorHAnsi"/>
          <w:lang w:eastAsia="pt-PT"/>
        </w:rPr>
        <w:t xml:space="preserve">Em 2019 não se encontraram previsões relativas ao  banco de horas grupal.  </w:t>
      </w:r>
    </w:p>
    <w:p w14:paraId="17779FE0" w14:textId="77777777" w:rsidR="00F30D92" w:rsidRPr="009A539C" w:rsidRDefault="00F30D92" w:rsidP="00B90788">
      <w:pPr>
        <w:tabs>
          <w:tab w:val="left" w:pos="851"/>
        </w:tabs>
        <w:spacing w:before="120" w:after="0" w:line="360" w:lineRule="atLeast"/>
        <w:ind w:right="-1" w:firstLine="414"/>
        <w:jc w:val="both"/>
        <w:rPr>
          <w:rFonts w:eastAsia="Calibri" w:cs="Calibri"/>
          <w:lang w:eastAsia="pt-PT"/>
        </w:rPr>
      </w:pPr>
    </w:p>
    <w:p w14:paraId="633D1AF5" w14:textId="77777777" w:rsidR="007452A0" w:rsidRPr="009A539C" w:rsidRDefault="007452A0" w:rsidP="00AF188D">
      <w:pPr>
        <w:pStyle w:val="Cabealho4"/>
        <w:numPr>
          <w:ilvl w:val="0"/>
          <w:numId w:val="63"/>
        </w:numPr>
        <w:rPr>
          <w:rFonts w:asciiTheme="minorHAnsi" w:hAnsiTheme="minorHAnsi" w:cstheme="minorHAnsi"/>
          <w:b w:val="0"/>
          <w:bCs w:val="0"/>
          <w:iCs w:val="0"/>
          <w:color w:val="auto"/>
        </w:rPr>
      </w:pPr>
      <w:r w:rsidRPr="009A539C">
        <w:rPr>
          <w:rFonts w:asciiTheme="minorHAnsi" w:hAnsiTheme="minorHAnsi" w:cstheme="minorHAnsi"/>
          <w:b w:val="0"/>
          <w:bCs w:val="0"/>
          <w:iCs w:val="0"/>
          <w:color w:val="auto"/>
        </w:rPr>
        <w:t xml:space="preserve"> </w:t>
      </w:r>
      <w:bookmarkStart w:id="663" w:name="_Toc7017704"/>
      <w:bookmarkStart w:id="664" w:name="_Toc15652504"/>
      <w:bookmarkStart w:id="665" w:name="_Toc42511770"/>
      <w:bookmarkStart w:id="666" w:name="_Toc42514534"/>
      <w:bookmarkStart w:id="667" w:name="_Toc45535718"/>
      <w:bookmarkStart w:id="668" w:name="_Toc470179384"/>
      <w:bookmarkStart w:id="669" w:name="_Toc449106623"/>
      <w:r w:rsidRPr="009A539C">
        <w:rPr>
          <w:rFonts w:asciiTheme="minorHAnsi" w:hAnsiTheme="minorHAnsi" w:cstheme="minorHAnsi"/>
          <w:b w:val="0"/>
          <w:bCs w:val="0"/>
          <w:iCs w:val="0"/>
          <w:color w:val="auto"/>
        </w:rPr>
        <w:t>Horários concentrados: principais características dos regimes convencionais</w:t>
      </w:r>
      <w:bookmarkEnd w:id="663"/>
      <w:bookmarkEnd w:id="664"/>
      <w:bookmarkEnd w:id="665"/>
      <w:bookmarkEnd w:id="666"/>
      <w:bookmarkEnd w:id="667"/>
    </w:p>
    <w:bookmarkEnd w:id="668"/>
    <w:bookmarkEnd w:id="669"/>
    <w:p w14:paraId="3A4006E4" w14:textId="7DC85DF7" w:rsidR="007452A0" w:rsidRPr="009A539C" w:rsidRDefault="007452A0" w:rsidP="00C57F4C">
      <w:pPr>
        <w:spacing w:before="120" w:after="0" w:line="360" w:lineRule="atLeast"/>
        <w:ind w:right="-1" w:firstLine="284"/>
        <w:jc w:val="both"/>
        <w:rPr>
          <w:rFonts w:eastAsia="Calibri" w:cstheme="minorHAnsi"/>
          <w:lang w:eastAsia="pt-PT"/>
        </w:rPr>
      </w:pPr>
      <w:r w:rsidRPr="009A539C">
        <w:rPr>
          <w:rFonts w:eastAsia="Calibri" w:cstheme="minorHAnsi"/>
          <w:lang w:eastAsia="pt-PT"/>
        </w:rPr>
        <w:t>Como tem sido habitual, são raras as convenções que disciplinam horários concentrados. Em 2019, a figura tem muito  pouca  expressão no panorama global das  convenções do ano. A revisão global dos  dois CC preservam o desenho anterior da figura</w:t>
      </w:r>
      <w:r w:rsidRPr="009A539C">
        <w:rPr>
          <w:rFonts w:eastAsia="Calibri" w:cstheme="minorHAnsi"/>
          <w:vertAlign w:val="superscript"/>
          <w:lang w:eastAsia="pt-PT"/>
        </w:rPr>
        <w:footnoteReference w:id="337"/>
      </w:r>
      <w:r w:rsidRPr="009A539C">
        <w:rPr>
          <w:rFonts w:eastAsia="Calibri" w:cstheme="minorHAnsi"/>
          <w:lang w:eastAsia="pt-PT"/>
        </w:rPr>
        <w:t xml:space="preserve">  </w:t>
      </w:r>
      <w:r w:rsidR="00603600" w:rsidRPr="009A539C">
        <w:rPr>
          <w:rFonts w:eastAsia="Calibri" w:cstheme="minorHAnsi"/>
          <w:lang w:eastAsia="pt-PT"/>
        </w:rPr>
        <w:t xml:space="preserve"> e localiza-se uma primeira convenção.</w:t>
      </w:r>
    </w:p>
    <w:p w14:paraId="052F5968" w14:textId="77777777" w:rsidR="008E13D9" w:rsidRPr="009A539C" w:rsidRDefault="008E13D9" w:rsidP="00C57F4C">
      <w:pPr>
        <w:spacing w:after="0" w:line="240" w:lineRule="auto"/>
        <w:ind w:right="-1" w:firstLine="284"/>
        <w:rPr>
          <w:rFonts w:cs="Times New Roman"/>
          <w:color w:val="00000A"/>
        </w:rPr>
      </w:pPr>
    </w:p>
    <w:p w14:paraId="04859D83" w14:textId="77777777" w:rsidR="008E13D9" w:rsidRPr="009A539C" w:rsidRDefault="008E13D9" w:rsidP="00B90788">
      <w:pPr>
        <w:spacing w:after="0" w:line="240" w:lineRule="auto"/>
        <w:ind w:right="-1"/>
        <w:rPr>
          <w:rFonts w:cs="Times New Roman"/>
          <w:color w:val="00000A"/>
        </w:rPr>
      </w:pPr>
    </w:p>
    <w:p w14:paraId="5CA8F71E" w14:textId="1FA0A2D5" w:rsidR="007452A0" w:rsidRPr="004B7DBA" w:rsidRDefault="00785B2A" w:rsidP="00343774">
      <w:pPr>
        <w:pStyle w:val="Legenda"/>
        <w:jc w:val="center"/>
        <w:rPr>
          <w:b w:val="0"/>
          <w:bCs w:val="0"/>
          <w:sz w:val="20"/>
          <w:szCs w:val="20"/>
        </w:rPr>
      </w:pPr>
      <w:bookmarkStart w:id="670" w:name="_Toc45716676"/>
      <w:r w:rsidRPr="004B7DBA">
        <w:rPr>
          <w:b w:val="0"/>
          <w:sz w:val="20"/>
          <w:szCs w:val="20"/>
        </w:rPr>
        <w:t xml:space="preserve">Quadro </w:t>
      </w:r>
      <w:r w:rsidR="00942C57" w:rsidRPr="004B7DBA">
        <w:rPr>
          <w:b w:val="0"/>
          <w:sz w:val="20"/>
          <w:szCs w:val="20"/>
        </w:rPr>
        <w:fldChar w:fldCharType="begin"/>
      </w:r>
      <w:r w:rsidR="00942C57" w:rsidRPr="004B7DBA">
        <w:rPr>
          <w:b w:val="0"/>
          <w:sz w:val="20"/>
          <w:szCs w:val="20"/>
        </w:rPr>
        <w:instrText xml:space="preserve"> SEQ Quadro \* ARABIC </w:instrText>
      </w:r>
      <w:r w:rsidR="00942C57" w:rsidRPr="004B7DBA">
        <w:rPr>
          <w:b w:val="0"/>
          <w:sz w:val="20"/>
          <w:szCs w:val="20"/>
        </w:rPr>
        <w:fldChar w:fldCharType="separate"/>
      </w:r>
      <w:r w:rsidR="00D821DE" w:rsidRPr="004B7DBA">
        <w:rPr>
          <w:b w:val="0"/>
          <w:noProof/>
          <w:sz w:val="20"/>
          <w:szCs w:val="20"/>
        </w:rPr>
        <w:t>55</w:t>
      </w:r>
      <w:r w:rsidR="00942C57" w:rsidRPr="004B7DBA">
        <w:rPr>
          <w:b w:val="0"/>
          <w:noProof/>
          <w:sz w:val="20"/>
          <w:szCs w:val="20"/>
        </w:rPr>
        <w:fldChar w:fldCharType="end"/>
      </w:r>
      <w:r w:rsidR="007452A0" w:rsidRPr="004B7DBA">
        <w:rPr>
          <w:b w:val="0"/>
          <w:bCs w:val="0"/>
          <w:sz w:val="20"/>
          <w:szCs w:val="20"/>
        </w:rPr>
        <w:t xml:space="preserve"> - Horário Concentrado </w:t>
      </w:r>
      <w:r w:rsidR="004B7DBA">
        <w:rPr>
          <w:b w:val="0"/>
          <w:bCs w:val="0"/>
          <w:sz w:val="20"/>
          <w:szCs w:val="20"/>
        </w:rPr>
        <w:t>(</w:t>
      </w:r>
      <w:r w:rsidR="007452A0" w:rsidRPr="004B7DBA">
        <w:rPr>
          <w:b w:val="0"/>
          <w:bCs w:val="0"/>
          <w:sz w:val="20"/>
          <w:szCs w:val="20"/>
        </w:rPr>
        <w:t>2019</w:t>
      </w:r>
      <w:r w:rsidR="004B7DBA">
        <w:rPr>
          <w:b w:val="0"/>
          <w:bCs w:val="0"/>
          <w:sz w:val="20"/>
          <w:szCs w:val="20"/>
        </w:rPr>
        <w:t>)</w:t>
      </w:r>
      <w:bookmarkEnd w:id="670"/>
    </w:p>
    <w:p w14:paraId="4B882B76" w14:textId="77777777" w:rsidR="007452A0" w:rsidRPr="009A539C" w:rsidRDefault="007452A0" w:rsidP="00B90788">
      <w:pPr>
        <w:spacing w:after="0" w:line="240" w:lineRule="auto"/>
        <w:ind w:right="-1"/>
        <w:rPr>
          <w:rFonts w:cs="Times New Roman"/>
          <w:color w:val="00000A"/>
        </w:rPr>
      </w:pPr>
    </w:p>
    <w:p w14:paraId="41F82B61" w14:textId="77777777" w:rsidR="007452A0" w:rsidRPr="009A539C" w:rsidRDefault="007452A0" w:rsidP="00B90788">
      <w:pPr>
        <w:spacing w:after="0" w:line="240" w:lineRule="auto"/>
        <w:ind w:right="-1"/>
        <w:jc w:val="center"/>
        <w:rPr>
          <w:rFonts w:cs="Times New Roman"/>
          <w:color w:val="00000A"/>
        </w:rPr>
      </w:pPr>
      <w:r w:rsidRPr="009A539C">
        <w:rPr>
          <w:rFonts w:cs="Times New Roman"/>
          <w:noProof/>
          <w:color w:val="00000A"/>
          <w:lang w:eastAsia="pt-PT"/>
        </w:rPr>
        <w:drawing>
          <wp:inline distT="0" distB="0" distL="0" distR="0" wp14:anchorId="71EA3093" wp14:editId="40565D28">
            <wp:extent cx="5400040" cy="2102782"/>
            <wp:effectExtent l="0" t="0" r="0" b="0"/>
            <wp:docPr id="1180" name="Imagem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400040" cy="2102782"/>
                    </a:xfrm>
                    <a:prstGeom prst="rect">
                      <a:avLst/>
                    </a:prstGeom>
                    <a:noFill/>
                    <a:ln>
                      <a:noFill/>
                    </a:ln>
                  </pic:spPr>
                </pic:pic>
              </a:graphicData>
            </a:graphic>
          </wp:inline>
        </w:drawing>
      </w:r>
    </w:p>
    <w:p w14:paraId="68A4F616" w14:textId="77777777" w:rsidR="007452A0" w:rsidRPr="009A539C" w:rsidRDefault="007452A0" w:rsidP="00B90788">
      <w:pPr>
        <w:spacing w:after="0" w:line="240" w:lineRule="auto"/>
        <w:ind w:right="-1"/>
        <w:rPr>
          <w:rFonts w:cs="Times New Roman"/>
          <w:color w:val="00000A"/>
        </w:rPr>
      </w:pPr>
    </w:p>
    <w:p w14:paraId="1B819FA2" w14:textId="77777777" w:rsidR="007452A0" w:rsidRPr="009A539C" w:rsidRDefault="007452A0" w:rsidP="00B90788">
      <w:pPr>
        <w:spacing w:after="0" w:line="240" w:lineRule="auto"/>
        <w:ind w:right="-1"/>
        <w:rPr>
          <w:rFonts w:cs="Times New Roman"/>
          <w:color w:val="00000A"/>
        </w:rPr>
      </w:pPr>
    </w:p>
    <w:p w14:paraId="56D5C412" w14:textId="77777777" w:rsidR="007452A0" w:rsidRPr="009A539C" w:rsidRDefault="007452A0" w:rsidP="00AF188D">
      <w:pPr>
        <w:pStyle w:val="Cabealho4"/>
        <w:numPr>
          <w:ilvl w:val="0"/>
          <w:numId w:val="63"/>
        </w:numPr>
        <w:rPr>
          <w:rFonts w:asciiTheme="minorHAnsi" w:hAnsiTheme="minorHAnsi" w:cstheme="minorHAnsi"/>
          <w:b w:val="0"/>
          <w:bCs w:val="0"/>
          <w:iCs w:val="0"/>
          <w:color w:val="auto"/>
        </w:rPr>
      </w:pPr>
      <w:bookmarkStart w:id="671" w:name="_Toc42511771"/>
      <w:bookmarkStart w:id="672" w:name="_Toc42514535"/>
      <w:bookmarkStart w:id="673" w:name="_Toc45535719"/>
      <w:r w:rsidRPr="009A539C">
        <w:rPr>
          <w:rFonts w:asciiTheme="minorHAnsi" w:hAnsiTheme="minorHAnsi" w:cstheme="minorHAnsi"/>
          <w:b w:val="0"/>
          <w:bCs w:val="0"/>
          <w:iCs w:val="0"/>
          <w:color w:val="auto"/>
        </w:rPr>
        <w:t>Regimes de prevenção ou disponibilidade</w:t>
      </w:r>
      <w:bookmarkEnd w:id="671"/>
      <w:bookmarkEnd w:id="672"/>
      <w:bookmarkEnd w:id="673"/>
    </w:p>
    <w:p w14:paraId="61CFC58C" w14:textId="342AF439" w:rsidR="007452A0" w:rsidRPr="009A539C" w:rsidRDefault="007452A0" w:rsidP="00C57F4C">
      <w:pPr>
        <w:numPr>
          <w:ilvl w:val="0"/>
          <w:numId w:val="43"/>
        </w:numPr>
        <w:tabs>
          <w:tab w:val="left" w:pos="0"/>
        </w:tabs>
        <w:spacing w:before="120" w:after="0" w:line="360" w:lineRule="auto"/>
        <w:ind w:left="0" w:right="-1" w:firstLine="284"/>
        <w:jc w:val="both"/>
        <w:rPr>
          <w:rFonts w:eastAsia="Calibri" w:cstheme="minorHAnsi"/>
          <w:lang w:eastAsia="pt-PT"/>
        </w:rPr>
      </w:pPr>
      <w:r w:rsidRPr="009A539C">
        <w:rPr>
          <w:rFonts w:eastAsia="Calibri" w:cs="Calibri"/>
          <w:lang w:eastAsia="pt-PT"/>
        </w:rPr>
        <w:t>Consideram-se regimes de prevenção ou disponibilidade as situações em que o trabalhador se obriga a permanecer disponível e contactável para, caso seja necessário e para tanto convocado, prestar trabalho fora do respetivo horário</w:t>
      </w:r>
      <w:r w:rsidRPr="009A539C">
        <w:rPr>
          <w:rFonts w:eastAsia="Calibri" w:cs="Calibri"/>
          <w:vertAlign w:val="superscript"/>
          <w:lang w:eastAsia="pt-PT"/>
        </w:rPr>
        <w:footnoteReference w:id="338"/>
      </w:r>
      <w:r w:rsidRPr="009A539C">
        <w:rPr>
          <w:rFonts w:eastAsia="Calibri" w:cs="Calibri"/>
          <w:lang w:eastAsia="pt-PT"/>
        </w:rPr>
        <w:t xml:space="preserve">. A disciplina </w:t>
      </w:r>
      <w:r w:rsidR="0052004A" w:rsidRPr="009A539C">
        <w:rPr>
          <w:rFonts w:eastAsia="Calibri" w:cs="Calibri"/>
          <w:lang w:eastAsia="pt-PT"/>
        </w:rPr>
        <w:t>deste regime</w:t>
      </w:r>
      <w:r w:rsidRPr="009A539C">
        <w:rPr>
          <w:rFonts w:eastAsia="Calibri" w:cs="Calibri"/>
          <w:lang w:eastAsia="pt-PT"/>
        </w:rPr>
        <w:t xml:space="preserve">, de origem convencional e sem tradução na lei, reveste uma </w:t>
      </w:r>
      <w:r w:rsidRPr="009A539C">
        <w:rPr>
          <w:rFonts w:eastAsia="Calibri" w:cstheme="minorHAnsi"/>
          <w:lang w:eastAsia="pt-PT"/>
        </w:rPr>
        <w:t>natural ligação à duração e organização do tempo de trabalho, em especial, no que toca às regras sobre o período normal de trabalho, os horários de funcionamento, o trabalho suplementar, o trabalho por turnos</w:t>
      </w:r>
      <w:r w:rsidR="0052004A" w:rsidRPr="009A539C">
        <w:rPr>
          <w:rFonts w:eastAsia="Calibri" w:cstheme="minorHAnsi"/>
          <w:lang w:eastAsia="pt-PT"/>
        </w:rPr>
        <w:t>,</w:t>
      </w:r>
      <w:r w:rsidRPr="009A539C">
        <w:rPr>
          <w:rFonts w:eastAsia="Calibri" w:cstheme="minorHAnsi"/>
          <w:vertAlign w:val="superscript"/>
          <w:lang w:eastAsia="pt-PT"/>
        </w:rPr>
        <w:footnoteReference w:id="339"/>
      </w:r>
      <w:r w:rsidRPr="009A539C">
        <w:rPr>
          <w:rFonts w:eastAsia="Calibri" w:cstheme="minorHAnsi"/>
          <w:lang w:eastAsia="pt-PT"/>
        </w:rPr>
        <w:t xml:space="preserve"> o que justifica a sua análise, neste capítulo. </w:t>
      </w:r>
    </w:p>
    <w:p w14:paraId="2953C07E" w14:textId="002484B6" w:rsidR="007452A0" w:rsidRPr="009A539C" w:rsidRDefault="007452A0" w:rsidP="00C57F4C">
      <w:pPr>
        <w:numPr>
          <w:ilvl w:val="0"/>
          <w:numId w:val="43"/>
        </w:numPr>
        <w:tabs>
          <w:tab w:val="left" w:pos="0"/>
        </w:tabs>
        <w:spacing w:before="120" w:after="0" w:line="360" w:lineRule="auto"/>
        <w:ind w:left="0" w:right="-1" w:firstLine="284"/>
        <w:jc w:val="both"/>
        <w:rPr>
          <w:rFonts w:eastAsia="Calibri" w:cs="Calibri"/>
          <w:lang w:eastAsia="pt-PT"/>
        </w:rPr>
      </w:pPr>
      <w:r w:rsidRPr="009A539C">
        <w:rPr>
          <w:rFonts w:eastAsia="Calibri" w:cs="Calibri"/>
          <w:lang w:eastAsia="pt-PT"/>
        </w:rPr>
        <w:t xml:space="preserve">O tema  </w:t>
      </w:r>
      <w:r w:rsidR="007544A9" w:rsidRPr="009A539C">
        <w:rPr>
          <w:rFonts w:eastAsia="Calibri" w:cs="Calibri"/>
          <w:lang w:eastAsia="pt-PT"/>
        </w:rPr>
        <w:t>localiza-se</w:t>
      </w:r>
      <w:r w:rsidRPr="009A539C">
        <w:rPr>
          <w:rFonts w:eastAsia="Calibri" w:cs="Calibri"/>
          <w:lang w:eastAsia="pt-PT"/>
        </w:rPr>
        <w:t xml:space="preserve"> em 27</w:t>
      </w:r>
      <w:r w:rsidR="007544A9" w:rsidRPr="009A539C">
        <w:rPr>
          <w:rFonts w:eastAsia="Calibri" w:cs="Calibri"/>
          <w:lang w:eastAsia="pt-PT"/>
        </w:rPr>
        <w:t xml:space="preserve"> </w:t>
      </w:r>
      <w:r w:rsidRPr="009A539C">
        <w:rPr>
          <w:rFonts w:eastAsia="Calibri" w:cs="Calibri"/>
          <w:lang w:eastAsia="pt-PT"/>
        </w:rPr>
        <w:t>das convenções publicadas em 2019</w:t>
      </w:r>
      <w:r w:rsidRPr="009A539C">
        <w:rPr>
          <w:rFonts w:eastAsia="Calibri" w:cs="Calibri"/>
          <w:vertAlign w:val="superscript"/>
          <w:lang w:eastAsia="pt-PT"/>
        </w:rPr>
        <w:footnoteReference w:id="340"/>
      </w:r>
      <w:r w:rsidRPr="009A539C">
        <w:rPr>
          <w:rFonts w:eastAsia="Calibri" w:cs="Calibri"/>
          <w:lang w:eastAsia="pt-PT"/>
        </w:rPr>
        <w:t xml:space="preserve"> (face a 23 em 2018) , com um predomínio de convenções paralelas (59% de 27 convenções), onde </w:t>
      </w:r>
      <w:r w:rsidR="007544A9" w:rsidRPr="009A539C">
        <w:rPr>
          <w:rFonts w:eastAsia="Calibri" w:cs="Calibri"/>
          <w:lang w:eastAsia="pt-PT"/>
        </w:rPr>
        <w:t>o recorte é comum</w:t>
      </w:r>
      <w:r w:rsidRPr="009A539C">
        <w:rPr>
          <w:rFonts w:eastAsia="Calibri" w:cs="Calibri"/>
          <w:lang w:eastAsia="pt-PT"/>
        </w:rPr>
        <w:t>, o que obviamente  centraliza o nível de</w:t>
      </w:r>
      <w:r w:rsidR="007544A9" w:rsidRPr="009A539C">
        <w:rPr>
          <w:rFonts w:eastAsia="Calibri" w:cs="Calibri"/>
          <w:lang w:eastAsia="pt-PT"/>
        </w:rPr>
        <w:t xml:space="preserve"> </w:t>
      </w:r>
      <w:r w:rsidRPr="009A539C">
        <w:rPr>
          <w:rFonts w:eastAsia="Calibri" w:cs="Calibri"/>
          <w:lang w:eastAsia="pt-PT"/>
        </w:rPr>
        <w:t xml:space="preserve">cobertura. </w:t>
      </w:r>
      <w:r w:rsidR="007544A9" w:rsidRPr="009A539C">
        <w:rPr>
          <w:rFonts w:eastAsia="Calibri" w:cs="Calibri"/>
          <w:lang w:eastAsia="pt-PT"/>
        </w:rPr>
        <w:t>C</w:t>
      </w:r>
      <w:r w:rsidRPr="009A539C">
        <w:rPr>
          <w:rFonts w:eastAsia="Calibri" w:cs="Calibri"/>
          <w:lang w:eastAsia="pt-PT"/>
        </w:rPr>
        <w:t>ontinua</w:t>
      </w:r>
      <w:r w:rsidR="007544A9" w:rsidRPr="009A539C">
        <w:rPr>
          <w:rFonts w:eastAsia="Calibri" w:cs="Calibri"/>
          <w:lang w:eastAsia="pt-PT"/>
        </w:rPr>
        <w:t>, por outro lado,</w:t>
      </w:r>
      <w:r w:rsidRPr="009A539C">
        <w:rPr>
          <w:rFonts w:eastAsia="Calibri" w:cs="Calibri"/>
          <w:lang w:eastAsia="pt-PT"/>
        </w:rPr>
        <w:t xml:space="preserve"> a marcar presença essencialmente ao nível da empresa em três setores de atividade: “Indústrias transformadoras”(C’); “Comércio por grosso e a retalho, reparação de veículos automóveis e motociclos”(G); e “Transportes e armazenagem”(H)</w:t>
      </w:r>
      <w:r w:rsidRPr="009A539C">
        <w:rPr>
          <w:rFonts w:cs="Calibri"/>
          <w:vertAlign w:val="superscript"/>
        </w:rPr>
        <w:footnoteReference w:id="341"/>
      </w:r>
      <w:r w:rsidRPr="009A539C">
        <w:rPr>
          <w:rFonts w:eastAsia="Calibri" w:cs="Calibri"/>
          <w:lang w:eastAsia="pt-PT"/>
        </w:rPr>
        <w:t xml:space="preserve">. </w:t>
      </w:r>
      <w:r w:rsidR="007544A9" w:rsidRPr="009A539C">
        <w:rPr>
          <w:rFonts w:eastAsia="Calibri" w:cs="Calibri"/>
          <w:lang w:eastAsia="pt-PT"/>
        </w:rPr>
        <w:t>O perfil da figura parece ser desenhado</w:t>
      </w:r>
      <w:r w:rsidRPr="009A539C">
        <w:rPr>
          <w:rFonts w:eastAsia="Calibri" w:cs="Calibri"/>
          <w:lang w:eastAsia="pt-PT"/>
        </w:rPr>
        <w:t xml:space="preserve"> em função das especificidades de cada organização empresarial (e da atividade nela desenvolvida), afigurando-se mesmo central na organização do trabalho  com regime de laboração continua</w:t>
      </w:r>
      <w:r w:rsidRPr="009A539C">
        <w:rPr>
          <w:rFonts w:cs="Calibri"/>
          <w:vertAlign w:val="superscript"/>
        </w:rPr>
        <w:t xml:space="preserve"> </w:t>
      </w:r>
      <w:r w:rsidRPr="009A539C">
        <w:rPr>
          <w:rFonts w:cs="Calibri"/>
          <w:vertAlign w:val="superscript"/>
        </w:rPr>
        <w:footnoteReference w:id="342"/>
      </w:r>
      <w:r w:rsidRPr="009A539C">
        <w:rPr>
          <w:rFonts w:eastAsia="Calibri" w:cs="Calibri"/>
          <w:lang w:eastAsia="pt-PT"/>
        </w:rPr>
        <w:t xml:space="preserve">.  </w:t>
      </w:r>
      <w:bookmarkStart w:id="674" w:name="_Toc15654993"/>
    </w:p>
    <w:p w14:paraId="71E77D6A" w14:textId="77777777" w:rsidR="00343774" w:rsidRPr="009A539C" w:rsidRDefault="00343774" w:rsidP="00343774">
      <w:pPr>
        <w:tabs>
          <w:tab w:val="left" w:pos="993"/>
        </w:tabs>
        <w:spacing w:before="120" w:after="0" w:line="360" w:lineRule="auto"/>
        <w:ind w:left="993" w:right="-1"/>
        <w:jc w:val="both"/>
        <w:rPr>
          <w:rFonts w:eastAsia="Calibri" w:cs="Calibri"/>
          <w:lang w:eastAsia="pt-PT"/>
        </w:rPr>
      </w:pPr>
    </w:p>
    <w:p w14:paraId="0D0C63A4" w14:textId="29081A47" w:rsidR="007452A0" w:rsidRPr="004B7DBA" w:rsidRDefault="00785B2A" w:rsidP="00343774">
      <w:pPr>
        <w:pStyle w:val="Legenda"/>
        <w:jc w:val="center"/>
        <w:rPr>
          <w:b w:val="0"/>
          <w:bCs w:val="0"/>
          <w:sz w:val="20"/>
          <w:szCs w:val="20"/>
          <w:lang w:eastAsia="pt-PT"/>
        </w:rPr>
      </w:pPr>
      <w:bookmarkStart w:id="675" w:name="_Toc45716677"/>
      <w:r w:rsidRPr="004B7DBA">
        <w:rPr>
          <w:b w:val="0"/>
          <w:sz w:val="20"/>
          <w:szCs w:val="20"/>
        </w:rPr>
        <w:t xml:space="preserve">Quadro </w:t>
      </w:r>
      <w:r w:rsidR="00942C57" w:rsidRPr="004B7DBA">
        <w:rPr>
          <w:b w:val="0"/>
          <w:sz w:val="20"/>
          <w:szCs w:val="20"/>
        </w:rPr>
        <w:fldChar w:fldCharType="begin"/>
      </w:r>
      <w:r w:rsidR="00942C57" w:rsidRPr="004B7DBA">
        <w:rPr>
          <w:b w:val="0"/>
          <w:sz w:val="20"/>
          <w:szCs w:val="20"/>
        </w:rPr>
        <w:instrText xml:space="preserve"> SEQ Quadro \* ARABIC </w:instrText>
      </w:r>
      <w:r w:rsidR="00942C57" w:rsidRPr="004B7DBA">
        <w:rPr>
          <w:b w:val="0"/>
          <w:sz w:val="20"/>
          <w:szCs w:val="20"/>
        </w:rPr>
        <w:fldChar w:fldCharType="separate"/>
      </w:r>
      <w:r w:rsidR="00D821DE" w:rsidRPr="004B7DBA">
        <w:rPr>
          <w:b w:val="0"/>
          <w:noProof/>
          <w:sz w:val="20"/>
          <w:szCs w:val="20"/>
        </w:rPr>
        <w:t>56</w:t>
      </w:r>
      <w:r w:rsidR="00942C57" w:rsidRPr="004B7DBA">
        <w:rPr>
          <w:b w:val="0"/>
          <w:noProof/>
          <w:sz w:val="20"/>
          <w:szCs w:val="20"/>
        </w:rPr>
        <w:fldChar w:fldCharType="end"/>
      </w:r>
      <w:r w:rsidR="007452A0" w:rsidRPr="004B7DBA">
        <w:rPr>
          <w:b w:val="0"/>
          <w:bCs w:val="0"/>
          <w:sz w:val="20"/>
          <w:szCs w:val="20"/>
        </w:rPr>
        <w:t xml:space="preserve"> - Prevenção ou Disponibilidade (por tipo)</w:t>
      </w:r>
      <w:bookmarkEnd w:id="674"/>
      <w:r w:rsidR="001267D1" w:rsidRPr="004B7DBA">
        <w:rPr>
          <w:b w:val="0"/>
          <w:bCs w:val="0"/>
          <w:sz w:val="20"/>
          <w:szCs w:val="20"/>
        </w:rPr>
        <w:t xml:space="preserve"> </w:t>
      </w:r>
      <w:r w:rsidR="004B7DBA">
        <w:rPr>
          <w:b w:val="0"/>
          <w:bCs w:val="0"/>
          <w:sz w:val="20"/>
          <w:szCs w:val="20"/>
        </w:rPr>
        <w:t>–</w:t>
      </w:r>
      <w:r w:rsidR="001267D1" w:rsidRPr="004B7DBA">
        <w:rPr>
          <w:b w:val="0"/>
          <w:bCs w:val="0"/>
          <w:sz w:val="20"/>
          <w:szCs w:val="20"/>
        </w:rPr>
        <w:t xml:space="preserve"> </w:t>
      </w:r>
      <w:r w:rsidR="004B7DBA">
        <w:rPr>
          <w:b w:val="0"/>
          <w:bCs w:val="0"/>
          <w:sz w:val="20"/>
          <w:szCs w:val="20"/>
        </w:rPr>
        <w:t>(</w:t>
      </w:r>
      <w:r w:rsidR="001267D1" w:rsidRPr="004B7DBA">
        <w:rPr>
          <w:b w:val="0"/>
          <w:bCs w:val="0"/>
          <w:sz w:val="20"/>
          <w:szCs w:val="20"/>
        </w:rPr>
        <w:t>2019</w:t>
      </w:r>
      <w:r w:rsidR="004B7DBA">
        <w:rPr>
          <w:b w:val="0"/>
          <w:bCs w:val="0"/>
          <w:sz w:val="20"/>
          <w:szCs w:val="20"/>
        </w:rPr>
        <w:t>)</w:t>
      </w:r>
      <w:bookmarkEnd w:id="675"/>
    </w:p>
    <w:p w14:paraId="2F573118" w14:textId="77777777" w:rsidR="007452A0" w:rsidRPr="009A539C" w:rsidRDefault="007452A0" w:rsidP="00B90788">
      <w:pPr>
        <w:tabs>
          <w:tab w:val="left" w:pos="851"/>
        </w:tabs>
        <w:spacing w:after="0" w:line="360" w:lineRule="auto"/>
        <w:ind w:right="-1"/>
        <w:jc w:val="center"/>
        <w:rPr>
          <w:rFonts w:eastAsia="Calibri" w:cstheme="minorHAnsi"/>
          <w:b/>
          <w:lang w:eastAsia="pt-PT"/>
        </w:rPr>
      </w:pPr>
      <w:r w:rsidRPr="009A539C">
        <w:rPr>
          <w:rFonts w:cs="Times New Roman"/>
          <w:noProof/>
          <w:color w:val="00000A"/>
          <w:lang w:eastAsia="pt-PT"/>
        </w:rPr>
        <w:drawing>
          <wp:inline distT="0" distB="0" distL="0" distR="0" wp14:anchorId="4C4094C8" wp14:editId="6498A0E9">
            <wp:extent cx="3268115" cy="1677725"/>
            <wp:effectExtent l="0" t="0" r="8890" b="0"/>
            <wp:docPr id="1181" name="Imagem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268241" cy="1677790"/>
                    </a:xfrm>
                    <a:prstGeom prst="rect">
                      <a:avLst/>
                    </a:prstGeom>
                    <a:noFill/>
                    <a:ln>
                      <a:noFill/>
                    </a:ln>
                  </pic:spPr>
                </pic:pic>
              </a:graphicData>
            </a:graphic>
          </wp:inline>
        </w:drawing>
      </w:r>
    </w:p>
    <w:p w14:paraId="3F032722" w14:textId="77777777" w:rsidR="007452A0" w:rsidRPr="009A539C" w:rsidRDefault="007452A0" w:rsidP="00B90788">
      <w:pPr>
        <w:tabs>
          <w:tab w:val="left" w:pos="851"/>
        </w:tabs>
        <w:spacing w:after="0" w:line="360" w:lineRule="auto"/>
        <w:ind w:right="-1"/>
        <w:jc w:val="center"/>
        <w:rPr>
          <w:rFonts w:eastAsia="Calibri" w:cstheme="minorHAnsi"/>
          <w:b/>
          <w:lang w:eastAsia="pt-PT"/>
        </w:rPr>
      </w:pPr>
    </w:p>
    <w:p w14:paraId="77010CC7" w14:textId="14785C6B" w:rsidR="007452A0" w:rsidRPr="009A539C" w:rsidRDefault="007452A0" w:rsidP="00C57F4C">
      <w:pPr>
        <w:spacing w:after="0" w:line="360" w:lineRule="auto"/>
        <w:ind w:right="-1" w:firstLine="284"/>
        <w:jc w:val="both"/>
        <w:rPr>
          <w:rFonts w:eastAsia="Times New Roman" w:cs="Calibri"/>
          <w:lang w:eastAsia="pt-PT"/>
        </w:rPr>
      </w:pPr>
      <w:r w:rsidRPr="009A539C">
        <w:rPr>
          <w:rFonts w:eastAsia="Calibri" w:cstheme="minorHAnsi"/>
          <w:b/>
          <w:lang w:eastAsia="pt-PT"/>
        </w:rPr>
        <w:t>III.</w:t>
      </w:r>
      <w:r w:rsidRPr="009A539C">
        <w:rPr>
          <w:rFonts w:eastAsia="Calibri" w:cstheme="minorHAnsi"/>
          <w:lang w:eastAsia="pt-PT"/>
        </w:rPr>
        <w:t xml:space="preserve"> A fisionomia dos regimes estabelecidos, em 2019, tem amplitudes variáveis, fundada, maioritariamente, na necessidade de evitar prejuízos e riscos e ou de </w:t>
      </w:r>
      <w:r w:rsidRPr="009A539C">
        <w:rPr>
          <w:rFonts w:eastAsia="Times New Roman" w:cs="Calibri"/>
          <w:lang w:eastAsia="pt-PT"/>
        </w:rPr>
        <w:t>repor as condições de normal funcionamento do serviço ou de equipamentos</w:t>
      </w:r>
      <w:r w:rsidRPr="009A539C">
        <w:rPr>
          <w:rFonts w:eastAsia="Calibri" w:cstheme="minorHAnsi"/>
          <w:lang w:eastAsia="pt-PT"/>
        </w:rPr>
        <w:t>. No geral, segue de perto os elementos registados nos Relatórios anteriores:</w:t>
      </w:r>
    </w:p>
    <w:p w14:paraId="7E542ECB" w14:textId="5DC30AF5" w:rsidR="007452A0" w:rsidRPr="009A539C" w:rsidRDefault="007452A0" w:rsidP="00C57F4C">
      <w:pPr>
        <w:tabs>
          <w:tab w:val="left" w:pos="567"/>
        </w:tabs>
        <w:spacing w:after="0" w:line="360" w:lineRule="auto"/>
        <w:ind w:left="567" w:right="-1" w:hanging="283"/>
        <w:jc w:val="both"/>
        <w:rPr>
          <w:rFonts w:eastAsia="Calibri" w:cstheme="minorHAnsi"/>
          <w:lang w:eastAsia="pt-PT"/>
        </w:rPr>
      </w:pPr>
      <w:r w:rsidRPr="009A539C">
        <w:rPr>
          <w:rFonts w:eastAsia="Calibri" w:cstheme="minorHAnsi"/>
          <w:lang w:eastAsia="pt-PT"/>
        </w:rPr>
        <w:t xml:space="preserve">– </w:t>
      </w:r>
      <w:r w:rsidRPr="009A539C">
        <w:rPr>
          <w:rFonts w:eastAsia="Calibri" w:cstheme="minorHAnsi"/>
          <w:lang w:eastAsia="pt-PT"/>
        </w:rPr>
        <w:tab/>
        <w:t>restrição da aplicação do regime a certas áreas de atividade</w:t>
      </w:r>
      <w:r w:rsidRPr="009A539C">
        <w:rPr>
          <w:rFonts w:eastAsia="Calibri" w:cstheme="minorHAnsi"/>
          <w:vertAlign w:val="superscript"/>
          <w:lang w:eastAsia="pt-PT"/>
        </w:rPr>
        <w:footnoteReference w:id="343"/>
      </w:r>
      <w:r w:rsidRPr="009A539C">
        <w:rPr>
          <w:rFonts w:eastAsia="Calibri" w:cstheme="minorHAnsi"/>
          <w:lang w:eastAsia="pt-PT"/>
        </w:rPr>
        <w:t>, enquanto outras referem a definição por ato de gestão</w:t>
      </w:r>
      <w:r w:rsidRPr="009A539C">
        <w:rPr>
          <w:rFonts w:eastAsia="Calibri" w:cstheme="minorHAnsi"/>
          <w:vertAlign w:val="superscript"/>
          <w:lang w:eastAsia="pt-PT"/>
        </w:rPr>
        <w:footnoteReference w:id="344"/>
      </w:r>
      <w:r w:rsidRPr="009A539C">
        <w:rPr>
          <w:rFonts w:eastAsia="Calibri" w:cstheme="minorHAnsi"/>
          <w:lang w:eastAsia="pt-PT"/>
        </w:rPr>
        <w:t xml:space="preserve">  ou para todos os trabalhadores</w:t>
      </w:r>
      <w:r w:rsidRPr="009A539C">
        <w:rPr>
          <w:rFonts w:eastAsia="Calibri" w:cstheme="minorHAnsi"/>
          <w:vertAlign w:val="superscript"/>
          <w:lang w:eastAsia="pt-PT"/>
        </w:rPr>
        <w:footnoteReference w:id="345"/>
      </w:r>
      <w:r w:rsidRPr="009A539C">
        <w:rPr>
          <w:rFonts w:eastAsia="Calibri" w:cstheme="minorHAnsi"/>
          <w:lang w:eastAsia="pt-PT"/>
        </w:rPr>
        <w:t>;</w:t>
      </w:r>
    </w:p>
    <w:p w14:paraId="7E940F5D" w14:textId="77777777" w:rsidR="007452A0" w:rsidRPr="009A539C" w:rsidRDefault="007452A0" w:rsidP="00C57F4C">
      <w:pPr>
        <w:tabs>
          <w:tab w:val="left" w:pos="567"/>
        </w:tabs>
        <w:spacing w:after="0" w:line="360" w:lineRule="auto"/>
        <w:ind w:left="567" w:right="-1" w:hanging="283"/>
        <w:jc w:val="both"/>
        <w:rPr>
          <w:rFonts w:eastAsia="Calibri" w:cstheme="minorHAnsi"/>
          <w:lang w:eastAsia="pt-PT"/>
        </w:rPr>
      </w:pPr>
      <w:r w:rsidRPr="009A539C">
        <w:rPr>
          <w:rFonts w:eastAsia="Calibri" w:cstheme="minorHAnsi"/>
          <w:lang w:eastAsia="pt-PT"/>
        </w:rPr>
        <w:t xml:space="preserve">– </w:t>
      </w:r>
      <w:r w:rsidRPr="009A539C">
        <w:rPr>
          <w:rFonts w:eastAsia="Calibri" w:cstheme="minorHAnsi"/>
          <w:lang w:eastAsia="pt-PT"/>
        </w:rPr>
        <w:tab/>
        <w:t>a exigência de acordo do trabalhador, nuns casos</w:t>
      </w:r>
      <w:r w:rsidRPr="009A539C">
        <w:rPr>
          <w:rFonts w:eastAsia="Calibri" w:cstheme="minorHAnsi"/>
          <w:vertAlign w:val="superscript"/>
          <w:lang w:eastAsia="pt-PT"/>
        </w:rPr>
        <w:footnoteReference w:id="346"/>
      </w:r>
      <w:r w:rsidRPr="009A539C">
        <w:rPr>
          <w:rFonts w:eastAsia="Calibri" w:cstheme="minorHAnsi"/>
          <w:lang w:eastAsia="pt-PT"/>
        </w:rPr>
        <w:t>, enquanto noutros está expressamente associado ao desempenho de determinadas funções</w:t>
      </w:r>
      <w:r w:rsidRPr="009A539C">
        <w:rPr>
          <w:rFonts w:eastAsia="Calibri" w:cstheme="minorHAnsi"/>
          <w:vertAlign w:val="superscript"/>
          <w:lang w:eastAsia="pt-PT"/>
        </w:rPr>
        <w:footnoteReference w:id="347"/>
      </w:r>
      <w:r w:rsidRPr="009A539C">
        <w:rPr>
          <w:rFonts w:eastAsia="Calibri" w:cstheme="minorHAnsi"/>
          <w:lang w:eastAsia="pt-PT"/>
        </w:rPr>
        <w:t>;</w:t>
      </w:r>
    </w:p>
    <w:p w14:paraId="111E591A" w14:textId="1E883D43" w:rsidR="007452A0" w:rsidRPr="009A539C" w:rsidRDefault="007452A0" w:rsidP="00C57F4C">
      <w:pPr>
        <w:tabs>
          <w:tab w:val="left" w:pos="567"/>
        </w:tabs>
        <w:spacing w:after="0" w:line="360" w:lineRule="auto"/>
        <w:ind w:left="567" w:right="-1" w:hanging="283"/>
        <w:jc w:val="both"/>
        <w:rPr>
          <w:rFonts w:eastAsia="Calibri" w:cstheme="minorHAnsi"/>
          <w:lang w:eastAsia="pt-PT"/>
        </w:rPr>
      </w:pPr>
      <w:r w:rsidRPr="009A539C">
        <w:rPr>
          <w:rFonts w:eastAsia="Calibri" w:cstheme="minorHAnsi"/>
          <w:lang w:eastAsia="pt-PT"/>
        </w:rPr>
        <w:t xml:space="preserve">– </w:t>
      </w:r>
      <w:r w:rsidRPr="009A539C">
        <w:rPr>
          <w:rFonts w:eastAsia="Calibri" w:cstheme="minorHAnsi"/>
          <w:lang w:eastAsia="pt-PT"/>
        </w:rPr>
        <w:tab/>
        <w:t>possibilidade de dispensa</w:t>
      </w:r>
      <w:r w:rsidR="000A6FB7" w:rsidRPr="009A539C">
        <w:rPr>
          <w:rFonts w:eastAsia="Calibri" w:cstheme="minorHAnsi"/>
          <w:lang w:eastAsia="pt-PT"/>
        </w:rPr>
        <w:t xml:space="preserve"> concedida</w:t>
      </w:r>
      <w:r w:rsidRPr="009A539C">
        <w:rPr>
          <w:rFonts w:eastAsia="Calibri" w:cstheme="minorHAnsi"/>
          <w:lang w:eastAsia="pt-PT"/>
        </w:rPr>
        <w:t>, designadamente</w:t>
      </w:r>
      <w:r w:rsidR="000A6FB7" w:rsidRPr="009A539C">
        <w:rPr>
          <w:rFonts w:eastAsia="Calibri" w:cstheme="minorHAnsi"/>
          <w:lang w:eastAsia="pt-PT"/>
        </w:rPr>
        <w:t>,</w:t>
      </w:r>
      <w:r w:rsidRPr="009A539C">
        <w:rPr>
          <w:rFonts w:eastAsia="Calibri" w:cstheme="minorHAnsi"/>
          <w:lang w:eastAsia="pt-PT"/>
        </w:rPr>
        <w:t xml:space="preserve"> por razões de caráter pessoal ou familiar</w:t>
      </w:r>
      <w:r w:rsidRPr="009A539C">
        <w:rPr>
          <w:rFonts w:eastAsia="Calibri" w:cstheme="minorHAnsi"/>
          <w:vertAlign w:val="superscript"/>
          <w:lang w:eastAsia="pt-PT"/>
        </w:rPr>
        <w:footnoteReference w:id="348"/>
      </w:r>
      <w:r w:rsidRPr="009A539C">
        <w:rPr>
          <w:rFonts w:eastAsia="Calibri" w:cstheme="minorHAnsi"/>
          <w:lang w:eastAsia="pt-PT"/>
        </w:rPr>
        <w:t>, mesmo quando a aplicação do regime depende de acordo</w:t>
      </w:r>
      <w:r w:rsidRPr="009A539C">
        <w:rPr>
          <w:rFonts w:eastAsia="Calibri" w:cstheme="minorHAnsi"/>
          <w:vertAlign w:val="superscript"/>
          <w:lang w:eastAsia="pt-PT"/>
        </w:rPr>
        <w:footnoteReference w:id="349"/>
      </w:r>
      <w:r w:rsidRPr="009A539C">
        <w:rPr>
          <w:rFonts w:eastAsia="Calibri" w:cstheme="minorHAnsi"/>
          <w:lang w:eastAsia="pt-PT"/>
        </w:rPr>
        <w:t>;</w:t>
      </w:r>
    </w:p>
    <w:p w14:paraId="544CE6BA" w14:textId="59C823D3" w:rsidR="007452A0" w:rsidRPr="009A539C" w:rsidRDefault="007452A0" w:rsidP="00C57F4C">
      <w:pPr>
        <w:tabs>
          <w:tab w:val="left" w:pos="567"/>
        </w:tabs>
        <w:spacing w:after="0" w:line="360" w:lineRule="auto"/>
        <w:ind w:left="567" w:right="-1" w:hanging="283"/>
        <w:jc w:val="both"/>
        <w:rPr>
          <w:rFonts w:eastAsia="Calibri" w:cstheme="minorHAnsi"/>
          <w:lang w:eastAsia="pt-PT"/>
        </w:rPr>
      </w:pPr>
      <w:r w:rsidRPr="009A539C">
        <w:rPr>
          <w:rFonts w:eastAsia="Calibri" w:cstheme="minorHAnsi"/>
          <w:lang w:eastAsia="pt-PT"/>
        </w:rPr>
        <w:t xml:space="preserve">– </w:t>
      </w:r>
      <w:r w:rsidRPr="009A539C">
        <w:rPr>
          <w:rFonts w:eastAsia="Calibri" w:cstheme="minorHAnsi"/>
          <w:lang w:eastAsia="pt-PT"/>
        </w:rPr>
        <w:tab/>
      </w:r>
      <w:r w:rsidR="001D7418" w:rsidRPr="009A539C">
        <w:rPr>
          <w:rFonts w:eastAsia="Calibri" w:cstheme="minorHAnsi"/>
          <w:lang w:eastAsia="pt-PT"/>
        </w:rPr>
        <w:t xml:space="preserve">remuneração  através de </w:t>
      </w:r>
      <w:r w:rsidRPr="009A539C">
        <w:rPr>
          <w:rFonts w:eastAsia="Calibri" w:cstheme="minorHAnsi"/>
          <w:lang w:eastAsia="pt-PT"/>
        </w:rPr>
        <w:t>subsídio de disponibilidade</w:t>
      </w:r>
      <w:r w:rsidRPr="009A539C">
        <w:rPr>
          <w:rFonts w:eastAsia="Calibri" w:cstheme="minorHAnsi"/>
          <w:vertAlign w:val="superscript"/>
          <w:lang w:eastAsia="pt-PT"/>
        </w:rPr>
        <w:footnoteReference w:id="350"/>
      </w:r>
      <w:r w:rsidRPr="009A539C">
        <w:rPr>
          <w:rFonts w:eastAsia="Calibri" w:cstheme="minorHAnsi"/>
          <w:lang w:eastAsia="pt-PT"/>
        </w:rPr>
        <w:t xml:space="preserve">, </w:t>
      </w:r>
      <w:r w:rsidR="001D7418" w:rsidRPr="009A539C">
        <w:rPr>
          <w:rFonts w:eastAsia="Calibri" w:cstheme="minorHAnsi"/>
          <w:lang w:eastAsia="pt-PT"/>
        </w:rPr>
        <w:t>com</w:t>
      </w:r>
      <w:r w:rsidRPr="009A539C">
        <w:rPr>
          <w:rFonts w:eastAsia="Calibri" w:cstheme="minorHAnsi"/>
          <w:lang w:eastAsia="pt-PT"/>
        </w:rPr>
        <w:t xml:space="preserve"> forma</w:t>
      </w:r>
      <w:r w:rsidR="001D7418" w:rsidRPr="009A539C">
        <w:rPr>
          <w:rFonts w:eastAsia="Calibri" w:cstheme="minorHAnsi"/>
          <w:lang w:eastAsia="pt-PT"/>
        </w:rPr>
        <w:t xml:space="preserve">s variáveis </w:t>
      </w:r>
      <w:r w:rsidRPr="009A539C">
        <w:rPr>
          <w:rFonts w:eastAsia="Calibri" w:cstheme="minorHAnsi"/>
          <w:lang w:eastAsia="pt-PT"/>
        </w:rPr>
        <w:t xml:space="preserve"> de determinação do valor desse complemento </w:t>
      </w:r>
      <w:r w:rsidRPr="009A539C">
        <w:rPr>
          <w:rFonts w:eastAsia="Calibri" w:cstheme="minorHAnsi"/>
          <w:vertAlign w:val="superscript"/>
          <w:lang w:eastAsia="pt-PT"/>
        </w:rPr>
        <w:footnoteReference w:id="351"/>
      </w:r>
      <w:r w:rsidR="001D7418" w:rsidRPr="009A539C">
        <w:rPr>
          <w:rFonts w:eastAsia="Calibri" w:cstheme="minorHAnsi"/>
          <w:lang w:eastAsia="pt-PT"/>
        </w:rPr>
        <w:t>, conjugad</w:t>
      </w:r>
      <w:r w:rsidR="00BF1B5B" w:rsidRPr="009A539C">
        <w:rPr>
          <w:rFonts w:eastAsia="Calibri" w:cstheme="minorHAnsi"/>
          <w:lang w:eastAsia="pt-PT"/>
        </w:rPr>
        <w:t>a</w:t>
      </w:r>
      <w:r w:rsidR="001D7418" w:rsidRPr="009A539C">
        <w:rPr>
          <w:rFonts w:eastAsia="Calibri" w:cstheme="minorHAnsi"/>
          <w:lang w:eastAsia="pt-PT"/>
        </w:rPr>
        <w:t>, amiúde, com o  pagamento de trabalho suplementar</w:t>
      </w:r>
      <w:r w:rsidRPr="009A539C">
        <w:rPr>
          <w:rFonts w:eastAsia="Calibri" w:cstheme="minorHAnsi"/>
          <w:lang w:eastAsia="pt-PT"/>
        </w:rPr>
        <w:t xml:space="preserve">; </w:t>
      </w:r>
    </w:p>
    <w:p w14:paraId="253C54D3" w14:textId="58204EB5" w:rsidR="007452A0" w:rsidRPr="009A539C" w:rsidRDefault="007452A0" w:rsidP="00C57F4C">
      <w:pPr>
        <w:tabs>
          <w:tab w:val="left" w:pos="567"/>
        </w:tabs>
        <w:spacing w:after="0" w:line="360" w:lineRule="auto"/>
        <w:ind w:left="567" w:right="-1" w:hanging="283"/>
        <w:jc w:val="both"/>
        <w:rPr>
          <w:rFonts w:eastAsia="Calibri" w:cstheme="minorHAnsi"/>
          <w:lang w:eastAsia="pt-PT"/>
        </w:rPr>
      </w:pPr>
      <w:r w:rsidRPr="009A539C">
        <w:rPr>
          <w:rFonts w:eastAsia="Calibri" w:cstheme="minorHAnsi"/>
          <w:lang w:eastAsia="pt-PT"/>
        </w:rPr>
        <w:t xml:space="preserve">– </w:t>
      </w:r>
      <w:r w:rsidRPr="009A539C">
        <w:rPr>
          <w:rFonts w:eastAsia="Calibri" w:cstheme="minorHAnsi"/>
          <w:lang w:eastAsia="pt-PT"/>
        </w:rPr>
        <w:tab/>
        <w:t>aplicação d</w:t>
      </w:r>
      <w:r w:rsidR="001D7418" w:rsidRPr="009A539C">
        <w:rPr>
          <w:rFonts w:eastAsia="Calibri" w:cstheme="minorHAnsi"/>
          <w:lang w:eastAsia="pt-PT"/>
        </w:rPr>
        <w:t xml:space="preserve">o </w:t>
      </w:r>
      <w:r w:rsidRPr="009A539C">
        <w:rPr>
          <w:rFonts w:eastAsia="Calibri" w:cstheme="minorHAnsi"/>
          <w:lang w:eastAsia="pt-PT"/>
        </w:rPr>
        <w:t xml:space="preserve">regime quase sempre associada </w:t>
      </w:r>
      <w:r w:rsidR="00E2407E" w:rsidRPr="009A539C">
        <w:rPr>
          <w:rFonts w:eastAsia="Calibri" w:cstheme="minorHAnsi"/>
          <w:lang w:eastAsia="pt-PT"/>
        </w:rPr>
        <w:t xml:space="preserve">à organização de </w:t>
      </w:r>
      <w:r w:rsidRPr="009A539C">
        <w:rPr>
          <w:rFonts w:eastAsia="Calibri" w:cstheme="minorHAnsi"/>
          <w:lang w:eastAsia="pt-PT"/>
        </w:rPr>
        <w:t>escalas de serviço, com indicação dos períodos de prevenção</w:t>
      </w:r>
      <w:r w:rsidRPr="009A539C">
        <w:rPr>
          <w:rFonts w:eastAsia="Calibri" w:cstheme="minorHAnsi"/>
          <w:vertAlign w:val="superscript"/>
          <w:lang w:eastAsia="pt-PT"/>
        </w:rPr>
        <w:footnoteReference w:id="352"/>
      </w:r>
      <w:r w:rsidRPr="009A539C">
        <w:rPr>
          <w:rFonts w:eastAsia="Calibri" w:cstheme="minorHAnsi"/>
          <w:lang w:eastAsia="pt-PT"/>
        </w:rPr>
        <w:t xml:space="preserve"> e os limites temporais da escala por  trabalhador</w:t>
      </w:r>
      <w:r w:rsidRPr="009A539C">
        <w:rPr>
          <w:rFonts w:eastAsia="Calibri" w:cstheme="minorHAnsi"/>
          <w:vertAlign w:val="superscript"/>
          <w:lang w:eastAsia="pt-PT"/>
        </w:rPr>
        <w:footnoteReference w:id="353"/>
      </w:r>
      <w:r w:rsidRPr="009A539C">
        <w:rPr>
          <w:rFonts w:eastAsia="Calibri" w:cstheme="minorHAnsi"/>
          <w:lang w:eastAsia="pt-PT"/>
        </w:rPr>
        <w:t xml:space="preserve"> (nalguns  casos com limites mínimos e máximos diários</w:t>
      </w:r>
      <w:r w:rsidRPr="009A539C">
        <w:rPr>
          <w:rFonts w:eastAsia="Calibri" w:cstheme="minorHAnsi"/>
          <w:vertAlign w:val="superscript"/>
          <w:lang w:eastAsia="pt-PT"/>
        </w:rPr>
        <w:footnoteReference w:id="354"/>
      </w:r>
      <w:r w:rsidRPr="009A539C">
        <w:rPr>
          <w:rFonts w:eastAsia="Calibri" w:cstheme="minorHAnsi"/>
          <w:lang w:eastAsia="pt-PT"/>
        </w:rPr>
        <w:t>);</w:t>
      </w:r>
    </w:p>
    <w:p w14:paraId="168EE1AB" w14:textId="77777777" w:rsidR="007452A0" w:rsidRPr="009A539C" w:rsidRDefault="007452A0" w:rsidP="00C57F4C">
      <w:pPr>
        <w:tabs>
          <w:tab w:val="left" w:pos="567"/>
        </w:tabs>
        <w:spacing w:after="0" w:line="360" w:lineRule="auto"/>
        <w:ind w:left="567" w:right="-1" w:hanging="283"/>
        <w:jc w:val="both"/>
        <w:rPr>
          <w:rFonts w:eastAsia="Calibri" w:cstheme="minorHAnsi"/>
          <w:lang w:eastAsia="pt-PT"/>
        </w:rPr>
      </w:pPr>
      <w:r w:rsidRPr="009A539C">
        <w:rPr>
          <w:rFonts w:eastAsia="Calibri" w:cstheme="minorHAnsi"/>
          <w:lang w:eastAsia="pt-PT"/>
        </w:rPr>
        <w:t xml:space="preserve">– </w:t>
      </w:r>
      <w:r w:rsidRPr="009A539C">
        <w:rPr>
          <w:rFonts w:eastAsia="Calibri" w:cstheme="minorHAnsi"/>
          <w:lang w:eastAsia="pt-PT"/>
        </w:rPr>
        <w:tab/>
        <w:t>tem também associada a obrigação de apresentação ao serviço num período de tempo determinado</w:t>
      </w:r>
      <w:r w:rsidRPr="009A539C">
        <w:rPr>
          <w:rFonts w:eastAsia="Calibri" w:cstheme="minorHAnsi"/>
          <w:vertAlign w:val="superscript"/>
          <w:lang w:eastAsia="pt-PT"/>
        </w:rPr>
        <w:footnoteReference w:id="355"/>
      </w:r>
      <w:r w:rsidRPr="009A539C">
        <w:rPr>
          <w:rFonts w:eastAsia="Calibri" w:cstheme="minorHAnsi"/>
          <w:lang w:eastAsia="pt-PT"/>
        </w:rPr>
        <w:t>, exigindo aos trabalhadores que se mantenham contactáveis.</w:t>
      </w:r>
    </w:p>
    <w:p w14:paraId="02742DBF" w14:textId="77777777" w:rsidR="007452A0" w:rsidRPr="009A539C" w:rsidRDefault="007452A0" w:rsidP="00642AA5">
      <w:pPr>
        <w:tabs>
          <w:tab w:val="left" w:pos="709"/>
        </w:tabs>
        <w:spacing w:after="0" w:line="360" w:lineRule="auto"/>
        <w:ind w:left="993" w:right="-1"/>
        <w:jc w:val="both"/>
        <w:rPr>
          <w:rFonts w:eastAsia="Calibri" w:cstheme="minorHAnsi"/>
          <w:lang w:eastAsia="pt-PT"/>
        </w:rPr>
      </w:pPr>
    </w:p>
    <w:p w14:paraId="3E0BBCF2" w14:textId="77777777" w:rsidR="007452A0" w:rsidRPr="009A539C" w:rsidRDefault="007452A0" w:rsidP="00C57F4C">
      <w:pPr>
        <w:spacing w:before="120" w:after="0" w:line="360" w:lineRule="auto"/>
        <w:ind w:right="-1" w:firstLine="284"/>
        <w:jc w:val="both"/>
        <w:rPr>
          <w:rFonts w:eastAsia="Calibri" w:cs="Calibri"/>
          <w:lang w:eastAsia="pt-PT"/>
        </w:rPr>
      </w:pPr>
      <w:r w:rsidRPr="009A539C">
        <w:rPr>
          <w:rFonts w:eastAsia="Calibri" w:cstheme="minorHAnsi"/>
          <w:b/>
          <w:lang w:eastAsia="pt-PT"/>
        </w:rPr>
        <w:t>IV.</w:t>
      </w:r>
      <w:r w:rsidRPr="009A539C">
        <w:rPr>
          <w:rFonts w:eastAsia="Calibri" w:cstheme="minorHAnsi"/>
          <w:lang w:eastAsia="pt-PT"/>
        </w:rPr>
        <w:t xml:space="preserve"> Em caso de efetiva presença do trabalhador, é estabelecido, em regra, o pagamento das horas prestadas com acréscimo remuneratório, designadamente nos termos do trabalho suplementar</w:t>
      </w:r>
      <w:r w:rsidRPr="009A539C">
        <w:rPr>
          <w:rFonts w:eastAsia="Calibri" w:cstheme="minorHAnsi"/>
          <w:vertAlign w:val="superscript"/>
          <w:lang w:eastAsia="pt-PT"/>
        </w:rPr>
        <w:footnoteReference w:id="356"/>
      </w:r>
      <w:r w:rsidRPr="009A539C">
        <w:rPr>
          <w:rFonts w:eastAsia="Calibri" w:cstheme="minorHAnsi"/>
          <w:lang w:eastAsia="pt-PT"/>
        </w:rPr>
        <w:t xml:space="preserve"> ou da</w:t>
      </w:r>
      <w:r w:rsidRPr="009A539C">
        <w:rPr>
          <w:rFonts w:eastAsia="Calibri" w:cs="Calibri"/>
          <w:lang w:eastAsia="pt-PT"/>
        </w:rPr>
        <w:t xml:space="preserve"> determinação que será sempre pago um período mínimo</w:t>
      </w:r>
      <w:r w:rsidRPr="009A539C">
        <w:rPr>
          <w:rFonts w:eastAsia="Calibri" w:cs="Calibri"/>
          <w:vertAlign w:val="superscript"/>
          <w:lang w:eastAsia="pt-PT"/>
        </w:rPr>
        <w:footnoteReference w:id="357"/>
      </w:r>
      <w:r w:rsidRPr="009A539C">
        <w:rPr>
          <w:rFonts w:eastAsia="Calibri" w:cs="Calibri"/>
          <w:lang w:eastAsia="pt-PT"/>
        </w:rPr>
        <w:t>. É também usual que se preveja a obrigatoriedade de pagamento do transporte</w:t>
      </w:r>
      <w:r w:rsidRPr="009A539C">
        <w:rPr>
          <w:rFonts w:eastAsia="Calibri" w:cs="Calibri"/>
          <w:vertAlign w:val="superscript"/>
          <w:lang w:eastAsia="pt-PT"/>
        </w:rPr>
        <w:footnoteReference w:id="358"/>
      </w:r>
      <w:r w:rsidRPr="009A539C">
        <w:rPr>
          <w:rFonts w:eastAsia="Calibri" w:cs="Calibri"/>
          <w:lang w:eastAsia="pt-PT"/>
        </w:rPr>
        <w:t>.</w:t>
      </w:r>
    </w:p>
    <w:p w14:paraId="635C7179" w14:textId="1E00707C" w:rsidR="007452A0" w:rsidRPr="009A539C" w:rsidRDefault="007452A0" w:rsidP="00C57F4C">
      <w:pPr>
        <w:spacing w:after="0" w:line="360" w:lineRule="auto"/>
        <w:ind w:right="-1" w:firstLine="284"/>
        <w:jc w:val="both"/>
        <w:rPr>
          <w:rFonts w:eastAsia="Calibri" w:cstheme="minorHAnsi"/>
          <w:lang w:eastAsia="pt-PT"/>
        </w:rPr>
      </w:pPr>
      <w:r w:rsidRPr="009A539C">
        <w:rPr>
          <w:rFonts w:eastAsia="Calibri" w:cs="Calibri"/>
          <w:lang w:eastAsia="pt-PT"/>
        </w:rPr>
        <w:t xml:space="preserve">No quadro seguinte, para além de outros parâmetros de análise, verifica-se que o instituto da disponibilidade </w:t>
      </w:r>
      <w:r w:rsidR="008E5FC0" w:rsidRPr="009A539C">
        <w:rPr>
          <w:rFonts w:eastAsia="Calibri" w:cs="Calibri"/>
          <w:lang w:eastAsia="pt-PT"/>
        </w:rPr>
        <w:t xml:space="preserve">só inova </w:t>
      </w:r>
      <w:r w:rsidRPr="009A539C">
        <w:rPr>
          <w:rFonts w:eastAsia="Calibri" w:cs="Calibri"/>
          <w:lang w:eastAsia="pt-PT"/>
        </w:rPr>
        <w:t xml:space="preserve">em primeiras convenções. </w:t>
      </w:r>
      <w:r w:rsidRPr="009A539C">
        <w:rPr>
          <w:rFonts w:eastAsia="Calibri" w:cstheme="minorHAnsi"/>
          <w:lang w:eastAsia="pt-PT"/>
        </w:rPr>
        <w:t>As cinco revisões parciais e a maioria das revisões globais</w:t>
      </w:r>
      <w:r w:rsidR="00852B89" w:rsidRPr="009A539C">
        <w:rPr>
          <w:rFonts w:eastAsia="Calibri" w:cstheme="minorHAnsi"/>
          <w:lang w:eastAsia="pt-PT"/>
        </w:rPr>
        <w:t>, que inovam em 2019,</w:t>
      </w:r>
      <w:r w:rsidRPr="009A539C">
        <w:rPr>
          <w:rFonts w:eastAsia="Calibri" w:cstheme="minorHAnsi"/>
          <w:lang w:eastAsia="pt-PT"/>
        </w:rPr>
        <w:t xml:space="preserve"> determinam </w:t>
      </w:r>
      <w:r w:rsidR="00852B89" w:rsidRPr="009A539C">
        <w:rPr>
          <w:rFonts w:eastAsia="Calibri" w:cstheme="minorHAnsi"/>
          <w:lang w:eastAsia="pt-PT"/>
        </w:rPr>
        <w:t xml:space="preserve">a </w:t>
      </w:r>
      <w:r w:rsidRPr="009A539C">
        <w:rPr>
          <w:rFonts w:eastAsia="Calibri" w:cstheme="minorHAnsi"/>
          <w:lang w:eastAsia="pt-PT"/>
        </w:rPr>
        <w:t>simples atualização da respetiva retribuição</w:t>
      </w:r>
      <w:r w:rsidRPr="009A539C">
        <w:rPr>
          <w:rFonts w:eastAsia="Calibri" w:cstheme="minorHAnsi"/>
          <w:vertAlign w:val="superscript"/>
          <w:lang w:eastAsia="pt-PT"/>
        </w:rPr>
        <w:footnoteReference w:id="359"/>
      </w:r>
      <w:bookmarkStart w:id="676" w:name="_Toc15654994"/>
      <w:r w:rsidR="00FA747A" w:rsidRPr="009A539C">
        <w:rPr>
          <w:rFonts w:eastAsia="Calibri" w:cstheme="minorHAnsi"/>
          <w:lang w:eastAsia="pt-PT"/>
        </w:rPr>
        <w:t>.</w:t>
      </w:r>
    </w:p>
    <w:p w14:paraId="6C7A0C77" w14:textId="77777777" w:rsidR="008E5FC0" w:rsidRPr="009A539C" w:rsidRDefault="008E5FC0" w:rsidP="00B90788">
      <w:pPr>
        <w:spacing w:after="0" w:line="360" w:lineRule="auto"/>
        <w:ind w:right="-1"/>
        <w:jc w:val="both"/>
        <w:rPr>
          <w:rFonts w:eastAsia="Calibri" w:cstheme="minorHAnsi"/>
          <w:lang w:eastAsia="pt-PT"/>
        </w:rPr>
      </w:pPr>
    </w:p>
    <w:p w14:paraId="69713B19" w14:textId="77777777" w:rsidR="00C57F4C" w:rsidRPr="009A539C" w:rsidRDefault="00C57F4C" w:rsidP="00B90788">
      <w:pPr>
        <w:spacing w:after="0" w:line="360" w:lineRule="auto"/>
        <w:ind w:right="-1"/>
        <w:jc w:val="both"/>
        <w:rPr>
          <w:rFonts w:eastAsia="Calibri" w:cstheme="minorHAnsi"/>
          <w:lang w:eastAsia="pt-PT"/>
        </w:rPr>
      </w:pPr>
    </w:p>
    <w:p w14:paraId="1BD25443" w14:textId="1C46959A" w:rsidR="00C57F4C" w:rsidRPr="009A539C" w:rsidRDefault="00C57F4C">
      <w:pPr>
        <w:rPr>
          <w:rFonts w:eastAsia="Calibri" w:cstheme="minorHAnsi"/>
          <w:lang w:eastAsia="pt-PT"/>
        </w:rPr>
      </w:pPr>
      <w:r w:rsidRPr="009A539C">
        <w:rPr>
          <w:rFonts w:eastAsia="Calibri" w:cstheme="minorHAnsi"/>
          <w:lang w:eastAsia="pt-PT"/>
        </w:rPr>
        <w:br w:type="page"/>
      </w:r>
    </w:p>
    <w:p w14:paraId="5AE5EC2B" w14:textId="77777777" w:rsidR="00C57F4C" w:rsidRPr="009A539C" w:rsidRDefault="00C57F4C" w:rsidP="00B90788">
      <w:pPr>
        <w:spacing w:after="0" w:line="360" w:lineRule="auto"/>
        <w:ind w:right="-1"/>
        <w:jc w:val="both"/>
        <w:rPr>
          <w:rFonts w:eastAsia="Calibri" w:cstheme="minorHAnsi"/>
          <w:lang w:eastAsia="pt-PT"/>
        </w:rPr>
      </w:pPr>
    </w:p>
    <w:p w14:paraId="1A752EAD" w14:textId="51421AD7" w:rsidR="007452A0" w:rsidRPr="004B7DBA" w:rsidRDefault="00785B2A" w:rsidP="00343774">
      <w:pPr>
        <w:pStyle w:val="Legenda"/>
        <w:jc w:val="center"/>
        <w:rPr>
          <w:b w:val="0"/>
          <w:bCs w:val="0"/>
          <w:sz w:val="20"/>
          <w:szCs w:val="20"/>
        </w:rPr>
      </w:pPr>
      <w:bookmarkStart w:id="677" w:name="_Toc45716678"/>
      <w:r w:rsidRPr="004B7DBA">
        <w:rPr>
          <w:b w:val="0"/>
          <w:sz w:val="20"/>
          <w:szCs w:val="20"/>
        </w:rPr>
        <w:t xml:space="preserve">Quadro </w:t>
      </w:r>
      <w:r w:rsidR="00942C57" w:rsidRPr="004B7DBA">
        <w:rPr>
          <w:b w:val="0"/>
          <w:sz w:val="20"/>
          <w:szCs w:val="20"/>
        </w:rPr>
        <w:fldChar w:fldCharType="begin"/>
      </w:r>
      <w:r w:rsidR="00942C57" w:rsidRPr="004B7DBA">
        <w:rPr>
          <w:b w:val="0"/>
          <w:sz w:val="20"/>
          <w:szCs w:val="20"/>
        </w:rPr>
        <w:instrText xml:space="preserve"> SEQ Quadro \* ARABIC </w:instrText>
      </w:r>
      <w:r w:rsidR="00942C57" w:rsidRPr="004B7DBA">
        <w:rPr>
          <w:b w:val="0"/>
          <w:sz w:val="20"/>
          <w:szCs w:val="20"/>
        </w:rPr>
        <w:fldChar w:fldCharType="separate"/>
      </w:r>
      <w:r w:rsidR="00D821DE" w:rsidRPr="004B7DBA">
        <w:rPr>
          <w:b w:val="0"/>
          <w:noProof/>
          <w:sz w:val="20"/>
          <w:szCs w:val="20"/>
        </w:rPr>
        <w:t>57</w:t>
      </w:r>
      <w:r w:rsidR="00942C57" w:rsidRPr="004B7DBA">
        <w:rPr>
          <w:b w:val="0"/>
          <w:noProof/>
          <w:sz w:val="20"/>
          <w:szCs w:val="20"/>
        </w:rPr>
        <w:fldChar w:fldCharType="end"/>
      </w:r>
      <w:r w:rsidR="007452A0" w:rsidRPr="004B7DBA">
        <w:rPr>
          <w:b w:val="0"/>
          <w:bCs w:val="0"/>
          <w:sz w:val="20"/>
          <w:szCs w:val="20"/>
        </w:rPr>
        <w:t xml:space="preserve"> - Convenções publicadas em 2019 com regimes de prevenção ou disponibilidade</w:t>
      </w:r>
      <w:bookmarkStart w:id="678" w:name="_Toc517331467"/>
      <w:bookmarkEnd w:id="676"/>
      <w:r w:rsidR="004B7DBA">
        <w:rPr>
          <w:b w:val="0"/>
          <w:bCs w:val="0"/>
          <w:sz w:val="20"/>
          <w:szCs w:val="20"/>
        </w:rPr>
        <w:t>(2019)</w:t>
      </w:r>
      <w:bookmarkEnd w:id="677"/>
    </w:p>
    <w:p w14:paraId="1C8C5C78" w14:textId="77777777" w:rsidR="007452A0" w:rsidRPr="009A539C" w:rsidRDefault="007452A0" w:rsidP="00B90788">
      <w:pPr>
        <w:spacing w:line="360" w:lineRule="auto"/>
        <w:ind w:right="-1"/>
        <w:jc w:val="center"/>
        <w:rPr>
          <w:rFonts w:cs="Times New Roman"/>
          <w:b/>
          <w:bCs/>
          <w:i/>
          <w:color w:val="4F81BD" w:themeColor="accent1"/>
        </w:rPr>
      </w:pPr>
      <w:r w:rsidRPr="009A539C">
        <w:rPr>
          <w:rFonts w:cs="Times New Roman"/>
          <w:b/>
          <w:bCs/>
          <w:noProof/>
          <w:color w:val="4F81BD" w:themeColor="accent1"/>
          <w:lang w:eastAsia="pt-PT"/>
        </w:rPr>
        <w:drawing>
          <wp:inline distT="0" distB="0" distL="0" distR="0" wp14:anchorId="4E61E5D5" wp14:editId="35E2EF8C">
            <wp:extent cx="5010150" cy="7386588"/>
            <wp:effectExtent l="0" t="0" r="0" b="5080"/>
            <wp:docPr id="1182" name="Imagem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011634" cy="7388776"/>
                    </a:xfrm>
                    <a:prstGeom prst="rect">
                      <a:avLst/>
                    </a:prstGeom>
                    <a:noFill/>
                    <a:ln>
                      <a:noFill/>
                    </a:ln>
                  </pic:spPr>
                </pic:pic>
              </a:graphicData>
            </a:graphic>
          </wp:inline>
        </w:drawing>
      </w:r>
    </w:p>
    <w:p w14:paraId="4FC43538" w14:textId="77777777" w:rsidR="007452A0" w:rsidRPr="009A539C" w:rsidRDefault="007452A0" w:rsidP="00AF188D">
      <w:pPr>
        <w:pStyle w:val="Cabealho4"/>
        <w:numPr>
          <w:ilvl w:val="0"/>
          <w:numId w:val="63"/>
        </w:numPr>
        <w:rPr>
          <w:rFonts w:asciiTheme="minorHAnsi" w:hAnsiTheme="minorHAnsi" w:cstheme="minorHAnsi"/>
          <w:b w:val="0"/>
          <w:bCs w:val="0"/>
          <w:iCs w:val="0"/>
          <w:color w:val="auto"/>
        </w:rPr>
      </w:pPr>
      <w:bookmarkStart w:id="679" w:name="_Toc15652506"/>
      <w:bookmarkStart w:id="680" w:name="_Toc42511772"/>
      <w:bookmarkStart w:id="681" w:name="_Toc42514536"/>
      <w:bookmarkStart w:id="682" w:name="_Toc45535720"/>
      <w:bookmarkStart w:id="683" w:name="_Toc7017706"/>
      <w:r w:rsidRPr="009A539C">
        <w:rPr>
          <w:rFonts w:asciiTheme="minorHAnsi" w:hAnsiTheme="minorHAnsi" w:cstheme="minorHAnsi"/>
          <w:b w:val="0"/>
          <w:bCs w:val="0"/>
          <w:iCs w:val="0"/>
          <w:color w:val="auto"/>
        </w:rPr>
        <w:t>Trabalho suplementar</w:t>
      </w:r>
      <w:bookmarkEnd w:id="679"/>
      <w:bookmarkEnd w:id="680"/>
      <w:bookmarkEnd w:id="681"/>
      <w:bookmarkEnd w:id="682"/>
    </w:p>
    <w:p w14:paraId="353A8614" w14:textId="77777777" w:rsidR="008E5FC0" w:rsidRPr="009A539C" w:rsidRDefault="008E5FC0" w:rsidP="00B90788">
      <w:pPr>
        <w:keepNext/>
        <w:keepLines/>
        <w:spacing w:before="360" w:after="0" w:line="240" w:lineRule="auto"/>
        <w:ind w:left="1145" w:right="-1"/>
        <w:outlineLvl w:val="2"/>
        <w:rPr>
          <w:rFonts w:cs="Times New Roman"/>
          <w:b/>
          <w:i/>
        </w:rPr>
      </w:pPr>
    </w:p>
    <w:p w14:paraId="213673DA" w14:textId="77777777" w:rsidR="008E5FC0" w:rsidRPr="009A539C" w:rsidRDefault="007452A0" w:rsidP="00C57F4C">
      <w:pPr>
        <w:keepNext/>
        <w:keepLines/>
        <w:widowControl w:val="0"/>
        <w:numPr>
          <w:ilvl w:val="0"/>
          <w:numId w:val="44"/>
        </w:numPr>
        <w:tabs>
          <w:tab w:val="left" w:pos="0"/>
        </w:tabs>
        <w:autoSpaceDE w:val="0"/>
        <w:autoSpaceDN w:val="0"/>
        <w:spacing w:before="240" w:after="0" w:line="360" w:lineRule="auto"/>
        <w:ind w:left="0" w:right="-1" w:firstLine="284"/>
        <w:jc w:val="both"/>
        <w:rPr>
          <w:rFonts w:eastAsia="Arial" w:cstheme="minorHAnsi"/>
          <w:lang w:eastAsia="pt-PT" w:bidi="pt-PT"/>
        </w:rPr>
      </w:pPr>
      <w:bookmarkStart w:id="684" w:name="_Hlk8482434"/>
      <w:r w:rsidRPr="009A539C">
        <w:rPr>
          <w:rFonts w:eastAsia="Arial" w:cstheme="minorHAnsi"/>
          <w:lang w:eastAsia="pt-PT" w:bidi="pt-PT"/>
        </w:rPr>
        <w:t xml:space="preserve">No panorama da contratação coletiva dos últimos anos, o trabalho suplementar tem sido um dos institutos jurídicos mais versado no conjunto de matérias respeitantes à organização dos tempos de trabalho, o que espelha a sua importância no quotidiano das relações de trabalho. </w:t>
      </w:r>
      <w:bookmarkEnd w:id="684"/>
      <w:r w:rsidRPr="009A539C">
        <w:rPr>
          <w:rFonts w:eastAsia="Arial" w:cstheme="minorHAnsi"/>
          <w:lang w:eastAsia="pt-PT" w:bidi="pt-PT"/>
        </w:rPr>
        <w:t>Em 2019, conforme se dá n</w:t>
      </w:r>
      <w:r w:rsidR="00CD188D" w:rsidRPr="009A539C">
        <w:rPr>
          <w:rFonts w:eastAsia="Arial" w:cstheme="minorHAnsi"/>
          <w:lang w:eastAsia="pt-PT" w:bidi="pt-PT"/>
        </w:rPr>
        <w:t>ota no quadro seguinte (quadro 57</w:t>
      </w:r>
      <w:r w:rsidRPr="009A539C">
        <w:rPr>
          <w:rFonts w:eastAsia="Arial" w:cstheme="minorHAnsi"/>
          <w:lang w:eastAsia="pt-PT" w:bidi="pt-PT"/>
        </w:rPr>
        <w:t xml:space="preserve">), verifica-se uma ligeira diminuição comparativamente ao ano anterior ( 91 em 2019  e 97 em 2018), coincidindo com a redução do número de revisões globais publicadas em 2019. De qualquer modo, o tema é tratado na larga maioria de primeiras convenções e revisões globais, pois apenas 6 das primeiras convenções e uma revisão global </w:t>
      </w:r>
      <w:r w:rsidR="00DC2170" w:rsidRPr="009A539C">
        <w:rPr>
          <w:rFonts w:eastAsia="Arial" w:cstheme="minorHAnsi"/>
          <w:lang w:eastAsia="pt-PT" w:bidi="pt-PT"/>
        </w:rPr>
        <w:t xml:space="preserve">nada </w:t>
      </w:r>
      <w:r w:rsidRPr="009A539C">
        <w:rPr>
          <w:rFonts w:eastAsia="Arial" w:cstheme="minorHAnsi"/>
          <w:lang w:eastAsia="pt-PT" w:bidi="pt-PT"/>
        </w:rPr>
        <w:t xml:space="preserve"> referem </w:t>
      </w:r>
      <w:r w:rsidR="00DC2170" w:rsidRPr="009A539C">
        <w:rPr>
          <w:rFonts w:eastAsia="Arial" w:cstheme="minorHAnsi"/>
          <w:lang w:eastAsia="pt-PT" w:bidi="pt-PT"/>
        </w:rPr>
        <w:t xml:space="preserve">a este respeito </w:t>
      </w:r>
      <w:r w:rsidRPr="009A539C">
        <w:rPr>
          <w:rFonts w:eastAsia="Arial" w:cstheme="minorHAnsi"/>
          <w:lang w:eastAsia="pt-PT" w:bidi="pt-PT"/>
        </w:rPr>
        <w:t>(40 em 46 e 32 em 33, respetivamente)</w:t>
      </w:r>
      <w:r w:rsidRPr="009A539C">
        <w:rPr>
          <w:rFonts w:eastAsia="Arial" w:cstheme="minorHAnsi"/>
          <w:vertAlign w:val="superscript"/>
          <w:lang w:eastAsia="pt-PT" w:bidi="pt-PT"/>
        </w:rPr>
        <w:footnoteReference w:id="360"/>
      </w:r>
      <w:r w:rsidRPr="009A539C">
        <w:rPr>
          <w:rFonts w:eastAsia="Arial" w:cstheme="minorHAnsi"/>
          <w:lang w:eastAsia="pt-PT" w:bidi="pt-PT"/>
        </w:rPr>
        <w:t xml:space="preserve">. </w:t>
      </w:r>
      <w:bookmarkStart w:id="685" w:name="_Toc15654995"/>
    </w:p>
    <w:p w14:paraId="410729B8" w14:textId="77777777" w:rsidR="008E5FC0" w:rsidRPr="009A539C" w:rsidRDefault="008E5FC0" w:rsidP="00B90788">
      <w:pPr>
        <w:keepNext/>
        <w:keepLines/>
        <w:widowControl w:val="0"/>
        <w:tabs>
          <w:tab w:val="left" w:pos="993"/>
        </w:tabs>
        <w:autoSpaceDE w:val="0"/>
        <w:autoSpaceDN w:val="0"/>
        <w:spacing w:before="240" w:after="0" w:line="360" w:lineRule="auto"/>
        <w:ind w:left="710" w:right="-1"/>
        <w:jc w:val="both"/>
        <w:rPr>
          <w:rFonts w:eastAsia="Arial" w:cstheme="minorHAnsi"/>
          <w:lang w:eastAsia="pt-PT" w:bidi="pt-PT"/>
        </w:rPr>
      </w:pPr>
    </w:p>
    <w:p w14:paraId="4AD8422C" w14:textId="6542E534" w:rsidR="007452A0" w:rsidRPr="009A539C" w:rsidRDefault="00785B2A" w:rsidP="00343774">
      <w:pPr>
        <w:pStyle w:val="Legenda"/>
        <w:jc w:val="center"/>
        <w:rPr>
          <w:b w:val="0"/>
          <w:bCs w:val="0"/>
          <w:sz w:val="20"/>
          <w:szCs w:val="20"/>
        </w:rPr>
      </w:pPr>
      <w:bookmarkStart w:id="686" w:name="_Toc45716679"/>
      <w:r w:rsidRPr="009A539C">
        <w:t xml:space="preserve">Quadro </w:t>
      </w:r>
      <w:fldSimple w:instr=" SEQ Quadro \* ARABIC ">
        <w:r w:rsidR="00D821DE">
          <w:rPr>
            <w:noProof/>
          </w:rPr>
          <w:t>58</w:t>
        </w:r>
      </w:fldSimple>
      <w:r w:rsidR="007452A0" w:rsidRPr="009A539C">
        <w:rPr>
          <w:b w:val="0"/>
          <w:bCs w:val="0"/>
          <w:sz w:val="20"/>
          <w:szCs w:val="20"/>
        </w:rPr>
        <w:t xml:space="preserve"> - Convenções publicadas em 2019 com cláusulas sobre trabalho suplementar (por subtipo)</w:t>
      </w:r>
      <w:bookmarkEnd w:id="685"/>
      <w:bookmarkEnd w:id="686"/>
    </w:p>
    <w:p w14:paraId="656F7304" w14:textId="77777777" w:rsidR="008E5FC0" w:rsidRPr="009A539C" w:rsidRDefault="007452A0" w:rsidP="00B90788">
      <w:pPr>
        <w:spacing w:after="0" w:line="240" w:lineRule="auto"/>
        <w:ind w:right="-1"/>
        <w:jc w:val="center"/>
        <w:rPr>
          <w:rFonts w:cs="Times New Roman"/>
          <w:color w:val="00000A"/>
        </w:rPr>
      </w:pPr>
      <w:r w:rsidRPr="009A539C">
        <w:rPr>
          <w:rFonts w:cs="Times New Roman"/>
          <w:noProof/>
          <w:color w:val="00000A"/>
          <w:lang w:eastAsia="pt-PT"/>
        </w:rPr>
        <w:drawing>
          <wp:inline distT="0" distB="0" distL="0" distR="0" wp14:anchorId="4BD7F044" wp14:editId="3AE85409">
            <wp:extent cx="4469588" cy="1414042"/>
            <wp:effectExtent l="0" t="0" r="7620" b="0"/>
            <wp:docPr id="1183" name="Imagem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468357" cy="1413653"/>
                    </a:xfrm>
                    <a:prstGeom prst="rect">
                      <a:avLst/>
                    </a:prstGeom>
                    <a:noFill/>
                    <a:ln>
                      <a:noFill/>
                    </a:ln>
                  </pic:spPr>
                </pic:pic>
              </a:graphicData>
            </a:graphic>
          </wp:inline>
        </w:drawing>
      </w:r>
    </w:p>
    <w:p w14:paraId="602382B7" w14:textId="77777777" w:rsidR="00C57F4C" w:rsidRPr="009A539C" w:rsidRDefault="00C57F4C" w:rsidP="00B90788">
      <w:pPr>
        <w:spacing w:after="0" w:line="240" w:lineRule="auto"/>
        <w:ind w:right="-1"/>
        <w:jc w:val="center"/>
        <w:rPr>
          <w:rFonts w:cs="Times New Roman"/>
          <w:color w:val="00000A"/>
        </w:rPr>
      </w:pPr>
    </w:p>
    <w:p w14:paraId="33EED2F0" w14:textId="17C25D48" w:rsidR="00F22A5C" w:rsidRPr="009A539C" w:rsidRDefault="00F22A5C" w:rsidP="00C57F4C">
      <w:pPr>
        <w:keepNext/>
        <w:keepLines/>
        <w:widowControl w:val="0"/>
        <w:numPr>
          <w:ilvl w:val="0"/>
          <w:numId w:val="44"/>
        </w:numPr>
        <w:tabs>
          <w:tab w:val="left" w:pos="0"/>
        </w:tabs>
        <w:autoSpaceDE w:val="0"/>
        <w:autoSpaceDN w:val="0"/>
        <w:spacing w:before="240" w:after="0" w:line="360" w:lineRule="auto"/>
        <w:ind w:left="0" w:right="-1" w:firstLine="284"/>
        <w:jc w:val="both"/>
        <w:rPr>
          <w:rFonts w:eastAsia="Arial" w:cstheme="minorHAnsi"/>
          <w:lang w:eastAsia="pt-PT" w:bidi="pt-PT"/>
        </w:rPr>
      </w:pPr>
      <w:r w:rsidRPr="009A539C">
        <w:rPr>
          <w:rFonts w:eastAsia="Arial" w:cstheme="minorHAnsi"/>
          <w:lang w:eastAsia="pt-PT" w:bidi="pt-PT"/>
        </w:rPr>
        <w:t xml:space="preserve">Na disciplina do trabalho suplementar, as alterações encontradas em revisões parciais (19) podem ser agrupadas em dois blocos: as que atualizam, em sentido lato, as regras remuneratórias </w:t>
      </w:r>
      <w:r w:rsidRPr="009A539C">
        <w:rPr>
          <w:rFonts w:eastAsia="Arial" w:cstheme="minorHAnsi"/>
          <w:vertAlign w:val="superscript"/>
          <w:lang w:eastAsia="pt-PT" w:bidi="pt-PT"/>
        </w:rPr>
        <w:footnoteReference w:id="361"/>
      </w:r>
      <w:r w:rsidRPr="009A539C">
        <w:rPr>
          <w:rFonts w:eastAsia="Arial" w:cstheme="minorHAnsi"/>
          <w:lang w:eastAsia="pt-PT" w:bidi="pt-PT"/>
        </w:rPr>
        <w:t>; e aquelas que regulam as matérias conexas com a isenção da prestação de trabalho suplementar de certos grupos de trabalhadores, assim permitida pela lei. O fundamento mais comum relaciona-se com a tutela da parentalidade (cfr. art.59º,CT)</w:t>
      </w:r>
      <w:r w:rsidRPr="009A539C">
        <w:rPr>
          <w:rFonts w:eastAsia="Arial" w:cstheme="minorHAnsi"/>
          <w:vertAlign w:val="superscript"/>
          <w:lang w:eastAsia="pt-PT" w:bidi="pt-PT"/>
        </w:rPr>
        <w:footnoteReference w:id="362"/>
      </w:r>
      <w:r w:rsidRPr="009A539C">
        <w:rPr>
          <w:rFonts w:eastAsia="Arial" w:cstheme="minorHAnsi"/>
          <w:lang w:eastAsia="pt-PT" w:bidi="pt-PT"/>
        </w:rPr>
        <w:t xml:space="preserve"> .</w:t>
      </w:r>
    </w:p>
    <w:p w14:paraId="5D1E4243" w14:textId="5BBC13BD" w:rsidR="008E5FC0" w:rsidRPr="009A539C" w:rsidRDefault="00F22A5C" w:rsidP="00C57F4C">
      <w:pPr>
        <w:keepNext/>
        <w:keepLines/>
        <w:widowControl w:val="0"/>
        <w:numPr>
          <w:ilvl w:val="0"/>
          <w:numId w:val="44"/>
        </w:numPr>
        <w:tabs>
          <w:tab w:val="left" w:pos="-2410"/>
        </w:tabs>
        <w:autoSpaceDE w:val="0"/>
        <w:autoSpaceDN w:val="0"/>
        <w:spacing w:before="240" w:after="0" w:line="360" w:lineRule="auto"/>
        <w:ind w:left="0" w:right="-1" w:firstLine="284"/>
        <w:jc w:val="both"/>
        <w:rPr>
          <w:rFonts w:eastAsia="Arial" w:cstheme="minorHAnsi"/>
          <w:lang w:eastAsia="pt-PT" w:bidi="pt-PT"/>
        </w:rPr>
      </w:pPr>
      <w:r w:rsidRPr="009A539C">
        <w:rPr>
          <w:rFonts w:eastAsia="Arial" w:cstheme="minorHAnsi"/>
          <w:lang w:eastAsia="pt-PT" w:bidi="pt-PT"/>
        </w:rPr>
        <w:br w:type="page"/>
      </w:r>
      <w:r w:rsidR="007452A0" w:rsidRPr="009A539C">
        <w:rPr>
          <w:rFonts w:eastAsia="Arial" w:cstheme="minorHAnsi"/>
          <w:lang w:eastAsia="pt-PT" w:bidi="pt-PT"/>
        </w:rPr>
        <w:t>Em traços gerais, a configuração do regime tem-se mantido bastante estável, não havendo inovações de relevo a assinalar. De resto, e para além das alterações introduzidas em revisões parciais, e acima mencionadas, apenas duas revisões globais alteram ligeiramente a fisionomia prevista na versão inicial da convenção, retocando alguns aspetos relacionados com o âmbito do trabalho suplementar</w:t>
      </w:r>
      <w:r w:rsidR="007452A0" w:rsidRPr="009A539C">
        <w:rPr>
          <w:rFonts w:eastAsia="Arial" w:cstheme="minorHAnsi"/>
          <w:vertAlign w:val="superscript"/>
          <w:lang w:eastAsia="pt-PT" w:bidi="pt-PT"/>
        </w:rPr>
        <w:footnoteReference w:id="363"/>
      </w:r>
      <w:r w:rsidR="007452A0" w:rsidRPr="009A539C">
        <w:rPr>
          <w:rFonts w:eastAsia="Arial" w:cstheme="minorHAnsi"/>
          <w:lang w:eastAsia="pt-PT" w:bidi="pt-PT"/>
        </w:rPr>
        <w:t xml:space="preserve">. As restantes revisões globais mantém a redação originalmente convencionada, traduzida </w:t>
      </w:r>
      <w:r w:rsidR="00AA7872" w:rsidRPr="009A539C">
        <w:rPr>
          <w:rFonts w:eastAsia="Arial" w:cstheme="minorHAnsi"/>
          <w:lang w:eastAsia="pt-PT" w:bidi="pt-PT"/>
        </w:rPr>
        <w:t xml:space="preserve">em </w:t>
      </w:r>
      <w:r w:rsidR="007452A0" w:rsidRPr="009A539C">
        <w:rPr>
          <w:rFonts w:eastAsia="Arial" w:cstheme="minorHAnsi"/>
          <w:lang w:eastAsia="pt-PT" w:bidi="pt-PT"/>
        </w:rPr>
        <w:t xml:space="preserve">anexo - quadro  </w:t>
      </w:r>
      <w:r w:rsidR="00AA7872" w:rsidRPr="009A539C">
        <w:rPr>
          <w:rFonts w:eastAsia="Arial" w:cstheme="minorHAnsi"/>
          <w:lang w:eastAsia="pt-PT" w:bidi="pt-PT"/>
        </w:rPr>
        <w:t>8</w:t>
      </w:r>
      <w:r w:rsidR="007452A0" w:rsidRPr="009A539C">
        <w:rPr>
          <w:rFonts w:eastAsia="Arial" w:cstheme="minorHAnsi"/>
          <w:lang w:eastAsia="pt-PT" w:bidi="pt-PT"/>
        </w:rPr>
        <w:t xml:space="preserve">, que demonstra  o resultado da comparação com  o regime convencional anterior. O recorte destes regimes convencionados, assim como as inovações introduzidas face à lei, foram  analisadas em  relatórios anteriores, para os quais se remete </w:t>
      </w:r>
      <w:r w:rsidR="007452A0" w:rsidRPr="009A539C">
        <w:rPr>
          <w:rFonts w:eastAsia="Arial" w:cstheme="minorHAnsi"/>
          <w:vertAlign w:val="superscript"/>
          <w:lang w:eastAsia="pt-PT" w:bidi="pt-PT"/>
        </w:rPr>
        <w:footnoteReference w:id="364"/>
      </w:r>
      <w:r w:rsidR="007452A0" w:rsidRPr="009A539C">
        <w:rPr>
          <w:rFonts w:eastAsia="Arial" w:cstheme="minorHAnsi"/>
          <w:lang w:eastAsia="pt-PT" w:bidi="pt-PT"/>
        </w:rPr>
        <w:t>.</w:t>
      </w:r>
      <w:r w:rsidR="00127025" w:rsidRPr="009A539C">
        <w:rPr>
          <w:rFonts w:eastAsia="Arial" w:cstheme="minorHAnsi"/>
          <w:lang w:eastAsia="pt-PT" w:bidi="pt-PT"/>
        </w:rPr>
        <w:t xml:space="preserve"> </w:t>
      </w:r>
      <w:r w:rsidR="009152D1" w:rsidRPr="009A539C">
        <w:rPr>
          <w:rFonts w:eastAsia="Arial" w:cstheme="minorHAnsi"/>
          <w:lang w:eastAsia="pt-PT" w:bidi="pt-PT"/>
        </w:rPr>
        <w:t xml:space="preserve"> </w:t>
      </w:r>
      <w:r w:rsidR="007452A0" w:rsidRPr="009A539C">
        <w:rPr>
          <w:rFonts w:eastAsia="Arial" w:cstheme="minorHAnsi"/>
          <w:lang w:eastAsia="pt-PT" w:bidi="pt-PT"/>
        </w:rPr>
        <w:t>A propósito do conceito de trabalho suplementar, as convenções continuam a reproduzir, amiúde, o conceito legal (art.226.º,1)</w:t>
      </w:r>
      <w:r w:rsidR="007452A0" w:rsidRPr="009A539C">
        <w:rPr>
          <w:rFonts w:eastAsia="Arial" w:cstheme="minorHAnsi"/>
          <w:vertAlign w:val="superscript"/>
          <w:lang w:eastAsia="pt-PT" w:bidi="pt-PT"/>
        </w:rPr>
        <w:footnoteReference w:id="365"/>
      </w:r>
      <w:r w:rsidR="009152D1" w:rsidRPr="009A539C">
        <w:rPr>
          <w:rFonts w:eastAsia="Arial" w:cstheme="minorHAnsi"/>
          <w:lang w:eastAsia="pt-PT" w:bidi="pt-PT"/>
        </w:rPr>
        <w:t xml:space="preserve"> ,  </w:t>
      </w:r>
      <w:r w:rsidR="007452A0" w:rsidRPr="009A539C">
        <w:rPr>
          <w:rFonts w:eastAsia="Arial" w:cstheme="minorHAnsi"/>
          <w:lang w:eastAsia="pt-PT" w:bidi="pt-PT"/>
        </w:rPr>
        <w:t>assim considerando o trabalho prestado fora do horário de trabalho</w:t>
      </w:r>
      <w:r w:rsidR="007452A0" w:rsidRPr="009A539C">
        <w:rPr>
          <w:rFonts w:eastAsia="Arial" w:cstheme="minorHAnsi"/>
          <w:vertAlign w:val="superscript"/>
          <w:lang w:eastAsia="pt-PT" w:bidi="pt-PT"/>
        </w:rPr>
        <w:footnoteReference w:id="366"/>
      </w:r>
      <w:r w:rsidR="009152D1" w:rsidRPr="009A539C">
        <w:rPr>
          <w:rFonts w:eastAsia="Arial" w:cstheme="minorHAnsi"/>
          <w:vertAlign w:val="superscript"/>
          <w:lang w:eastAsia="pt-PT" w:bidi="pt-PT"/>
        </w:rPr>
        <w:t xml:space="preserve"> </w:t>
      </w:r>
      <w:r w:rsidR="009152D1" w:rsidRPr="009A539C">
        <w:rPr>
          <w:rFonts w:eastAsia="Arial" w:cstheme="minorHAnsi"/>
          <w:lang w:eastAsia="pt-PT" w:bidi="pt-PT"/>
        </w:rPr>
        <w:t>.</w:t>
      </w:r>
      <w:r w:rsidR="007452A0" w:rsidRPr="009A539C">
        <w:rPr>
          <w:rFonts w:eastAsia="Arial" w:cstheme="minorHAnsi"/>
          <w:lang w:eastAsia="pt-PT" w:bidi="pt-PT"/>
        </w:rPr>
        <w:t xml:space="preserve"> Existem, porém, algumas densificações associadas às especificidades da própria atividade, como é o caso  do setor do com</w:t>
      </w:r>
      <w:r w:rsidR="009152D1" w:rsidRPr="009A539C">
        <w:rPr>
          <w:rFonts w:eastAsia="Arial" w:cstheme="minorHAnsi"/>
          <w:lang w:eastAsia="pt-PT" w:bidi="pt-PT"/>
        </w:rPr>
        <w:t>é</w:t>
      </w:r>
      <w:r w:rsidR="007452A0" w:rsidRPr="009A539C">
        <w:rPr>
          <w:rFonts w:eastAsia="Arial" w:cstheme="minorHAnsi"/>
          <w:lang w:eastAsia="pt-PT" w:bidi="pt-PT"/>
        </w:rPr>
        <w:t xml:space="preserve">rcio quando refere que  não se compreende no conceito de trabalho suplementar o trabalho prestado ao sábado, em dezembro </w:t>
      </w:r>
      <w:r w:rsidR="00127025" w:rsidRPr="009A539C">
        <w:rPr>
          <w:rFonts w:eastAsia="Arial" w:cstheme="minorHAnsi"/>
          <w:lang w:eastAsia="pt-PT" w:bidi="pt-PT"/>
        </w:rPr>
        <w:t>e a formação prestada fora do horário de trabalho</w:t>
      </w:r>
      <w:r w:rsidR="007452A0" w:rsidRPr="009A539C">
        <w:rPr>
          <w:rFonts w:eastAsia="Arial" w:cstheme="minorHAnsi"/>
          <w:vertAlign w:val="superscript"/>
          <w:lang w:eastAsia="pt-PT" w:bidi="pt-PT"/>
        </w:rPr>
        <w:footnoteReference w:id="367"/>
      </w:r>
      <w:r w:rsidR="007452A0" w:rsidRPr="009A539C">
        <w:rPr>
          <w:rFonts w:eastAsia="Arial" w:cstheme="minorHAnsi"/>
          <w:lang w:eastAsia="pt-PT" w:bidi="pt-PT"/>
        </w:rPr>
        <w:t xml:space="preserve">; nos transportes rodoviários que exclui do âmbito do trabalho suplementar  várias  atividades inerentes  ao embarque   e desembarque de passageiros e  ocorrências  </w:t>
      </w:r>
      <w:r w:rsidR="00DF5147" w:rsidRPr="009A539C">
        <w:rPr>
          <w:rFonts w:eastAsia="Arial" w:cstheme="minorHAnsi"/>
          <w:lang w:eastAsia="pt-PT" w:bidi="pt-PT"/>
        </w:rPr>
        <w:t>inerentes  tráfico e à condução</w:t>
      </w:r>
      <w:r w:rsidR="007452A0" w:rsidRPr="009A539C">
        <w:rPr>
          <w:rFonts w:eastAsia="Arial" w:cstheme="minorHAnsi"/>
          <w:vertAlign w:val="superscript"/>
          <w:lang w:eastAsia="pt-PT" w:bidi="pt-PT"/>
        </w:rPr>
        <w:footnoteReference w:id="368"/>
      </w:r>
      <w:r w:rsidR="007452A0" w:rsidRPr="009A539C">
        <w:rPr>
          <w:rFonts w:eastAsia="Arial" w:cstheme="minorHAnsi"/>
          <w:vertAlign w:val="superscript"/>
          <w:lang w:eastAsia="pt-PT" w:bidi="pt-PT"/>
        </w:rPr>
        <w:t xml:space="preserve"> </w:t>
      </w:r>
      <w:r w:rsidR="007452A0" w:rsidRPr="009A539C">
        <w:rPr>
          <w:rFonts w:eastAsia="Arial" w:cstheme="minorHAnsi"/>
          <w:lang w:eastAsia="pt-PT" w:bidi="pt-PT"/>
        </w:rPr>
        <w:t>; do setor  do ensino  admite que, mediante acordo, o empregador pode substituir as 2 horas diárias de formação fora do horário de trabalho (que não são consideradas pelo CT como trabalho suplementar) por um período de até 8 horas de formação profissional, em dia de descanso semanal complementar</w:t>
      </w:r>
      <w:r w:rsidR="007452A0" w:rsidRPr="009A539C">
        <w:rPr>
          <w:rFonts w:eastAsia="Arial" w:cstheme="minorHAnsi"/>
          <w:vertAlign w:val="superscript"/>
          <w:lang w:eastAsia="pt-PT" w:bidi="pt-PT"/>
        </w:rPr>
        <w:footnoteReference w:id="369"/>
      </w:r>
      <w:r w:rsidR="007452A0" w:rsidRPr="009A539C">
        <w:rPr>
          <w:rFonts w:eastAsia="Arial" w:cstheme="minorHAnsi"/>
          <w:lang w:eastAsia="pt-PT" w:bidi="pt-PT"/>
        </w:rPr>
        <w:t xml:space="preserve">. </w:t>
      </w:r>
    </w:p>
    <w:p w14:paraId="6CE0DE40" w14:textId="77777777" w:rsidR="007452A0" w:rsidRPr="009A539C" w:rsidRDefault="007452A0" w:rsidP="00592712">
      <w:pPr>
        <w:keepNext/>
        <w:keepLines/>
        <w:widowControl w:val="0"/>
        <w:numPr>
          <w:ilvl w:val="0"/>
          <w:numId w:val="44"/>
        </w:numPr>
        <w:tabs>
          <w:tab w:val="left" w:pos="0"/>
        </w:tabs>
        <w:autoSpaceDE w:val="0"/>
        <w:autoSpaceDN w:val="0"/>
        <w:spacing w:before="240" w:after="0" w:line="360" w:lineRule="auto"/>
        <w:ind w:left="0" w:right="-1" w:firstLine="284"/>
        <w:jc w:val="both"/>
        <w:rPr>
          <w:rFonts w:eastAsia="Arial" w:cstheme="minorHAnsi"/>
          <w:lang w:eastAsia="pt-PT" w:bidi="pt-PT"/>
        </w:rPr>
      </w:pPr>
      <w:r w:rsidRPr="009A539C">
        <w:rPr>
          <w:rFonts w:eastAsia="Arial" w:cstheme="minorHAnsi"/>
          <w:lang w:eastAsia="pt-PT" w:bidi="pt-PT"/>
        </w:rPr>
        <w:t>Os limites de horas de trabalho suplementar previstos na lei (art. 228.º do CT) são indicados na maioria das convenções: 2 horas em dia normal de trabalho, um período igual ao PNT nos dias de descanso semanal e feriados e 200 horas por ano</w:t>
      </w:r>
      <w:r w:rsidRPr="009A539C">
        <w:rPr>
          <w:rFonts w:eastAsia="Arial" w:cstheme="minorHAnsi"/>
          <w:vertAlign w:val="superscript"/>
          <w:lang w:eastAsia="pt-PT" w:bidi="pt-PT"/>
        </w:rPr>
        <w:footnoteReference w:id="370"/>
      </w:r>
      <w:r w:rsidRPr="009A539C">
        <w:rPr>
          <w:rFonts w:eastAsia="Arial" w:cstheme="minorHAnsi"/>
          <w:lang w:eastAsia="pt-PT" w:bidi="pt-PT"/>
        </w:rPr>
        <w:t xml:space="preserve">. No extremo mais elevado, continua a diferenciar-se o setor portuário com limites entre as 250 e 850 horais anuais </w:t>
      </w:r>
      <w:r w:rsidRPr="009A539C">
        <w:rPr>
          <w:rFonts w:eastAsia="Arial" w:cstheme="minorHAnsi"/>
          <w:vertAlign w:val="superscript"/>
          <w:lang w:eastAsia="pt-PT" w:bidi="pt-PT"/>
        </w:rPr>
        <w:footnoteReference w:id="371"/>
      </w:r>
      <w:r w:rsidRPr="009A539C">
        <w:rPr>
          <w:rFonts w:eastAsia="Arial" w:cstheme="minorHAnsi"/>
          <w:lang w:eastAsia="pt-PT" w:bidi="pt-PT"/>
        </w:rPr>
        <w:t>; existindo também limites menores 120</w:t>
      </w:r>
      <w:r w:rsidRPr="009A539C">
        <w:rPr>
          <w:rFonts w:eastAsia="Arial" w:cstheme="minorHAnsi"/>
          <w:vertAlign w:val="superscript"/>
          <w:lang w:eastAsia="pt-PT" w:bidi="pt-PT"/>
        </w:rPr>
        <w:footnoteReference w:id="372"/>
      </w:r>
      <w:r w:rsidRPr="009A539C">
        <w:rPr>
          <w:rFonts w:eastAsia="Arial" w:cstheme="minorHAnsi"/>
          <w:lang w:eastAsia="pt-PT" w:bidi="pt-PT"/>
        </w:rPr>
        <w:t>, 175</w:t>
      </w:r>
      <w:r w:rsidRPr="009A539C">
        <w:rPr>
          <w:rFonts w:eastAsia="Arial" w:cstheme="minorHAnsi"/>
          <w:vertAlign w:val="superscript"/>
          <w:lang w:eastAsia="pt-PT" w:bidi="pt-PT"/>
        </w:rPr>
        <w:footnoteReference w:id="373"/>
      </w:r>
      <w:r w:rsidRPr="009A539C">
        <w:rPr>
          <w:rFonts w:eastAsia="Arial" w:cstheme="minorHAnsi"/>
          <w:lang w:eastAsia="pt-PT" w:bidi="pt-PT"/>
        </w:rPr>
        <w:t>, 180</w:t>
      </w:r>
      <w:r w:rsidRPr="009A539C">
        <w:rPr>
          <w:rFonts w:eastAsia="Arial" w:cstheme="minorHAnsi"/>
          <w:vertAlign w:val="superscript"/>
          <w:lang w:eastAsia="pt-PT" w:bidi="pt-PT"/>
        </w:rPr>
        <w:footnoteReference w:id="374"/>
      </w:r>
      <w:r w:rsidR="00DF5147" w:rsidRPr="009A539C">
        <w:rPr>
          <w:rFonts w:eastAsia="Arial" w:cstheme="minorHAnsi"/>
          <w:lang w:eastAsia="pt-PT" w:bidi="pt-PT"/>
        </w:rPr>
        <w:t xml:space="preserve"> horas por ano. </w:t>
      </w:r>
      <w:r w:rsidRPr="009A539C">
        <w:rPr>
          <w:rFonts w:eastAsia="Arial" w:cstheme="minorHAnsi"/>
          <w:lang w:eastAsia="pt-PT" w:bidi="pt-PT"/>
        </w:rPr>
        <w:t xml:space="preserve">Embora </w:t>
      </w:r>
      <w:r w:rsidR="00DF5147" w:rsidRPr="009A539C">
        <w:rPr>
          <w:rFonts w:eastAsia="Arial" w:cstheme="minorHAnsi"/>
          <w:lang w:eastAsia="pt-PT" w:bidi="pt-PT"/>
        </w:rPr>
        <w:t>pouco habitual</w:t>
      </w:r>
      <w:r w:rsidRPr="009A539C">
        <w:rPr>
          <w:rFonts w:eastAsia="Arial" w:cstheme="minorHAnsi"/>
          <w:lang w:eastAsia="pt-PT" w:bidi="pt-PT"/>
        </w:rPr>
        <w:t xml:space="preserve">, há situações </w:t>
      </w:r>
      <w:r w:rsidR="00DF5147" w:rsidRPr="009A539C">
        <w:rPr>
          <w:rFonts w:eastAsia="Arial" w:cstheme="minorHAnsi"/>
          <w:lang w:eastAsia="pt-PT" w:bidi="pt-PT"/>
        </w:rPr>
        <w:t>em que é  fixado o</w:t>
      </w:r>
      <w:r w:rsidRPr="009A539C">
        <w:rPr>
          <w:rFonts w:eastAsia="Arial" w:cstheme="minorHAnsi"/>
          <w:lang w:eastAsia="pt-PT" w:bidi="pt-PT"/>
        </w:rPr>
        <w:t xml:space="preserve"> limite </w:t>
      </w:r>
      <w:r w:rsidR="00DF5147" w:rsidRPr="009A539C">
        <w:rPr>
          <w:rFonts w:eastAsia="Arial" w:cstheme="minorHAnsi"/>
          <w:lang w:eastAsia="pt-PT" w:bidi="pt-PT"/>
        </w:rPr>
        <w:t xml:space="preserve">de  trabalho suplementar </w:t>
      </w:r>
      <w:r w:rsidRPr="009A539C">
        <w:rPr>
          <w:rFonts w:eastAsia="Arial" w:cstheme="minorHAnsi"/>
          <w:lang w:eastAsia="pt-PT" w:bidi="pt-PT"/>
        </w:rPr>
        <w:t xml:space="preserve">semanal </w:t>
      </w:r>
      <w:r w:rsidRPr="009A539C">
        <w:rPr>
          <w:rFonts w:eastAsia="Arial" w:cstheme="minorHAnsi"/>
          <w:vertAlign w:val="superscript"/>
          <w:lang w:eastAsia="pt-PT" w:bidi="pt-PT"/>
        </w:rPr>
        <w:footnoteReference w:id="375"/>
      </w:r>
      <w:r w:rsidRPr="009A539C">
        <w:rPr>
          <w:rFonts w:eastAsia="Arial" w:cstheme="minorHAnsi"/>
          <w:lang w:eastAsia="pt-PT" w:bidi="pt-PT"/>
        </w:rPr>
        <w:t xml:space="preserve"> ou mensal</w:t>
      </w:r>
      <w:r w:rsidRPr="009A539C">
        <w:rPr>
          <w:rFonts w:eastAsia="Arial" w:cstheme="minorHAnsi"/>
          <w:vertAlign w:val="superscript"/>
          <w:lang w:eastAsia="pt-PT" w:bidi="pt-PT"/>
        </w:rPr>
        <w:footnoteReference w:id="376"/>
      </w:r>
      <w:r w:rsidR="00DF5147" w:rsidRPr="009A539C">
        <w:rPr>
          <w:rFonts w:eastAsia="Arial" w:cstheme="minorHAnsi"/>
          <w:lang w:eastAsia="pt-PT" w:bidi="pt-PT"/>
        </w:rPr>
        <w:t xml:space="preserve"> ou do PNT diário ou semanal</w:t>
      </w:r>
      <w:r w:rsidRPr="009A539C">
        <w:rPr>
          <w:rFonts w:eastAsia="Arial" w:cstheme="minorHAnsi"/>
          <w:vertAlign w:val="superscript"/>
          <w:lang w:eastAsia="pt-PT" w:bidi="pt-PT"/>
        </w:rPr>
        <w:footnoteReference w:id="377"/>
      </w:r>
      <w:r w:rsidRPr="009A539C">
        <w:rPr>
          <w:rFonts w:eastAsia="Arial" w:cstheme="minorHAnsi"/>
          <w:lang w:eastAsia="pt-PT" w:bidi="pt-PT"/>
        </w:rPr>
        <w:t>. Em alguns casos sujeita-se a ultrapassagem dos limites geralmente estabelecidos à ocorrência de fundamentos específicos</w:t>
      </w:r>
      <w:r w:rsidRPr="009A539C">
        <w:rPr>
          <w:rFonts w:eastAsia="Arial" w:cstheme="minorHAnsi"/>
          <w:vertAlign w:val="superscript"/>
          <w:lang w:eastAsia="pt-PT" w:bidi="pt-PT"/>
        </w:rPr>
        <w:footnoteReference w:id="378"/>
      </w:r>
      <w:r w:rsidRPr="009A539C">
        <w:rPr>
          <w:rFonts w:eastAsia="Arial" w:cstheme="minorHAnsi"/>
          <w:lang w:eastAsia="pt-PT" w:bidi="pt-PT"/>
        </w:rPr>
        <w:t xml:space="preserve"> ou exigindo a audição da comissão de trabalhadores ou comissão sindical</w:t>
      </w:r>
      <w:r w:rsidRPr="009A539C">
        <w:rPr>
          <w:rFonts w:eastAsia="Arial" w:cstheme="minorHAnsi"/>
          <w:vertAlign w:val="superscript"/>
          <w:lang w:eastAsia="pt-PT" w:bidi="pt-PT"/>
        </w:rPr>
        <w:footnoteReference w:id="379"/>
      </w:r>
      <w:r w:rsidRPr="009A539C">
        <w:rPr>
          <w:rFonts w:eastAsia="Arial" w:cstheme="minorHAnsi"/>
          <w:lang w:eastAsia="pt-PT" w:bidi="pt-PT"/>
        </w:rPr>
        <w:t xml:space="preserve">.  </w:t>
      </w:r>
    </w:p>
    <w:p w14:paraId="09BB3C42" w14:textId="77777777" w:rsidR="007452A0" w:rsidRPr="009A539C" w:rsidRDefault="007452A0" w:rsidP="00592712">
      <w:pPr>
        <w:keepNext/>
        <w:keepLines/>
        <w:widowControl w:val="0"/>
        <w:numPr>
          <w:ilvl w:val="0"/>
          <w:numId w:val="44"/>
        </w:numPr>
        <w:tabs>
          <w:tab w:val="left" w:pos="0"/>
        </w:tabs>
        <w:autoSpaceDE w:val="0"/>
        <w:autoSpaceDN w:val="0"/>
        <w:spacing w:before="240" w:after="0" w:line="360" w:lineRule="auto"/>
        <w:ind w:left="0" w:right="-1" w:firstLine="284"/>
        <w:jc w:val="both"/>
        <w:rPr>
          <w:rFonts w:eastAsia="Arial" w:cstheme="minorHAnsi"/>
          <w:lang w:eastAsia="pt-PT" w:bidi="pt-PT"/>
        </w:rPr>
      </w:pPr>
      <w:r w:rsidRPr="009A539C">
        <w:rPr>
          <w:rFonts w:eastAsia="Arial" w:cstheme="minorHAnsi"/>
          <w:lang w:eastAsia="pt-PT" w:bidi="pt-PT"/>
        </w:rPr>
        <w:t>Sem novidade ao observado nos Relatórios anteriores, algumas convenções reproduzem as regras legais em matéria de obrigatoriedade</w:t>
      </w:r>
      <w:r w:rsidRPr="009A539C">
        <w:rPr>
          <w:rFonts w:eastAsia="Arial" w:cstheme="minorHAnsi"/>
          <w:vertAlign w:val="superscript"/>
          <w:lang w:eastAsia="pt-PT" w:bidi="pt-PT"/>
        </w:rPr>
        <w:footnoteReference w:id="380"/>
      </w:r>
      <w:r w:rsidRPr="009A539C">
        <w:rPr>
          <w:rFonts w:eastAsia="Arial" w:cstheme="minorHAnsi"/>
          <w:lang w:eastAsia="pt-PT" w:bidi="pt-PT"/>
        </w:rPr>
        <w:t>, dispensa e proibição de prestação de trabalho suplementar</w:t>
      </w:r>
      <w:r w:rsidRPr="009A539C">
        <w:rPr>
          <w:rFonts w:eastAsia="Arial" w:cstheme="minorHAnsi"/>
          <w:vertAlign w:val="superscript"/>
          <w:lang w:eastAsia="pt-PT" w:bidi="pt-PT"/>
        </w:rPr>
        <w:footnoteReference w:id="381"/>
      </w:r>
      <w:r w:rsidRPr="009A539C">
        <w:rPr>
          <w:rFonts w:eastAsia="Arial" w:cstheme="minorHAnsi"/>
          <w:lang w:eastAsia="pt-PT" w:bidi="pt-PT"/>
        </w:rPr>
        <w:t>, enquanto outras concretizam os motivos atendíveis de dispensa (art. 227.º, 3, do CT) – por exemplo, para assistência inadiável e imprescindível ao agregado familiar</w:t>
      </w:r>
      <w:r w:rsidRPr="009A539C">
        <w:rPr>
          <w:rFonts w:eastAsia="Arial" w:cstheme="minorHAnsi"/>
          <w:vertAlign w:val="superscript"/>
          <w:lang w:eastAsia="pt-PT" w:bidi="pt-PT"/>
        </w:rPr>
        <w:footnoteReference w:id="382"/>
      </w:r>
      <w:r w:rsidRPr="009A539C">
        <w:rPr>
          <w:rFonts w:eastAsia="Arial" w:cstheme="minorHAnsi"/>
          <w:lang w:eastAsia="pt-PT" w:bidi="pt-PT"/>
        </w:rPr>
        <w:t xml:space="preserve"> -, e/ou contemplam situações de diferenciação em relação à lei, por exemplo, alargando ligeiramente as situações de inexistência de obrigação associadas à parentalidade</w:t>
      </w:r>
      <w:r w:rsidRPr="009A539C">
        <w:rPr>
          <w:rFonts w:eastAsia="Arial" w:cstheme="minorHAnsi"/>
          <w:vertAlign w:val="superscript"/>
          <w:lang w:eastAsia="pt-PT" w:bidi="pt-PT"/>
        </w:rPr>
        <w:footnoteReference w:id="383"/>
      </w:r>
      <w:r w:rsidRPr="009A539C">
        <w:rPr>
          <w:rFonts w:eastAsia="Arial" w:cstheme="minorHAnsi"/>
          <w:lang w:eastAsia="pt-PT" w:bidi="pt-PT"/>
        </w:rPr>
        <w:t xml:space="preserve">. </w:t>
      </w:r>
    </w:p>
    <w:p w14:paraId="6F035EF4" w14:textId="495A043E" w:rsidR="007452A0" w:rsidRPr="009A539C" w:rsidRDefault="007452A0" w:rsidP="00592712">
      <w:pPr>
        <w:keepNext/>
        <w:keepLines/>
        <w:widowControl w:val="0"/>
        <w:autoSpaceDE w:val="0"/>
        <w:autoSpaceDN w:val="0"/>
        <w:spacing w:before="240" w:after="0" w:line="360" w:lineRule="auto"/>
        <w:ind w:right="-1" w:firstLine="284"/>
        <w:jc w:val="both"/>
        <w:rPr>
          <w:rFonts w:eastAsia="Arial" w:cstheme="minorHAnsi"/>
          <w:lang w:eastAsia="pt-PT" w:bidi="pt-PT"/>
        </w:rPr>
      </w:pPr>
      <w:r w:rsidRPr="009A539C">
        <w:rPr>
          <w:rFonts w:eastAsia="Arial" w:cstheme="minorHAnsi"/>
          <w:lang w:eastAsia="pt-PT" w:bidi="pt-PT"/>
        </w:rPr>
        <w:t>Existem, porém, outras convenções que consideram a prestação</w:t>
      </w:r>
      <w:r w:rsidRPr="009A539C">
        <w:rPr>
          <w:rFonts w:eastAsia="Times New Roman" w:cs="Calibri"/>
          <w:lang w:eastAsia="pt-PT"/>
        </w:rPr>
        <w:t xml:space="preserve"> do trabalho suplementar</w:t>
      </w:r>
      <w:r w:rsidRPr="009A539C">
        <w:rPr>
          <w:rFonts w:eastAsia="Arial" w:cstheme="minorHAnsi"/>
          <w:lang w:eastAsia="pt-PT" w:bidi="pt-PT"/>
        </w:rPr>
        <w:t xml:space="preserve">, para além de excecional, não obrigatória, apenas </w:t>
      </w:r>
      <w:r w:rsidR="0072567C" w:rsidRPr="009A539C">
        <w:rPr>
          <w:rFonts w:eastAsia="Arial" w:cstheme="minorHAnsi"/>
          <w:lang w:eastAsia="pt-PT" w:bidi="pt-PT"/>
        </w:rPr>
        <w:t>é admiti</w:t>
      </w:r>
      <w:r w:rsidRPr="009A539C">
        <w:rPr>
          <w:rFonts w:eastAsia="Arial" w:cstheme="minorHAnsi"/>
          <w:lang w:eastAsia="pt-PT" w:bidi="pt-PT"/>
        </w:rPr>
        <w:t xml:space="preserve">do </w:t>
      </w:r>
      <w:r w:rsidRPr="009A539C">
        <w:rPr>
          <w:rFonts w:cs="Times New Roman"/>
        </w:rPr>
        <w:t xml:space="preserve">se daí não resultar prejuízo grave para trabalhador e </w:t>
      </w:r>
      <w:r w:rsidRPr="009A539C">
        <w:rPr>
          <w:rFonts w:eastAsia="Arial" w:cstheme="minorHAnsi"/>
          <w:lang w:eastAsia="pt-PT" w:bidi="pt-PT"/>
        </w:rPr>
        <w:t xml:space="preserve">em casos ponderosos, </w:t>
      </w:r>
      <w:r w:rsidRPr="009A539C">
        <w:rPr>
          <w:rFonts w:eastAsia="Times New Roman" w:cs="Calibri"/>
          <w:lang w:eastAsia="pt-PT"/>
        </w:rPr>
        <w:t>devidamente</w:t>
      </w:r>
      <w:r w:rsidRPr="009A539C">
        <w:rPr>
          <w:rFonts w:eastAsia="Arial" w:cstheme="minorHAnsi"/>
          <w:lang w:eastAsia="pt-PT" w:bidi="pt-PT"/>
        </w:rPr>
        <w:t xml:space="preserve"> elencados na convenção</w:t>
      </w:r>
      <w:r w:rsidRPr="009A539C">
        <w:rPr>
          <w:rFonts w:eastAsia="Arial" w:cs="Times New Roman"/>
          <w:vertAlign w:val="superscript"/>
          <w:lang w:bidi="pt-PT"/>
        </w:rPr>
        <w:footnoteReference w:id="384"/>
      </w:r>
      <w:r w:rsidRPr="009A539C">
        <w:rPr>
          <w:rFonts w:eastAsia="Arial" w:cstheme="minorHAnsi"/>
          <w:lang w:eastAsia="pt-PT" w:bidi="pt-PT"/>
        </w:rPr>
        <w:t xml:space="preserve"> . Outros determinam situações de inexistência de obrigação de prestar trabalho suplementar</w:t>
      </w:r>
      <w:r w:rsidRPr="009A539C">
        <w:rPr>
          <w:rFonts w:eastAsia="Arial" w:cstheme="minorHAnsi"/>
          <w:vertAlign w:val="superscript"/>
          <w:lang w:eastAsia="pt-PT" w:bidi="pt-PT"/>
        </w:rPr>
        <w:footnoteReference w:id="385"/>
      </w:r>
      <w:r w:rsidRPr="009A539C">
        <w:rPr>
          <w:rFonts w:eastAsia="Arial" w:cstheme="minorHAnsi"/>
          <w:lang w:eastAsia="pt-PT" w:bidi="pt-PT"/>
        </w:rPr>
        <w:t>. Um último grupo apenas admite o recurso a trabalho suplementar por acordo, em geral</w:t>
      </w:r>
      <w:r w:rsidRPr="009A539C">
        <w:rPr>
          <w:rFonts w:eastAsia="Arial" w:cstheme="minorHAnsi"/>
          <w:vertAlign w:val="superscript"/>
          <w:lang w:eastAsia="pt-PT" w:bidi="pt-PT"/>
        </w:rPr>
        <w:footnoteReference w:id="386"/>
      </w:r>
      <w:r w:rsidRPr="009A539C">
        <w:rPr>
          <w:rFonts w:eastAsia="Arial" w:cstheme="minorHAnsi"/>
          <w:lang w:eastAsia="pt-PT" w:bidi="pt-PT"/>
        </w:rPr>
        <w:t>.</w:t>
      </w:r>
    </w:p>
    <w:p w14:paraId="6F5EB292" w14:textId="785F082D" w:rsidR="007452A0" w:rsidRPr="009A539C" w:rsidRDefault="007452A0" w:rsidP="00592712">
      <w:pPr>
        <w:keepNext/>
        <w:keepLines/>
        <w:widowControl w:val="0"/>
        <w:numPr>
          <w:ilvl w:val="0"/>
          <w:numId w:val="44"/>
        </w:numPr>
        <w:tabs>
          <w:tab w:val="left" w:pos="0"/>
        </w:tabs>
        <w:autoSpaceDE w:val="0"/>
        <w:autoSpaceDN w:val="0"/>
        <w:spacing w:before="240" w:after="0" w:line="360" w:lineRule="auto"/>
        <w:ind w:left="0" w:right="-1" w:firstLine="284"/>
        <w:jc w:val="both"/>
        <w:rPr>
          <w:rFonts w:eastAsia="Arial" w:cstheme="minorHAnsi"/>
          <w:lang w:eastAsia="pt-PT" w:bidi="pt-PT"/>
        </w:rPr>
      </w:pPr>
      <w:r w:rsidRPr="009A539C">
        <w:rPr>
          <w:rFonts w:eastAsia="Arial" w:cstheme="minorHAnsi"/>
          <w:lang w:eastAsia="pt-PT" w:bidi="pt-PT"/>
        </w:rPr>
        <w:t>Por outro lado, como se tem vindo a dar not</w:t>
      </w:r>
      <w:r w:rsidR="00BE327C" w:rsidRPr="009A539C">
        <w:rPr>
          <w:rFonts w:eastAsia="Arial" w:cstheme="minorHAnsi"/>
          <w:lang w:eastAsia="pt-PT" w:bidi="pt-PT"/>
        </w:rPr>
        <w:t xml:space="preserve">a em relatórios anteriores, na </w:t>
      </w:r>
      <w:r w:rsidRPr="009A539C">
        <w:rPr>
          <w:rFonts w:eastAsia="Arial" w:cstheme="minorHAnsi"/>
          <w:lang w:eastAsia="pt-PT" w:bidi="pt-PT"/>
        </w:rPr>
        <w:t>regulação do trabalho suplementar é aflorado o princípio da igualdade e da conciliação da atividade profissional com a vida familiar e p</w:t>
      </w:r>
      <w:r w:rsidR="00BE327C" w:rsidRPr="009A539C">
        <w:rPr>
          <w:rFonts w:eastAsia="Arial" w:cstheme="minorHAnsi"/>
          <w:lang w:eastAsia="pt-PT" w:bidi="pt-PT"/>
        </w:rPr>
        <w:t xml:space="preserve">essoal, que estão relacionados com a </w:t>
      </w:r>
      <w:r w:rsidRPr="009A539C">
        <w:rPr>
          <w:rFonts w:eastAsia="Arial" w:cstheme="minorHAnsi"/>
          <w:lang w:eastAsia="pt-PT" w:bidi="pt-PT"/>
        </w:rPr>
        <w:t>dispensa e</w:t>
      </w:r>
      <w:r w:rsidR="0072567C" w:rsidRPr="009A539C">
        <w:rPr>
          <w:rFonts w:eastAsia="Arial" w:cstheme="minorHAnsi"/>
          <w:lang w:eastAsia="pt-PT" w:bidi="pt-PT"/>
        </w:rPr>
        <w:t>, nalgumas situações,</w:t>
      </w:r>
      <w:r w:rsidRPr="009A539C">
        <w:rPr>
          <w:rFonts w:eastAsia="Arial" w:cstheme="minorHAnsi"/>
          <w:lang w:eastAsia="pt-PT" w:bidi="pt-PT"/>
        </w:rPr>
        <w:t xml:space="preserve"> proibição de prestação de trabalho suplementar, acima  mencionada</w:t>
      </w:r>
      <w:r w:rsidRPr="009A539C">
        <w:rPr>
          <w:rFonts w:eastAsia="Arial" w:cstheme="minorHAnsi"/>
          <w:vertAlign w:val="superscript"/>
          <w:lang w:eastAsia="pt-PT" w:bidi="pt-PT"/>
        </w:rPr>
        <w:footnoteReference w:id="387"/>
      </w:r>
      <w:r w:rsidRPr="009A539C">
        <w:rPr>
          <w:rFonts w:eastAsia="Arial" w:cstheme="minorHAnsi"/>
          <w:lang w:eastAsia="pt-PT" w:bidi="pt-PT"/>
        </w:rPr>
        <w:t xml:space="preserve"> .</w:t>
      </w:r>
    </w:p>
    <w:p w14:paraId="1EF575AA" w14:textId="238CA927" w:rsidR="007452A0" w:rsidRPr="009A539C" w:rsidRDefault="007452A0" w:rsidP="00592712">
      <w:pPr>
        <w:keepNext/>
        <w:keepLines/>
        <w:widowControl w:val="0"/>
        <w:numPr>
          <w:ilvl w:val="0"/>
          <w:numId w:val="44"/>
        </w:numPr>
        <w:tabs>
          <w:tab w:val="left" w:pos="0"/>
        </w:tabs>
        <w:autoSpaceDE w:val="0"/>
        <w:autoSpaceDN w:val="0"/>
        <w:spacing w:before="240" w:after="0" w:line="360" w:lineRule="auto"/>
        <w:ind w:left="0" w:right="-1" w:firstLine="284"/>
        <w:jc w:val="both"/>
        <w:rPr>
          <w:rFonts w:eastAsia="Arial" w:cstheme="minorHAnsi"/>
          <w:lang w:eastAsia="pt-PT" w:bidi="pt-PT"/>
        </w:rPr>
      </w:pPr>
      <w:r w:rsidRPr="009A539C">
        <w:rPr>
          <w:rFonts w:eastAsia="Arial" w:cstheme="minorHAnsi"/>
          <w:lang w:eastAsia="pt-PT" w:bidi="pt-PT"/>
        </w:rPr>
        <w:t xml:space="preserve"> A obrigação da prestação de trabalho suplementar está diretamente relacionada com os motivos que lhe estão subjacentes e definidos na lei (art. 227.º do CT).  Também neste tópico, para além da reprodução do teor da lei, algumas convenções concretizam de modo especifico os fundamentos que justificam o recurso ao trabalho suplementar. </w:t>
      </w:r>
      <w:r w:rsidR="00F73E97" w:rsidRPr="009A539C">
        <w:rPr>
          <w:rFonts w:eastAsia="Arial" w:cstheme="minorHAnsi"/>
          <w:lang w:eastAsia="pt-PT" w:bidi="pt-PT"/>
        </w:rPr>
        <w:t>A prestação de</w:t>
      </w:r>
      <w:r w:rsidRPr="009A539C">
        <w:rPr>
          <w:rFonts w:eastAsia="Arial" w:cstheme="minorHAnsi"/>
          <w:lang w:eastAsia="pt-PT" w:bidi="pt-PT"/>
        </w:rPr>
        <w:t xml:space="preserve"> trabalho suplementar aparece por vezes limitado </w:t>
      </w:r>
      <w:r w:rsidR="00F73E97" w:rsidRPr="009A539C">
        <w:rPr>
          <w:rFonts w:eastAsia="Arial" w:cstheme="minorHAnsi"/>
          <w:lang w:eastAsia="pt-PT" w:bidi="pt-PT"/>
        </w:rPr>
        <w:t>à</w:t>
      </w:r>
      <w:r w:rsidRPr="009A539C">
        <w:rPr>
          <w:rFonts w:eastAsia="Arial" w:cstheme="minorHAnsi"/>
          <w:lang w:eastAsia="pt-PT" w:bidi="pt-PT"/>
        </w:rPr>
        <w:t xml:space="preserve"> execução de tarefas de balanço e inventário</w:t>
      </w:r>
      <w:r w:rsidRPr="009A539C">
        <w:rPr>
          <w:rFonts w:eastAsia="Arial" w:cstheme="minorHAnsi"/>
          <w:vertAlign w:val="superscript"/>
          <w:lang w:eastAsia="pt-PT" w:bidi="pt-PT"/>
        </w:rPr>
        <w:footnoteReference w:id="388"/>
      </w:r>
      <w:r w:rsidRPr="009A539C">
        <w:rPr>
          <w:rFonts w:eastAsia="Arial" w:cstheme="minorHAnsi"/>
          <w:lang w:eastAsia="pt-PT" w:bidi="pt-PT"/>
        </w:rPr>
        <w:t xml:space="preserve"> ou situações em que a empresa esteja na iminência de prejuízos importantes</w:t>
      </w:r>
      <w:r w:rsidRPr="009A539C">
        <w:rPr>
          <w:rFonts w:eastAsia="Arial" w:cstheme="minorHAnsi"/>
          <w:vertAlign w:val="superscript"/>
          <w:lang w:eastAsia="pt-PT" w:bidi="pt-PT"/>
        </w:rPr>
        <w:footnoteReference w:id="389"/>
      </w:r>
      <w:r w:rsidRPr="009A539C">
        <w:rPr>
          <w:rFonts w:eastAsia="Arial" w:cstheme="minorHAnsi"/>
          <w:lang w:eastAsia="pt-PT" w:bidi="pt-PT"/>
        </w:rPr>
        <w:t xml:space="preserve"> ou para evitar danos imediatos sobre pessoas, equipamentos ou matérias primas</w:t>
      </w:r>
      <w:r w:rsidRPr="009A539C">
        <w:rPr>
          <w:rFonts w:eastAsia="Arial" w:cstheme="minorHAnsi"/>
          <w:vertAlign w:val="superscript"/>
          <w:lang w:eastAsia="pt-PT" w:bidi="pt-PT"/>
        </w:rPr>
        <w:footnoteReference w:id="390"/>
      </w:r>
      <w:r w:rsidRPr="009A539C">
        <w:rPr>
          <w:rFonts w:eastAsia="Arial" w:cstheme="minorHAnsi"/>
          <w:lang w:eastAsia="pt-PT" w:bidi="pt-PT"/>
        </w:rPr>
        <w:t>. Há também situações de densificação do conceito legal de força maior (art.227ª,n.2,CT)</w:t>
      </w:r>
      <w:r w:rsidRPr="009A539C">
        <w:rPr>
          <w:rFonts w:eastAsia="Arial" w:cstheme="minorHAnsi"/>
          <w:vertAlign w:val="superscript"/>
          <w:lang w:eastAsia="pt-PT" w:bidi="pt-PT"/>
        </w:rPr>
        <w:footnoteReference w:id="391"/>
      </w:r>
      <w:r w:rsidRPr="009A539C">
        <w:rPr>
          <w:rFonts w:eastAsia="Arial" w:cstheme="minorHAnsi"/>
          <w:lang w:eastAsia="pt-PT" w:bidi="pt-PT"/>
        </w:rPr>
        <w:t>.</w:t>
      </w:r>
    </w:p>
    <w:p w14:paraId="49AFC084" w14:textId="2D76A920" w:rsidR="007452A0" w:rsidRPr="009A539C" w:rsidRDefault="007452A0" w:rsidP="00592712">
      <w:pPr>
        <w:keepNext/>
        <w:keepLines/>
        <w:widowControl w:val="0"/>
        <w:numPr>
          <w:ilvl w:val="0"/>
          <w:numId w:val="44"/>
        </w:numPr>
        <w:tabs>
          <w:tab w:val="left" w:pos="0"/>
        </w:tabs>
        <w:autoSpaceDE w:val="0"/>
        <w:autoSpaceDN w:val="0"/>
        <w:spacing w:before="240" w:after="0" w:line="360" w:lineRule="auto"/>
        <w:ind w:left="0" w:right="-1" w:firstLine="284"/>
        <w:jc w:val="both"/>
        <w:rPr>
          <w:rFonts w:eastAsia="Arial" w:cstheme="minorHAnsi"/>
          <w:lang w:eastAsia="pt-PT" w:bidi="pt-PT"/>
        </w:rPr>
      </w:pPr>
      <w:r w:rsidRPr="009A539C">
        <w:rPr>
          <w:rFonts w:eastAsia="Arial" w:cstheme="minorHAnsi"/>
          <w:lang w:eastAsia="pt-PT" w:bidi="pt-PT"/>
        </w:rPr>
        <w:t>Na análise da dimensão retributiva do trabalho suplementar, continua a verificar-se diversidade na base de cálculo dos acréscimos remuneratórios. A título de exemplo, tanto pode corresponder à remuneração de base</w:t>
      </w:r>
      <w:r w:rsidRPr="009A539C">
        <w:rPr>
          <w:rFonts w:eastAsia="Arial" w:cstheme="minorHAnsi"/>
          <w:lang w:eastAsia="pt-PT" w:bidi="pt-PT"/>
        </w:rPr>
        <w:footnoteReference w:id="392"/>
      </w:r>
      <w:r w:rsidRPr="009A539C">
        <w:rPr>
          <w:rFonts w:eastAsia="Arial" w:cstheme="minorHAnsi"/>
          <w:lang w:eastAsia="pt-PT" w:bidi="pt-PT"/>
        </w:rPr>
        <w:t xml:space="preserve"> como integrar outras prestações, em modelos variados</w:t>
      </w:r>
      <w:r w:rsidR="00195F12" w:rsidRPr="009A539C">
        <w:rPr>
          <w:rFonts w:eastAsia="Arial" w:cstheme="minorHAnsi"/>
          <w:lang w:eastAsia="pt-PT" w:bidi="pt-PT"/>
        </w:rPr>
        <w:t xml:space="preserve"> </w:t>
      </w:r>
      <w:r w:rsidRPr="009A539C">
        <w:rPr>
          <w:rFonts w:eastAsia="Arial" w:cstheme="minorHAnsi"/>
          <w:vertAlign w:val="superscript"/>
          <w:lang w:eastAsia="pt-PT" w:bidi="pt-PT"/>
        </w:rPr>
        <w:footnoteReference w:id="393"/>
      </w:r>
      <w:r w:rsidRPr="009A539C">
        <w:rPr>
          <w:rFonts w:eastAsia="Arial" w:cstheme="minorHAnsi"/>
          <w:lang w:eastAsia="pt-PT" w:bidi="pt-PT"/>
        </w:rPr>
        <w:t>.</w:t>
      </w:r>
      <w:r w:rsidR="00CD188D" w:rsidRPr="009A539C">
        <w:rPr>
          <w:rFonts w:eastAsia="Arial" w:cstheme="minorHAnsi"/>
          <w:lang w:eastAsia="pt-PT" w:bidi="pt-PT"/>
        </w:rPr>
        <w:t xml:space="preserve"> </w:t>
      </w:r>
      <w:r w:rsidRPr="009A539C">
        <w:rPr>
          <w:rFonts w:eastAsia="Arial" w:cstheme="minorHAnsi"/>
          <w:lang w:eastAsia="pt-PT" w:bidi="pt-PT"/>
        </w:rPr>
        <w:t>Por esse motivo, apenas se cura de analisar os acréscimos remuneratórios percentuais devidos pela execução do trabalho suplementar nas 91 convenções referenciadas</w:t>
      </w:r>
      <w:r w:rsidRPr="009A539C">
        <w:rPr>
          <w:rFonts w:eastAsia="Arial" w:cstheme="minorHAnsi"/>
          <w:vertAlign w:val="superscript"/>
          <w:lang w:eastAsia="pt-PT" w:bidi="pt-PT"/>
        </w:rPr>
        <w:footnoteReference w:id="394"/>
      </w:r>
      <w:r w:rsidRPr="009A539C">
        <w:rPr>
          <w:rFonts w:eastAsia="Arial" w:cstheme="minorHAnsi"/>
          <w:lang w:eastAsia="pt-PT" w:bidi="pt-PT"/>
        </w:rPr>
        <w:t xml:space="preserve">.   </w:t>
      </w:r>
    </w:p>
    <w:p w14:paraId="767965E9" w14:textId="54A2800F" w:rsidR="007452A0" w:rsidRPr="009A539C" w:rsidRDefault="00030D05" w:rsidP="00592712">
      <w:pPr>
        <w:keepNext/>
        <w:keepLines/>
        <w:widowControl w:val="0"/>
        <w:tabs>
          <w:tab w:val="left" w:pos="0"/>
        </w:tabs>
        <w:autoSpaceDE w:val="0"/>
        <w:autoSpaceDN w:val="0"/>
        <w:spacing w:before="240" w:after="0" w:line="360" w:lineRule="auto"/>
        <w:ind w:right="-1" w:firstLine="284"/>
        <w:jc w:val="both"/>
        <w:rPr>
          <w:rFonts w:eastAsia="Arial" w:cstheme="minorHAnsi"/>
          <w:lang w:eastAsia="pt-PT" w:bidi="pt-PT"/>
        </w:rPr>
      </w:pPr>
      <w:r w:rsidRPr="009A539C">
        <w:rPr>
          <w:rFonts w:eastAsia="Arial" w:cstheme="minorHAnsi"/>
          <w:lang w:eastAsia="pt-PT" w:bidi="pt-PT"/>
        </w:rPr>
        <w:t>Recorde-se que</w:t>
      </w:r>
      <w:r w:rsidR="007452A0" w:rsidRPr="009A539C">
        <w:rPr>
          <w:rFonts w:eastAsia="Arial" w:cstheme="minorHAnsi"/>
          <w:lang w:eastAsia="pt-PT" w:bidi="pt-PT"/>
        </w:rPr>
        <w:t xml:space="preserve"> o pagamento do trabalho suplementar passa a figurar no elenco de matérias cobertas pelo “princípio do tratamento mais favorável”, constante do art. 3ª, n.º1, CT</w:t>
      </w:r>
      <w:r w:rsidR="00FA29C9" w:rsidRPr="009A539C">
        <w:rPr>
          <w:rFonts w:eastAsia="Arial" w:cstheme="minorHAnsi"/>
          <w:lang w:eastAsia="pt-PT" w:bidi="pt-PT"/>
        </w:rPr>
        <w:t xml:space="preserve"> </w:t>
      </w:r>
      <w:r w:rsidR="007452A0" w:rsidRPr="009A539C">
        <w:rPr>
          <w:rFonts w:eastAsia="Arial" w:cstheme="minorHAnsi"/>
          <w:lang w:eastAsia="pt-PT" w:bidi="pt-PT"/>
        </w:rPr>
        <w:t xml:space="preserve">concretamente, a alínea </w:t>
      </w:r>
      <w:r w:rsidR="001172A0" w:rsidRPr="009A539C">
        <w:rPr>
          <w:rFonts w:eastAsia="Arial" w:cstheme="minorHAnsi"/>
          <w:lang w:eastAsia="pt-PT" w:bidi="pt-PT"/>
        </w:rPr>
        <w:t>j</w:t>
      </w:r>
      <w:r w:rsidR="007452A0" w:rsidRPr="009A539C">
        <w:rPr>
          <w:rFonts w:eastAsia="Arial" w:cstheme="minorHAnsi"/>
          <w:lang w:eastAsia="pt-PT" w:bidi="pt-PT"/>
        </w:rPr>
        <w:t>)</w:t>
      </w:r>
      <w:r w:rsidR="00FA29C9" w:rsidRPr="009A539C">
        <w:rPr>
          <w:rFonts w:eastAsia="Arial" w:cstheme="minorHAnsi"/>
          <w:lang w:eastAsia="pt-PT" w:bidi="pt-PT"/>
        </w:rPr>
        <w:t xml:space="preserve"> (Lei 93/2019, de 4 de setembro)</w:t>
      </w:r>
      <w:r w:rsidR="007452A0" w:rsidRPr="009A539C">
        <w:rPr>
          <w:rFonts w:eastAsia="Arial" w:cstheme="minorHAnsi"/>
          <w:lang w:eastAsia="pt-PT" w:bidi="pt-PT"/>
        </w:rPr>
        <w:t>. Tal significa que a convenção deve respeitar os acréscimos remuneratórios, mínimos, fixados pelo art</w:t>
      </w:r>
      <w:r w:rsidR="001172A0" w:rsidRPr="009A539C">
        <w:rPr>
          <w:rFonts w:eastAsia="Arial" w:cstheme="minorHAnsi"/>
          <w:lang w:eastAsia="pt-PT" w:bidi="pt-PT"/>
        </w:rPr>
        <w:t>.268º CT, só podendo alterá-los</w:t>
      </w:r>
      <w:r w:rsidR="007452A0" w:rsidRPr="009A539C">
        <w:rPr>
          <w:rFonts w:eastAsia="Arial" w:cstheme="minorHAnsi"/>
          <w:lang w:eastAsia="pt-PT" w:bidi="pt-PT"/>
        </w:rPr>
        <w:t xml:space="preserve"> em sentido mais favorável ao trabalhador .</w:t>
      </w:r>
    </w:p>
    <w:p w14:paraId="2A47934F" w14:textId="77777777" w:rsidR="007452A0" w:rsidRPr="009A539C" w:rsidRDefault="007452A0" w:rsidP="00592712">
      <w:pPr>
        <w:keepNext/>
        <w:keepLines/>
        <w:widowControl w:val="0"/>
        <w:tabs>
          <w:tab w:val="left" w:pos="0"/>
        </w:tabs>
        <w:autoSpaceDE w:val="0"/>
        <w:autoSpaceDN w:val="0"/>
        <w:spacing w:before="240" w:after="0" w:line="360" w:lineRule="auto"/>
        <w:ind w:right="-1" w:firstLine="284"/>
        <w:jc w:val="both"/>
        <w:rPr>
          <w:rFonts w:eastAsia="Arial" w:cstheme="minorHAnsi"/>
          <w:lang w:eastAsia="pt-PT" w:bidi="pt-PT"/>
        </w:rPr>
      </w:pPr>
      <w:r w:rsidRPr="009A539C">
        <w:rPr>
          <w:rFonts w:eastAsia="Arial" w:cstheme="minorHAnsi"/>
          <w:lang w:eastAsia="pt-PT" w:bidi="pt-PT"/>
        </w:rPr>
        <w:t>A este propósito, as convenções continuam a distinguir o trabalho executado em dia útil e o prestado em dias de descanso semanal, complementar ou obrigatório, ou em dia feriado, em modulações variadas. Em 2019,  consolida-se a agregação em quatro grupos de soluções</w:t>
      </w:r>
      <w:r w:rsidRPr="009A539C">
        <w:rPr>
          <w:rFonts w:cstheme="minorHAnsi"/>
          <w:vertAlign w:val="superscript"/>
        </w:rPr>
        <w:footnoteReference w:id="395"/>
      </w:r>
      <w:r w:rsidRPr="009A539C">
        <w:rPr>
          <w:rFonts w:eastAsia="Arial" w:cstheme="minorHAnsi"/>
          <w:lang w:eastAsia="pt-PT" w:bidi="pt-PT"/>
        </w:rPr>
        <w:t>:</w:t>
      </w:r>
    </w:p>
    <w:p w14:paraId="16EAF453" w14:textId="14775611" w:rsidR="007452A0" w:rsidRPr="009A539C" w:rsidRDefault="007452A0" w:rsidP="00592712">
      <w:pPr>
        <w:widowControl w:val="0"/>
        <w:autoSpaceDE w:val="0"/>
        <w:autoSpaceDN w:val="0"/>
        <w:spacing w:after="0" w:line="360" w:lineRule="auto"/>
        <w:ind w:left="426" w:right="-1" w:hanging="426"/>
        <w:jc w:val="both"/>
        <w:rPr>
          <w:rFonts w:eastAsia="Arial" w:cstheme="minorHAnsi"/>
          <w:lang w:eastAsia="pt-PT" w:bidi="pt-PT"/>
        </w:rPr>
      </w:pPr>
      <w:r w:rsidRPr="009A539C">
        <w:rPr>
          <w:rFonts w:eastAsia="Arial" w:cstheme="minorHAnsi"/>
          <w:lang w:eastAsia="pt-PT" w:bidi="pt-PT"/>
        </w:rPr>
        <w:t>–</w:t>
      </w:r>
      <w:r w:rsidRPr="009A539C">
        <w:rPr>
          <w:rFonts w:eastAsia="Arial" w:cstheme="minorHAnsi"/>
          <w:lang w:eastAsia="pt-PT" w:bidi="pt-PT"/>
        </w:rPr>
        <w:tab/>
        <w:t>reprodução dos acréscimos remuneratórios fixados no Código do Trabalho a partir da Lei 23/2012 (11): 25% na 1ª hora e 37,5% a partir da segunda hora, em dia útil; 50% por hora prestada em dia de descanso semanal, obrigatório ou complementar, e em feriado</w:t>
      </w:r>
      <w:r w:rsidRPr="009A539C">
        <w:rPr>
          <w:rFonts w:eastAsia="Arial" w:cstheme="minorHAnsi"/>
          <w:vertAlign w:val="superscript"/>
          <w:lang w:eastAsia="pt-PT" w:bidi="pt-PT"/>
        </w:rPr>
        <w:footnoteReference w:id="396"/>
      </w:r>
      <w:r w:rsidRPr="009A539C">
        <w:rPr>
          <w:rFonts w:eastAsia="Arial" w:cstheme="minorHAnsi"/>
          <w:lang w:eastAsia="pt-PT" w:bidi="pt-PT"/>
        </w:rPr>
        <w:t>;</w:t>
      </w:r>
    </w:p>
    <w:p w14:paraId="4EABD796" w14:textId="412D95DB" w:rsidR="007452A0" w:rsidRPr="009A539C" w:rsidRDefault="007452A0" w:rsidP="00592712">
      <w:pPr>
        <w:widowControl w:val="0"/>
        <w:autoSpaceDE w:val="0"/>
        <w:autoSpaceDN w:val="0"/>
        <w:spacing w:after="0" w:line="360" w:lineRule="auto"/>
        <w:ind w:left="426" w:right="-1" w:hanging="426"/>
        <w:jc w:val="both"/>
        <w:rPr>
          <w:rFonts w:eastAsia="Arial" w:cstheme="minorHAnsi"/>
          <w:lang w:eastAsia="pt-PT" w:bidi="pt-PT"/>
        </w:rPr>
      </w:pPr>
      <w:r w:rsidRPr="009A539C">
        <w:rPr>
          <w:rFonts w:eastAsia="Arial" w:cstheme="minorHAnsi"/>
          <w:lang w:eastAsia="pt-PT" w:bidi="pt-PT"/>
        </w:rPr>
        <w:t>–</w:t>
      </w:r>
      <w:r w:rsidRPr="009A539C">
        <w:rPr>
          <w:rFonts w:eastAsia="Arial" w:cstheme="minorHAnsi"/>
          <w:lang w:eastAsia="pt-PT" w:bidi="pt-PT"/>
        </w:rPr>
        <w:tab/>
        <w:t>fixação de acréscimos correspondentes aos que vigoravam antes da Lei n.º 23/2012 (20), ou seja: 50%, na 1ª hora e 75% nas seguintes, em dia útil; 100% nas horas prestadas em dia de descanso semanal, obrigatório ou complementar, e em feriado</w:t>
      </w:r>
      <w:r w:rsidRPr="009A539C">
        <w:rPr>
          <w:rFonts w:eastAsia="Arial" w:cstheme="minorHAnsi"/>
          <w:vertAlign w:val="superscript"/>
          <w:lang w:eastAsia="pt-PT" w:bidi="pt-PT"/>
        </w:rPr>
        <w:footnoteReference w:id="397"/>
      </w:r>
      <w:r w:rsidRPr="009A539C">
        <w:rPr>
          <w:rFonts w:eastAsia="Arial" w:cstheme="minorHAnsi"/>
          <w:lang w:eastAsia="pt-PT" w:bidi="pt-PT"/>
        </w:rPr>
        <w:t>;</w:t>
      </w:r>
    </w:p>
    <w:p w14:paraId="317A819D" w14:textId="0CDAB792" w:rsidR="007452A0" w:rsidRPr="009A539C" w:rsidRDefault="007452A0" w:rsidP="00592712">
      <w:pPr>
        <w:widowControl w:val="0"/>
        <w:autoSpaceDE w:val="0"/>
        <w:autoSpaceDN w:val="0"/>
        <w:spacing w:after="0" w:line="360" w:lineRule="auto"/>
        <w:ind w:left="426" w:right="-1" w:hanging="426"/>
        <w:jc w:val="both"/>
        <w:rPr>
          <w:rFonts w:eastAsia="Arial" w:cstheme="minorHAnsi"/>
          <w:lang w:eastAsia="pt-PT" w:bidi="pt-PT"/>
        </w:rPr>
      </w:pPr>
      <w:r w:rsidRPr="009A539C">
        <w:rPr>
          <w:rFonts w:eastAsia="Arial" w:cstheme="minorHAnsi"/>
          <w:lang w:eastAsia="pt-PT" w:bidi="pt-PT"/>
        </w:rPr>
        <w:t>–</w:t>
      </w:r>
      <w:r w:rsidRPr="009A539C">
        <w:rPr>
          <w:rFonts w:eastAsia="Arial" w:cstheme="minorHAnsi"/>
          <w:lang w:eastAsia="pt-PT" w:bidi="pt-PT"/>
        </w:rPr>
        <w:tab/>
        <w:t>regimes mistos em que os acréscimos remuneratórios se situam entre os dois regimes legais acima mencionados (9)</w:t>
      </w:r>
      <w:r w:rsidRPr="009A539C">
        <w:rPr>
          <w:rFonts w:eastAsia="Arial" w:cstheme="minorHAnsi"/>
          <w:vertAlign w:val="superscript"/>
          <w:lang w:eastAsia="pt-PT" w:bidi="pt-PT"/>
        </w:rPr>
        <w:footnoteReference w:id="398"/>
      </w:r>
      <w:r w:rsidRPr="009A539C">
        <w:rPr>
          <w:rFonts w:eastAsia="Arial" w:cstheme="minorHAnsi"/>
          <w:lang w:eastAsia="pt-PT" w:bidi="pt-PT"/>
        </w:rPr>
        <w:t>;</w:t>
      </w:r>
    </w:p>
    <w:p w14:paraId="43CB41FF" w14:textId="3155D139" w:rsidR="007452A0" w:rsidRPr="009A539C" w:rsidRDefault="007452A0" w:rsidP="00592712">
      <w:pPr>
        <w:widowControl w:val="0"/>
        <w:autoSpaceDE w:val="0"/>
        <w:autoSpaceDN w:val="0"/>
        <w:spacing w:after="0" w:line="360" w:lineRule="auto"/>
        <w:ind w:left="426" w:right="-1" w:hanging="426"/>
        <w:jc w:val="both"/>
        <w:rPr>
          <w:rFonts w:eastAsia="Arial" w:cs="Calibri"/>
          <w:lang w:eastAsia="pt-PT" w:bidi="pt-PT"/>
        </w:rPr>
      </w:pPr>
      <w:r w:rsidRPr="009A539C">
        <w:rPr>
          <w:rFonts w:eastAsia="Arial" w:cstheme="minorHAnsi"/>
          <w:lang w:eastAsia="pt-PT" w:bidi="pt-PT"/>
        </w:rPr>
        <w:t xml:space="preserve">– </w:t>
      </w:r>
      <w:r w:rsidRPr="009A539C">
        <w:rPr>
          <w:rFonts w:eastAsia="Arial" w:cstheme="minorHAnsi"/>
          <w:lang w:eastAsia="pt-PT" w:bidi="pt-PT"/>
        </w:rPr>
        <w:tab/>
        <w:t>consagração de valores mais elevados do que os mínimos legais anteriores a 2012, por vezes substancialmente mais altos, encontrando-se acréscimos que vão até aos 100%</w:t>
      </w:r>
      <w:r w:rsidR="0084296E" w:rsidRPr="009A539C">
        <w:rPr>
          <w:rFonts w:eastAsia="Arial" w:cstheme="minorHAnsi"/>
          <w:lang w:eastAsia="pt-PT" w:bidi="pt-PT"/>
        </w:rPr>
        <w:t>,</w:t>
      </w:r>
      <w:r w:rsidRPr="009A539C">
        <w:rPr>
          <w:rFonts w:eastAsia="Arial" w:cstheme="minorHAnsi"/>
          <w:lang w:eastAsia="pt-PT" w:bidi="pt-PT"/>
        </w:rPr>
        <w:t xml:space="preserve"> para a primeira hora em dia útil</w:t>
      </w:r>
      <w:r w:rsidR="0084296E" w:rsidRPr="009A539C">
        <w:rPr>
          <w:rFonts w:eastAsia="Arial" w:cstheme="minorHAnsi"/>
          <w:lang w:eastAsia="pt-PT" w:bidi="pt-PT"/>
        </w:rPr>
        <w:t>,</w:t>
      </w:r>
      <w:r w:rsidRPr="009A539C">
        <w:rPr>
          <w:rFonts w:eastAsia="Arial" w:cstheme="minorHAnsi"/>
          <w:lang w:eastAsia="pt-PT" w:bidi="pt-PT"/>
        </w:rPr>
        <w:t xml:space="preserve"> e aos 200% para o trabalho</w:t>
      </w:r>
      <w:r w:rsidRPr="009A539C">
        <w:rPr>
          <w:rFonts w:eastAsia="Arial" w:cs="Calibri"/>
          <w:lang w:eastAsia="pt-PT" w:bidi="pt-PT"/>
        </w:rPr>
        <w:t xml:space="preserve"> suplementar em dia de descanso semanal obrigatório ou feriado (29) </w:t>
      </w:r>
      <w:r w:rsidRPr="009A539C">
        <w:rPr>
          <w:rFonts w:eastAsia="Arial" w:cs="Calibri"/>
          <w:vertAlign w:val="superscript"/>
          <w:lang w:eastAsia="pt-PT" w:bidi="pt-PT"/>
        </w:rPr>
        <w:footnoteReference w:id="399"/>
      </w:r>
      <w:r w:rsidRPr="009A539C">
        <w:rPr>
          <w:rFonts w:eastAsia="Arial" w:cs="Calibri"/>
          <w:lang w:eastAsia="pt-PT" w:bidi="pt-PT"/>
        </w:rPr>
        <w:t>.</w:t>
      </w:r>
    </w:p>
    <w:p w14:paraId="67AFA4EF" w14:textId="77777777" w:rsidR="00CD188D" w:rsidRPr="009A539C" w:rsidRDefault="007452A0" w:rsidP="00592712">
      <w:pPr>
        <w:keepNext/>
        <w:keepLines/>
        <w:widowControl w:val="0"/>
        <w:tabs>
          <w:tab w:val="left" w:pos="-567"/>
        </w:tabs>
        <w:autoSpaceDE w:val="0"/>
        <w:autoSpaceDN w:val="0"/>
        <w:spacing w:before="240" w:after="0" w:line="360" w:lineRule="auto"/>
        <w:ind w:right="-1" w:firstLine="284"/>
        <w:jc w:val="both"/>
        <w:rPr>
          <w:rFonts w:eastAsia="Arial" w:cstheme="minorHAnsi"/>
          <w:lang w:eastAsia="pt-PT" w:bidi="pt-PT"/>
        </w:rPr>
      </w:pPr>
      <w:r w:rsidRPr="009A539C">
        <w:rPr>
          <w:rFonts w:eastAsia="Arial" w:cstheme="minorHAnsi"/>
          <w:lang w:eastAsia="pt-PT" w:bidi="pt-PT"/>
        </w:rPr>
        <w:t xml:space="preserve">O quadro seguinte ilustra a predominância dos acréscimos/hora de valor igual ou superior aos previstos na versão original do CT 2009, assim como cumprimento da norma sobre o </w:t>
      </w:r>
      <w:r w:rsidR="008C7CF8" w:rsidRPr="009A539C">
        <w:rPr>
          <w:rFonts w:eastAsia="Arial" w:cstheme="minorHAnsi"/>
          <w:lang w:eastAsia="pt-PT" w:bidi="pt-PT"/>
        </w:rPr>
        <w:t>princípio</w:t>
      </w:r>
      <w:r w:rsidRPr="009A539C">
        <w:rPr>
          <w:rFonts w:eastAsia="Arial" w:cstheme="minorHAnsi"/>
          <w:lang w:eastAsia="pt-PT" w:bidi="pt-PT"/>
        </w:rPr>
        <w:t xml:space="preserve"> do tratamento mais favorá</w:t>
      </w:r>
      <w:r w:rsidR="00000DC2" w:rsidRPr="009A539C">
        <w:rPr>
          <w:rFonts w:eastAsia="Arial" w:cstheme="minorHAnsi"/>
          <w:lang w:eastAsia="pt-PT" w:bidi="pt-PT"/>
        </w:rPr>
        <w:t>vel no universo das situações.</w:t>
      </w:r>
    </w:p>
    <w:p w14:paraId="585741BC" w14:textId="77777777" w:rsidR="003D23DE" w:rsidRPr="009A539C" w:rsidRDefault="003D23DE" w:rsidP="00642AA5">
      <w:pPr>
        <w:widowControl w:val="0"/>
        <w:autoSpaceDE w:val="0"/>
        <w:autoSpaceDN w:val="0"/>
        <w:spacing w:after="0" w:line="360" w:lineRule="auto"/>
        <w:ind w:left="993" w:right="-1"/>
        <w:jc w:val="both"/>
        <w:rPr>
          <w:rFonts w:eastAsia="Arial" w:cstheme="minorHAnsi"/>
          <w:lang w:eastAsia="pt-PT" w:bidi="pt-PT"/>
        </w:rPr>
      </w:pPr>
    </w:p>
    <w:p w14:paraId="1DB80115" w14:textId="77777777" w:rsidR="00592712" w:rsidRPr="009A539C" w:rsidRDefault="00592712" w:rsidP="00642AA5">
      <w:pPr>
        <w:widowControl w:val="0"/>
        <w:autoSpaceDE w:val="0"/>
        <w:autoSpaceDN w:val="0"/>
        <w:spacing w:after="0" w:line="360" w:lineRule="auto"/>
        <w:ind w:left="993" w:right="-1"/>
        <w:jc w:val="both"/>
        <w:rPr>
          <w:rFonts w:eastAsia="Arial" w:cstheme="minorHAnsi"/>
          <w:lang w:eastAsia="pt-PT" w:bidi="pt-PT"/>
        </w:rPr>
      </w:pPr>
    </w:p>
    <w:p w14:paraId="370E452B" w14:textId="77777777" w:rsidR="00592712" w:rsidRPr="009A539C" w:rsidRDefault="00592712" w:rsidP="00642AA5">
      <w:pPr>
        <w:widowControl w:val="0"/>
        <w:autoSpaceDE w:val="0"/>
        <w:autoSpaceDN w:val="0"/>
        <w:spacing w:after="0" w:line="360" w:lineRule="auto"/>
        <w:ind w:left="993" w:right="-1"/>
        <w:jc w:val="both"/>
        <w:rPr>
          <w:rFonts w:eastAsia="Arial" w:cstheme="minorHAnsi"/>
          <w:lang w:eastAsia="pt-PT" w:bidi="pt-PT"/>
        </w:rPr>
      </w:pPr>
    </w:p>
    <w:p w14:paraId="3980417D" w14:textId="77777777" w:rsidR="00592712" w:rsidRPr="009A539C" w:rsidRDefault="00592712" w:rsidP="00642AA5">
      <w:pPr>
        <w:widowControl w:val="0"/>
        <w:autoSpaceDE w:val="0"/>
        <w:autoSpaceDN w:val="0"/>
        <w:spacing w:after="0" w:line="360" w:lineRule="auto"/>
        <w:ind w:left="993" w:right="-1"/>
        <w:jc w:val="both"/>
        <w:rPr>
          <w:rFonts w:eastAsia="Arial" w:cstheme="minorHAnsi"/>
          <w:lang w:eastAsia="pt-PT" w:bidi="pt-PT"/>
        </w:rPr>
      </w:pPr>
    </w:p>
    <w:p w14:paraId="085D1B1A" w14:textId="77777777" w:rsidR="00592712" w:rsidRPr="009A539C" w:rsidRDefault="00592712" w:rsidP="00642AA5">
      <w:pPr>
        <w:widowControl w:val="0"/>
        <w:autoSpaceDE w:val="0"/>
        <w:autoSpaceDN w:val="0"/>
        <w:spacing w:after="0" w:line="360" w:lineRule="auto"/>
        <w:ind w:left="993" w:right="-1"/>
        <w:jc w:val="both"/>
        <w:rPr>
          <w:rFonts w:eastAsia="Arial" w:cstheme="minorHAnsi"/>
          <w:lang w:eastAsia="pt-PT" w:bidi="pt-PT"/>
        </w:rPr>
      </w:pPr>
    </w:p>
    <w:p w14:paraId="57B537DE" w14:textId="6A6371CD" w:rsidR="007452A0" w:rsidRPr="009A539C" w:rsidRDefault="00785B2A" w:rsidP="00343774">
      <w:pPr>
        <w:pStyle w:val="Legenda"/>
        <w:jc w:val="center"/>
        <w:rPr>
          <w:bCs w:val="0"/>
          <w:sz w:val="20"/>
          <w:szCs w:val="20"/>
        </w:rPr>
      </w:pPr>
      <w:bookmarkStart w:id="687" w:name="_Toc15654996"/>
      <w:bookmarkStart w:id="688" w:name="_Toc45716680"/>
      <w:r w:rsidRPr="009A539C">
        <w:rPr>
          <w:sz w:val="20"/>
          <w:szCs w:val="20"/>
        </w:rPr>
        <w:t xml:space="preserve">Quadro </w:t>
      </w:r>
      <w:r w:rsidR="000D71EA" w:rsidRPr="009A539C">
        <w:rPr>
          <w:sz w:val="20"/>
          <w:szCs w:val="20"/>
        </w:rPr>
        <w:fldChar w:fldCharType="begin"/>
      </w:r>
      <w:r w:rsidR="000D71EA" w:rsidRPr="009A539C">
        <w:rPr>
          <w:sz w:val="20"/>
          <w:szCs w:val="20"/>
        </w:rPr>
        <w:instrText xml:space="preserve"> SEQ Quadro \* ARABIC </w:instrText>
      </w:r>
      <w:r w:rsidR="000D71EA" w:rsidRPr="009A539C">
        <w:rPr>
          <w:sz w:val="20"/>
          <w:szCs w:val="20"/>
        </w:rPr>
        <w:fldChar w:fldCharType="separate"/>
      </w:r>
      <w:r w:rsidR="00D821DE">
        <w:rPr>
          <w:noProof/>
          <w:sz w:val="20"/>
          <w:szCs w:val="20"/>
        </w:rPr>
        <w:t>59</w:t>
      </w:r>
      <w:r w:rsidR="000D71EA" w:rsidRPr="009A539C">
        <w:rPr>
          <w:noProof/>
          <w:sz w:val="20"/>
          <w:szCs w:val="20"/>
        </w:rPr>
        <w:fldChar w:fldCharType="end"/>
      </w:r>
      <w:r w:rsidR="007452A0" w:rsidRPr="009A539C">
        <w:rPr>
          <w:bCs w:val="0"/>
          <w:sz w:val="20"/>
          <w:szCs w:val="20"/>
        </w:rPr>
        <w:t xml:space="preserve"> - Trabalho Suplementar – Acréscimos Remuneratórios </w:t>
      </w:r>
      <w:r w:rsidR="00442DCA" w:rsidRPr="009A539C">
        <w:rPr>
          <w:bCs w:val="0"/>
          <w:sz w:val="20"/>
          <w:szCs w:val="20"/>
        </w:rPr>
        <w:t xml:space="preserve">(por subgrupos) </w:t>
      </w:r>
      <w:r w:rsidR="007452A0" w:rsidRPr="009A539C">
        <w:rPr>
          <w:bCs w:val="0"/>
          <w:sz w:val="20"/>
          <w:szCs w:val="20"/>
        </w:rPr>
        <w:t>– 201</w:t>
      </w:r>
      <w:bookmarkEnd w:id="687"/>
      <w:r w:rsidR="00C25C72" w:rsidRPr="009A539C">
        <w:rPr>
          <w:bCs w:val="0"/>
          <w:sz w:val="20"/>
          <w:szCs w:val="20"/>
        </w:rPr>
        <w:t>9</w:t>
      </w:r>
      <w:bookmarkEnd w:id="688"/>
    </w:p>
    <w:p w14:paraId="7ACF7621" w14:textId="5DBF268E" w:rsidR="007452A0" w:rsidRPr="009A539C" w:rsidRDefault="00DF6E16" w:rsidP="00C25C72">
      <w:pPr>
        <w:spacing w:line="240" w:lineRule="auto"/>
        <w:ind w:right="-1"/>
        <w:jc w:val="center"/>
        <w:rPr>
          <w:rFonts w:eastAsia="Arial" w:cstheme="minorHAnsi"/>
          <w:lang w:eastAsia="pt-PT" w:bidi="pt-PT"/>
        </w:rPr>
      </w:pPr>
      <w:r w:rsidRPr="009A539C">
        <w:rPr>
          <w:noProof/>
          <w:lang w:eastAsia="pt-PT"/>
        </w:rPr>
        <w:drawing>
          <wp:inline distT="0" distB="0" distL="0" distR="0" wp14:anchorId="64906ED6" wp14:editId="20895230">
            <wp:extent cx="4416725" cy="2046259"/>
            <wp:effectExtent l="0" t="0" r="3175" b="0"/>
            <wp:docPr id="1130" name="Imagem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16873" cy="2046327"/>
                    </a:xfrm>
                    <a:prstGeom prst="rect">
                      <a:avLst/>
                    </a:prstGeom>
                    <a:noFill/>
                    <a:ln>
                      <a:noFill/>
                    </a:ln>
                  </pic:spPr>
                </pic:pic>
              </a:graphicData>
            </a:graphic>
          </wp:inline>
        </w:drawing>
      </w:r>
    </w:p>
    <w:p w14:paraId="03F3C5DB" w14:textId="77777777" w:rsidR="007452A0" w:rsidRPr="009A539C" w:rsidRDefault="007452A0" w:rsidP="00BE3874">
      <w:pPr>
        <w:keepNext/>
        <w:keepLines/>
        <w:widowControl w:val="0"/>
        <w:numPr>
          <w:ilvl w:val="0"/>
          <w:numId w:val="44"/>
        </w:numPr>
        <w:tabs>
          <w:tab w:val="left" w:pos="993"/>
        </w:tabs>
        <w:autoSpaceDE w:val="0"/>
        <w:autoSpaceDN w:val="0"/>
        <w:spacing w:before="240" w:after="0" w:line="360" w:lineRule="auto"/>
        <w:ind w:left="0" w:right="-1" w:firstLine="284"/>
        <w:jc w:val="both"/>
        <w:rPr>
          <w:rFonts w:eastAsia="Arial" w:cstheme="minorHAnsi"/>
          <w:lang w:eastAsia="pt-PT" w:bidi="pt-PT"/>
        </w:rPr>
      </w:pPr>
      <w:r w:rsidRPr="009A539C">
        <w:rPr>
          <w:rFonts w:eastAsia="Arial" w:cstheme="minorHAnsi"/>
          <w:lang w:eastAsia="pt-PT" w:bidi="pt-PT"/>
        </w:rPr>
        <w:t>Em termos gerais, os  apuramentos são os seguintes:</w:t>
      </w:r>
      <w:r w:rsidRPr="009A539C">
        <w:rPr>
          <w:rFonts w:eastAsia="Arial" w:cstheme="minorHAnsi"/>
          <w:vertAlign w:val="superscript"/>
          <w:lang w:eastAsia="pt-PT" w:bidi="pt-PT"/>
        </w:rPr>
        <w:footnoteReference w:id="400"/>
      </w:r>
      <w:r w:rsidRPr="009A539C">
        <w:rPr>
          <w:rFonts w:eastAsia="Arial" w:cstheme="minorHAnsi"/>
          <w:vertAlign w:val="superscript"/>
          <w:lang w:eastAsia="pt-PT" w:bidi="pt-PT"/>
        </w:rPr>
        <w:t xml:space="preserve"> </w:t>
      </w:r>
      <w:r w:rsidRPr="009A539C">
        <w:rPr>
          <w:rFonts w:eastAsia="Arial" w:cstheme="minorHAnsi"/>
          <w:lang w:eastAsia="pt-PT" w:bidi="pt-PT"/>
        </w:rPr>
        <w:t xml:space="preserve"> </w:t>
      </w:r>
    </w:p>
    <w:p w14:paraId="39FA0B65" w14:textId="35A1A9B9" w:rsidR="007452A0" w:rsidRPr="009A539C" w:rsidRDefault="007452A0" w:rsidP="00592712">
      <w:pPr>
        <w:widowControl w:val="0"/>
        <w:numPr>
          <w:ilvl w:val="0"/>
          <w:numId w:val="46"/>
        </w:numPr>
        <w:autoSpaceDE w:val="0"/>
        <w:autoSpaceDN w:val="0"/>
        <w:spacing w:after="0" w:line="360" w:lineRule="auto"/>
        <w:ind w:left="993" w:right="-1" w:hanging="284"/>
        <w:jc w:val="both"/>
        <w:rPr>
          <w:rFonts w:eastAsia="Arial" w:cstheme="minorHAnsi"/>
          <w:lang w:eastAsia="pt-PT" w:bidi="pt-PT"/>
        </w:rPr>
      </w:pPr>
      <w:r w:rsidRPr="009A539C">
        <w:rPr>
          <w:rFonts w:eastAsia="Arial" w:cstheme="minorHAnsi"/>
          <w:lang w:eastAsia="pt-PT" w:bidi="pt-PT"/>
        </w:rPr>
        <w:t xml:space="preserve">  85 % das convenções que regulam </w:t>
      </w:r>
      <w:r w:rsidR="004C25CF" w:rsidRPr="009A539C">
        <w:rPr>
          <w:rFonts w:eastAsia="Arial" w:cstheme="minorHAnsi"/>
          <w:lang w:eastAsia="pt-PT" w:bidi="pt-PT"/>
        </w:rPr>
        <w:t>a remuneração de</w:t>
      </w:r>
      <w:r w:rsidRPr="009A539C">
        <w:rPr>
          <w:rFonts w:eastAsia="Arial" w:cstheme="minorHAnsi"/>
          <w:lang w:eastAsia="pt-PT" w:bidi="pt-PT"/>
        </w:rPr>
        <w:t xml:space="preserve"> trabalho suplementar em dia útil fixam, na primeira hora, acréscimos por hora de 50% ou percentagens superiores (em 2018, 67%); e 83 % das convenções fixam para a segunda hora (+) 75% ou acréscimos superiores (em 2018, 50,6%). </w:t>
      </w:r>
    </w:p>
    <w:p w14:paraId="4893FB4E" w14:textId="77777777" w:rsidR="007452A0" w:rsidRPr="009A539C" w:rsidRDefault="007452A0" w:rsidP="00592712">
      <w:pPr>
        <w:widowControl w:val="0"/>
        <w:numPr>
          <w:ilvl w:val="0"/>
          <w:numId w:val="45"/>
        </w:numPr>
        <w:autoSpaceDE w:val="0"/>
        <w:autoSpaceDN w:val="0"/>
        <w:spacing w:after="0" w:line="360" w:lineRule="auto"/>
        <w:ind w:left="993" w:right="-1" w:hanging="284"/>
        <w:jc w:val="both"/>
        <w:rPr>
          <w:rFonts w:eastAsia="Arial" w:cstheme="minorHAnsi"/>
          <w:lang w:eastAsia="pt-PT" w:bidi="pt-PT"/>
        </w:rPr>
      </w:pPr>
      <w:r w:rsidRPr="009A539C">
        <w:rPr>
          <w:rFonts w:eastAsia="Arial" w:cstheme="minorHAnsi"/>
          <w:lang w:eastAsia="pt-PT" w:bidi="pt-PT"/>
        </w:rPr>
        <w:t>Quando se trata da prestação de trabalho suplementar em dia feriado ou de descanso semanal, 88% das convenções preveem acréscimos de 100% ou valores superiores (em 2018, 80,3%).</w:t>
      </w:r>
    </w:p>
    <w:p w14:paraId="701CC277" w14:textId="77777777" w:rsidR="007452A0" w:rsidRPr="009A539C" w:rsidRDefault="007452A0" w:rsidP="00642AA5">
      <w:pPr>
        <w:widowControl w:val="0"/>
        <w:autoSpaceDE w:val="0"/>
        <w:autoSpaceDN w:val="0"/>
        <w:spacing w:after="0" w:line="360" w:lineRule="auto"/>
        <w:ind w:left="993" w:right="-1"/>
        <w:jc w:val="both"/>
        <w:rPr>
          <w:rFonts w:eastAsia="Arial" w:cstheme="minorHAnsi"/>
          <w:color w:val="00000A"/>
          <w:lang w:eastAsia="pt-PT" w:bidi="pt-PT"/>
        </w:rPr>
      </w:pPr>
    </w:p>
    <w:p w14:paraId="2B2574AD" w14:textId="77777777" w:rsidR="00BE3874" w:rsidRPr="009A539C" w:rsidRDefault="007452A0" w:rsidP="00BE3874">
      <w:pPr>
        <w:widowControl w:val="0"/>
        <w:autoSpaceDE w:val="0"/>
        <w:autoSpaceDN w:val="0"/>
        <w:spacing w:after="0" w:line="360" w:lineRule="auto"/>
        <w:ind w:right="-1" w:firstLine="284"/>
        <w:jc w:val="both"/>
        <w:rPr>
          <w:rFonts w:eastAsia="Arial" w:cs="Calibri"/>
          <w:color w:val="00000A"/>
          <w:lang w:eastAsia="pt-PT" w:bidi="pt-PT"/>
        </w:rPr>
      </w:pPr>
      <w:r w:rsidRPr="009A539C">
        <w:rPr>
          <w:rFonts w:eastAsia="Arial" w:cstheme="minorHAnsi"/>
          <w:color w:val="00000A"/>
          <w:lang w:eastAsia="pt-PT" w:bidi="pt-PT"/>
        </w:rPr>
        <w:t>Por outro lado, 90% da primeiras convenções que disciplinam o trabalho suplementar fixam  acréscimos remuneratórios acima da lei. E, na análise comparativa do regime da convenção anterior face às versões publicadas em 2019, em revisões parciais e globais, só uma revisão parcial reduz ligeiramente a retribuição do trabalho suplementar em dia de descanso obrigatório ou feriado</w:t>
      </w:r>
      <w:r w:rsidRPr="009A539C">
        <w:rPr>
          <w:rFonts w:eastAsia="Arial" w:cstheme="minorHAnsi"/>
          <w:color w:val="00000A"/>
          <w:vertAlign w:val="superscript"/>
          <w:lang w:eastAsia="pt-PT" w:bidi="pt-PT"/>
        </w:rPr>
        <w:footnoteReference w:id="401"/>
      </w:r>
      <w:r w:rsidRPr="009A539C">
        <w:rPr>
          <w:rFonts w:eastAsia="Arial" w:cstheme="minorHAnsi"/>
          <w:color w:val="00000A"/>
          <w:lang w:eastAsia="pt-PT" w:bidi="pt-PT"/>
        </w:rPr>
        <w:t>, as restantes mantêm  a redação anterior.</w:t>
      </w:r>
      <w:r w:rsidRPr="009A539C">
        <w:rPr>
          <w:rFonts w:eastAsia="Arial" w:cs="Calibri"/>
          <w:color w:val="00000A"/>
          <w:lang w:eastAsia="pt-PT" w:bidi="pt-PT"/>
        </w:rPr>
        <w:t xml:space="preserve"> </w:t>
      </w:r>
    </w:p>
    <w:p w14:paraId="04C674CD" w14:textId="6BF22660" w:rsidR="00000DC2" w:rsidRPr="009A539C" w:rsidRDefault="00000DC2" w:rsidP="00BE3874">
      <w:pPr>
        <w:keepNext/>
        <w:keepLines/>
        <w:widowControl w:val="0"/>
        <w:numPr>
          <w:ilvl w:val="0"/>
          <w:numId w:val="44"/>
        </w:numPr>
        <w:tabs>
          <w:tab w:val="left" w:pos="993"/>
        </w:tabs>
        <w:autoSpaceDE w:val="0"/>
        <w:autoSpaceDN w:val="0"/>
        <w:spacing w:before="240" w:after="0" w:line="360" w:lineRule="auto"/>
        <w:ind w:left="0" w:right="-1" w:firstLine="284"/>
        <w:jc w:val="both"/>
        <w:rPr>
          <w:rFonts w:eastAsia="Arial" w:cstheme="minorHAnsi"/>
          <w:lang w:eastAsia="pt-PT" w:bidi="pt-PT"/>
        </w:rPr>
      </w:pPr>
      <w:r w:rsidRPr="009A539C">
        <w:rPr>
          <w:rFonts w:eastAsia="Arial" w:cstheme="minorHAnsi"/>
          <w:lang w:eastAsia="pt-PT" w:bidi="pt-PT"/>
        </w:rPr>
        <w:t>Ainda na linha dos anos anteriores, várias convenções que preveem a obrigação do empregador assumir ou compensar alguns acréscimos de despesas, nomeadamente de transporte e de alimentação, de forma genérica</w:t>
      </w:r>
      <w:r w:rsidRPr="009A539C">
        <w:rPr>
          <w:rFonts w:eastAsia="Arial" w:cstheme="minorHAnsi"/>
          <w:vertAlign w:val="superscript"/>
          <w:lang w:eastAsia="pt-PT" w:bidi="pt-PT"/>
        </w:rPr>
        <w:footnoteReference w:id="402"/>
      </w:r>
      <w:r w:rsidRPr="009A539C">
        <w:rPr>
          <w:rFonts w:eastAsia="Arial" w:cstheme="minorHAnsi"/>
          <w:vertAlign w:val="superscript"/>
          <w:lang w:eastAsia="pt-PT" w:bidi="pt-PT"/>
        </w:rPr>
        <w:t xml:space="preserve"> </w:t>
      </w:r>
      <w:r w:rsidRPr="009A539C">
        <w:rPr>
          <w:rFonts w:eastAsia="Arial" w:cstheme="minorHAnsi"/>
          <w:lang w:eastAsia="pt-PT" w:bidi="pt-PT"/>
        </w:rPr>
        <w:t>ou em determinadas situações</w:t>
      </w:r>
      <w:r w:rsidRPr="009A539C">
        <w:rPr>
          <w:rFonts w:eastAsia="Arial" w:cstheme="minorHAnsi"/>
          <w:vertAlign w:val="superscript"/>
          <w:lang w:eastAsia="pt-PT" w:bidi="pt-PT"/>
        </w:rPr>
        <w:footnoteReference w:id="403"/>
      </w:r>
      <w:r w:rsidRPr="009A539C">
        <w:rPr>
          <w:rFonts w:eastAsia="Arial" w:cstheme="minorHAnsi"/>
          <w:vertAlign w:val="superscript"/>
          <w:lang w:eastAsia="pt-PT" w:bidi="pt-PT"/>
        </w:rPr>
        <w:t xml:space="preserve"> </w:t>
      </w:r>
      <w:r w:rsidRPr="009A539C">
        <w:rPr>
          <w:rFonts w:eastAsia="Arial" w:cstheme="minorHAnsi"/>
          <w:lang w:eastAsia="pt-PT" w:bidi="pt-PT"/>
        </w:rPr>
        <w:t>e, em certos casos, contabilizando o tempo de transporte e de refeição como trabalho suplementar</w:t>
      </w:r>
      <w:r w:rsidRPr="009A539C">
        <w:rPr>
          <w:rFonts w:eastAsia="Arial" w:cstheme="minorHAnsi"/>
          <w:vertAlign w:val="superscript"/>
          <w:lang w:eastAsia="pt-PT" w:bidi="pt-PT"/>
        </w:rPr>
        <w:footnoteReference w:id="404"/>
      </w:r>
      <w:r w:rsidRPr="009A539C">
        <w:rPr>
          <w:rFonts w:eastAsia="Arial" w:cstheme="minorHAnsi"/>
          <w:lang w:eastAsia="pt-PT" w:bidi="pt-PT"/>
        </w:rPr>
        <w:t>.</w:t>
      </w:r>
      <w:r w:rsidR="00BE3874" w:rsidRPr="009A539C">
        <w:rPr>
          <w:rFonts w:eastAsia="Arial" w:cstheme="minorHAnsi"/>
          <w:lang w:eastAsia="pt-PT" w:bidi="pt-PT"/>
        </w:rPr>
        <w:t xml:space="preserve"> </w:t>
      </w:r>
    </w:p>
    <w:p w14:paraId="3CDDBCF9" w14:textId="23B23A0C" w:rsidR="007452A0" w:rsidRPr="009A539C" w:rsidRDefault="007452A0" w:rsidP="00592712">
      <w:pPr>
        <w:keepNext/>
        <w:keepLines/>
        <w:widowControl w:val="0"/>
        <w:numPr>
          <w:ilvl w:val="0"/>
          <w:numId w:val="44"/>
        </w:numPr>
        <w:tabs>
          <w:tab w:val="left" w:pos="993"/>
        </w:tabs>
        <w:autoSpaceDE w:val="0"/>
        <w:autoSpaceDN w:val="0"/>
        <w:spacing w:before="240" w:after="0" w:line="360" w:lineRule="auto"/>
        <w:ind w:left="0" w:right="-1" w:firstLine="284"/>
        <w:jc w:val="both"/>
        <w:rPr>
          <w:rFonts w:eastAsia="Arial" w:cstheme="minorHAnsi"/>
          <w:lang w:eastAsia="pt-PT" w:bidi="pt-PT"/>
        </w:rPr>
      </w:pPr>
      <w:r w:rsidRPr="009A539C">
        <w:rPr>
          <w:rFonts w:eastAsia="Arial" w:cstheme="minorHAnsi"/>
          <w:lang w:eastAsia="pt-PT" w:bidi="pt-PT"/>
        </w:rPr>
        <w:t xml:space="preserve">Neste </w:t>
      </w:r>
      <w:r w:rsidR="00EC2A63" w:rsidRPr="009A539C">
        <w:rPr>
          <w:rFonts w:eastAsia="Arial" w:cstheme="minorHAnsi"/>
          <w:lang w:eastAsia="pt-PT" w:bidi="pt-PT"/>
        </w:rPr>
        <w:t>capítulo</w:t>
      </w:r>
      <w:r w:rsidRPr="009A539C">
        <w:rPr>
          <w:rFonts w:eastAsia="Arial" w:cstheme="minorHAnsi"/>
          <w:lang w:eastAsia="pt-PT" w:bidi="pt-PT"/>
        </w:rPr>
        <w:t xml:space="preserve">, vem sendo habitual dar nota da articulação entre o trabalho suplementar e outros institutos relativos ao tempo de trabalho, sobretudo </w:t>
      </w:r>
      <w:r w:rsidR="00EA594D" w:rsidRPr="009A539C">
        <w:rPr>
          <w:rFonts w:eastAsia="Arial" w:cstheme="minorHAnsi"/>
          <w:lang w:eastAsia="pt-PT" w:bidi="pt-PT"/>
        </w:rPr>
        <w:t>quanto à</w:t>
      </w:r>
      <w:r w:rsidRPr="009A539C">
        <w:rPr>
          <w:rFonts w:eastAsia="Arial" w:cstheme="minorHAnsi"/>
          <w:lang w:eastAsia="pt-PT" w:bidi="pt-PT"/>
        </w:rPr>
        <w:t xml:space="preserve"> compensação devida ao trabalhador, como sucede com mais frequência no âmbito do trabalho suplementar noturno</w:t>
      </w:r>
      <w:r w:rsidR="00EA594D" w:rsidRPr="009A539C">
        <w:rPr>
          <w:rFonts w:eastAsia="Arial" w:cstheme="minorHAnsi"/>
          <w:lang w:eastAsia="pt-PT" w:bidi="pt-PT"/>
        </w:rPr>
        <w:t>. Desta feita, v</w:t>
      </w:r>
      <w:r w:rsidRPr="009A539C">
        <w:rPr>
          <w:rFonts w:eastAsia="Arial" w:cstheme="minorHAnsi"/>
          <w:lang w:eastAsia="pt-PT" w:bidi="pt-PT"/>
        </w:rPr>
        <w:t>erifica-se</w:t>
      </w:r>
      <w:r w:rsidR="00EA594D" w:rsidRPr="009A539C">
        <w:rPr>
          <w:rFonts w:eastAsia="Arial" w:cstheme="minorHAnsi"/>
          <w:lang w:eastAsia="pt-PT" w:bidi="pt-PT"/>
        </w:rPr>
        <w:t xml:space="preserve"> </w:t>
      </w:r>
      <w:r w:rsidRPr="009A539C">
        <w:rPr>
          <w:rFonts w:eastAsia="Arial" w:cstheme="minorHAnsi"/>
          <w:lang w:eastAsia="pt-PT" w:bidi="pt-PT"/>
        </w:rPr>
        <w:t>que, em alguns casos, os valores consagrados nas convenções são mais elevados do que resultaria da mera aplicação cumulativa dos correspondentes adicionais, nos termos da lei</w:t>
      </w:r>
      <w:r w:rsidRPr="009A539C">
        <w:rPr>
          <w:rFonts w:eastAsia="Arial" w:cstheme="minorHAnsi"/>
          <w:vertAlign w:val="superscript"/>
          <w:lang w:eastAsia="pt-PT" w:bidi="pt-PT"/>
        </w:rPr>
        <w:footnoteReference w:id="405"/>
      </w:r>
      <w:r w:rsidRPr="009A539C">
        <w:rPr>
          <w:rFonts w:eastAsia="Arial" w:cstheme="minorHAnsi"/>
          <w:lang w:eastAsia="pt-PT" w:bidi="pt-PT"/>
        </w:rPr>
        <w:t xml:space="preserve">. Quanto à conjugação com o trabalho por turnos regista-se que, por vezes, se estabelecem normas específicas de articulação do trabalho suplementar com o trabalho por turnos, nomeadamente considerando trabalho suplementar a antecipação e continuação do turno  </w:t>
      </w:r>
      <w:r w:rsidRPr="009A539C">
        <w:rPr>
          <w:rFonts w:eastAsia="Arial" w:cstheme="minorHAnsi"/>
          <w:vertAlign w:val="superscript"/>
          <w:lang w:eastAsia="pt-PT" w:bidi="pt-PT"/>
        </w:rPr>
        <w:footnoteReference w:id="406"/>
      </w:r>
      <w:r w:rsidRPr="009A539C">
        <w:rPr>
          <w:rFonts w:eastAsia="Arial" w:cstheme="minorHAnsi"/>
          <w:lang w:eastAsia="pt-PT" w:bidi="pt-PT"/>
        </w:rPr>
        <w:t xml:space="preserve">. </w:t>
      </w:r>
    </w:p>
    <w:p w14:paraId="21A77879" w14:textId="77777777" w:rsidR="007452A0" w:rsidRPr="009A539C" w:rsidRDefault="007452A0" w:rsidP="00642AA5">
      <w:pPr>
        <w:spacing w:after="0"/>
        <w:ind w:left="993" w:right="-1"/>
        <w:rPr>
          <w:rFonts w:eastAsia="Arial" w:cstheme="minorHAnsi"/>
          <w:color w:val="002060"/>
          <w:lang w:eastAsia="pt-PT" w:bidi="pt-PT"/>
        </w:rPr>
      </w:pPr>
    </w:p>
    <w:p w14:paraId="30C56F88" w14:textId="77777777" w:rsidR="00000DC2" w:rsidRPr="009A539C" w:rsidRDefault="00000DC2" w:rsidP="00642AA5">
      <w:pPr>
        <w:spacing w:after="0"/>
        <w:ind w:left="993" w:right="-1"/>
        <w:rPr>
          <w:rFonts w:eastAsia="Arial" w:cstheme="minorHAnsi"/>
          <w:color w:val="002060"/>
          <w:lang w:eastAsia="pt-PT" w:bidi="pt-PT"/>
        </w:rPr>
      </w:pPr>
    </w:p>
    <w:p w14:paraId="21548961" w14:textId="77777777" w:rsidR="00000DC2" w:rsidRPr="009A539C" w:rsidRDefault="00000DC2" w:rsidP="00642AA5">
      <w:pPr>
        <w:spacing w:after="0"/>
        <w:ind w:left="993" w:right="-1"/>
        <w:rPr>
          <w:rFonts w:eastAsia="Arial" w:cstheme="minorHAnsi"/>
          <w:color w:val="002060"/>
          <w:lang w:eastAsia="pt-PT" w:bidi="pt-PT"/>
        </w:rPr>
      </w:pPr>
    </w:p>
    <w:p w14:paraId="432700F7" w14:textId="77777777" w:rsidR="007452A0" w:rsidRPr="009A539C" w:rsidRDefault="007452A0" w:rsidP="00AF188D">
      <w:pPr>
        <w:pStyle w:val="Cabealho4"/>
        <w:numPr>
          <w:ilvl w:val="0"/>
          <w:numId w:val="63"/>
        </w:numPr>
        <w:rPr>
          <w:rFonts w:asciiTheme="minorHAnsi" w:hAnsiTheme="minorHAnsi" w:cstheme="minorHAnsi"/>
          <w:b w:val="0"/>
          <w:bCs w:val="0"/>
          <w:iCs w:val="0"/>
          <w:color w:val="auto"/>
        </w:rPr>
      </w:pPr>
      <w:bookmarkStart w:id="689" w:name="_Toc7017707"/>
      <w:bookmarkStart w:id="690" w:name="_Toc15652507"/>
      <w:bookmarkStart w:id="691" w:name="_Toc42511773"/>
      <w:bookmarkStart w:id="692" w:name="_Toc42514537"/>
      <w:bookmarkStart w:id="693" w:name="_Toc45535721"/>
      <w:bookmarkEnd w:id="678"/>
      <w:bookmarkEnd w:id="683"/>
      <w:r w:rsidRPr="009A539C">
        <w:rPr>
          <w:rFonts w:asciiTheme="minorHAnsi" w:hAnsiTheme="minorHAnsi" w:cstheme="minorHAnsi"/>
          <w:b w:val="0"/>
          <w:bCs w:val="0"/>
          <w:iCs w:val="0"/>
          <w:color w:val="auto"/>
        </w:rPr>
        <w:t>Regimes de flexibilidade no interesse do trabalhador</w:t>
      </w:r>
      <w:bookmarkEnd w:id="689"/>
      <w:bookmarkEnd w:id="690"/>
      <w:bookmarkEnd w:id="691"/>
      <w:bookmarkEnd w:id="692"/>
      <w:bookmarkEnd w:id="693"/>
    </w:p>
    <w:p w14:paraId="4A5CDC72" w14:textId="77777777" w:rsidR="007452A0" w:rsidRPr="009A539C" w:rsidRDefault="007452A0" w:rsidP="00B90788">
      <w:pPr>
        <w:spacing w:after="0"/>
        <w:ind w:right="-1"/>
        <w:rPr>
          <w:rFonts w:eastAsia="Calibri" w:cs="Times New Roman"/>
          <w:color w:val="00000A"/>
        </w:rPr>
      </w:pPr>
    </w:p>
    <w:p w14:paraId="102DD1A5" w14:textId="77777777" w:rsidR="0068539B" w:rsidRPr="009A539C" w:rsidRDefault="0068539B" w:rsidP="00592712">
      <w:pPr>
        <w:numPr>
          <w:ilvl w:val="0"/>
          <w:numId w:val="48"/>
        </w:numPr>
        <w:tabs>
          <w:tab w:val="left" w:pos="-851"/>
        </w:tabs>
        <w:spacing w:after="0" w:line="360" w:lineRule="auto"/>
        <w:ind w:left="0" w:right="-1" w:firstLine="284"/>
        <w:jc w:val="both"/>
        <w:rPr>
          <w:rFonts w:eastAsia="Calibri" w:cs="Calibri"/>
          <w:lang w:eastAsia="pt-PT"/>
        </w:rPr>
      </w:pPr>
      <w:r w:rsidRPr="009A539C">
        <w:rPr>
          <w:rFonts w:eastAsia="Calibri" w:cs="Calibri"/>
          <w:lang w:eastAsia="pt-PT"/>
        </w:rPr>
        <w:t xml:space="preserve">Como é sabido, várias convenções dão abertura à ponderação de interesses dos trabalhadores, no capítulo dedicado à gestão e flexibilização dos tempos de trabalho. Assim sucede, por vezes, no regime do banco de horas, ao admitir-se a sua implementação por iniciativa e no interesse do trabalhador. </w:t>
      </w:r>
    </w:p>
    <w:p w14:paraId="48D06774" w14:textId="7AA7D841" w:rsidR="0068539B" w:rsidRPr="009A539C" w:rsidRDefault="0068539B" w:rsidP="00592712">
      <w:pPr>
        <w:tabs>
          <w:tab w:val="left" w:pos="-851"/>
        </w:tabs>
        <w:spacing w:after="0" w:line="360" w:lineRule="auto"/>
        <w:ind w:right="-1" w:firstLine="284"/>
        <w:jc w:val="both"/>
        <w:rPr>
          <w:rFonts w:eastAsia="Calibri" w:cs="Calibri"/>
          <w:lang w:eastAsia="pt-PT"/>
        </w:rPr>
      </w:pPr>
      <w:r w:rsidRPr="009A539C">
        <w:rPr>
          <w:rFonts w:eastAsia="Calibri" w:cs="Calibri"/>
          <w:lang w:eastAsia="pt-PT"/>
        </w:rPr>
        <w:t>Embora o horário flexível</w:t>
      </w:r>
      <w:r w:rsidR="00962E5A" w:rsidRPr="009A539C">
        <w:rPr>
          <w:rFonts w:eastAsia="Calibri" w:cs="Calibri"/>
          <w:lang w:eastAsia="pt-PT"/>
        </w:rPr>
        <w:t>, nalgumas ocasiões,</w:t>
      </w:r>
      <w:r w:rsidRPr="009A539C">
        <w:rPr>
          <w:rFonts w:eastAsia="Calibri" w:cs="Calibri"/>
          <w:lang w:eastAsia="pt-PT"/>
        </w:rPr>
        <w:t xml:space="preserve"> revista uma modalidade de isenção de horário de trabalho, procedemos à sua autonomização em termos de análise. A consagração de horário flexível constitui, de facto, o instrumento típico de flexibilização do tempo de trabalho no interesse do trabalhador. A previsão legal (art.56.º, CT), faz alusão aos horários flexíveis tão somente no âmbito da tutela da parentalidade. No entanto, é frequente as convenções coletivas contemplarem a sua utilização para a generalidade dos trabalhadores, mas sempre na dependência da vontade do empregador e constituindo uma das modalidades de horário, cuja fixação compete ao empregador </w:t>
      </w:r>
      <w:r w:rsidRPr="009A539C">
        <w:rPr>
          <w:rFonts w:eastAsia="Calibri" w:cs="Calibri"/>
          <w:vertAlign w:val="superscript"/>
          <w:lang w:eastAsia="pt-PT"/>
        </w:rPr>
        <w:footnoteReference w:id="407"/>
      </w:r>
      <w:r w:rsidRPr="009A539C">
        <w:rPr>
          <w:rFonts w:eastAsia="Calibri" w:cs="Calibri"/>
          <w:lang w:eastAsia="pt-PT"/>
        </w:rPr>
        <w:t>.</w:t>
      </w:r>
    </w:p>
    <w:p w14:paraId="7E1DB609" w14:textId="1FE446C6" w:rsidR="0068539B" w:rsidRPr="009A539C" w:rsidRDefault="00821CB5" w:rsidP="00592712">
      <w:pPr>
        <w:tabs>
          <w:tab w:val="left" w:pos="-851"/>
        </w:tabs>
        <w:spacing w:after="0" w:line="360" w:lineRule="auto"/>
        <w:ind w:right="-1" w:firstLine="284"/>
        <w:jc w:val="both"/>
        <w:rPr>
          <w:rFonts w:eastAsia="Calibri" w:cs="Calibri"/>
          <w:lang w:eastAsia="pt-PT"/>
        </w:rPr>
      </w:pPr>
      <w:r w:rsidRPr="009A539C">
        <w:rPr>
          <w:rFonts w:eastAsia="Calibri" w:cs="Calibri"/>
          <w:lang w:eastAsia="pt-PT"/>
        </w:rPr>
        <w:t>O</w:t>
      </w:r>
      <w:r w:rsidR="0068539B" w:rsidRPr="009A539C">
        <w:rPr>
          <w:rFonts w:eastAsia="Calibri" w:cs="Calibri"/>
          <w:lang w:eastAsia="pt-PT"/>
        </w:rPr>
        <w:t>bserva-se</w:t>
      </w:r>
      <w:r w:rsidRPr="009A539C">
        <w:rPr>
          <w:rFonts w:eastAsia="Calibri" w:cs="Calibri"/>
          <w:lang w:eastAsia="pt-PT"/>
        </w:rPr>
        <w:t xml:space="preserve">, no quadro seguinte, </w:t>
      </w:r>
      <w:r w:rsidR="0068539B" w:rsidRPr="009A539C">
        <w:rPr>
          <w:rFonts w:eastAsia="Calibri" w:cs="Calibri"/>
          <w:lang w:eastAsia="pt-PT"/>
        </w:rPr>
        <w:t>a presença de horários flexíveis em 31 das 240 convenções coletivas publicadas em 2019, correspondendo a um decréscimo (21%)</w:t>
      </w:r>
      <w:r w:rsidR="0068539B" w:rsidRPr="009A539C">
        <w:rPr>
          <w:rFonts w:eastAsia="Calibri" w:cs="Calibri"/>
          <w:vertAlign w:val="superscript"/>
          <w:lang w:eastAsia="pt-PT"/>
        </w:rPr>
        <w:footnoteReference w:id="408"/>
      </w:r>
      <w:r w:rsidR="0068539B" w:rsidRPr="009A539C">
        <w:rPr>
          <w:rFonts w:eastAsia="Calibri" w:cs="Calibri"/>
          <w:lang w:eastAsia="pt-PT"/>
        </w:rPr>
        <w:t xml:space="preserve">. </w:t>
      </w:r>
      <w:r w:rsidR="0068539B" w:rsidRPr="009A539C">
        <w:rPr>
          <w:rFonts w:eastAsia="Calibri" w:cs="Calibri"/>
          <w:color w:val="7030A0"/>
          <w:lang w:eastAsia="pt-PT"/>
        </w:rPr>
        <w:t xml:space="preserve">Por </w:t>
      </w:r>
      <w:r w:rsidR="0068539B" w:rsidRPr="009A539C">
        <w:rPr>
          <w:rFonts w:eastAsia="Calibri" w:cs="Calibri"/>
          <w:lang w:eastAsia="pt-PT"/>
        </w:rPr>
        <w:t>outro lado, mantém-se a predominância dos acordos de empresa (17 em 31), em especial no setor da banca e seguros.</w:t>
      </w:r>
    </w:p>
    <w:p w14:paraId="7B1E526E" w14:textId="77777777" w:rsidR="007452A0" w:rsidRPr="009A539C" w:rsidRDefault="007452A0" w:rsidP="00642AA5">
      <w:pPr>
        <w:tabs>
          <w:tab w:val="left" w:pos="851"/>
        </w:tabs>
        <w:spacing w:after="0" w:line="360" w:lineRule="auto"/>
        <w:ind w:left="993" w:right="-1"/>
        <w:jc w:val="both"/>
        <w:rPr>
          <w:rFonts w:eastAsia="Calibri" w:cs="Calibri"/>
          <w:lang w:eastAsia="pt-PT"/>
        </w:rPr>
      </w:pPr>
    </w:p>
    <w:p w14:paraId="554D4171" w14:textId="77777777" w:rsidR="00000DC2" w:rsidRPr="00DA6DB1" w:rsidRDefault="00000DC2" w:rsidP="00642AA5">
      <w:pPr>
        <w:tabs>
          <w:tab w:val="left" w:pos="851"/>
        </w:tabs>
        <w:spacing w:after="0" w:line="360" w:lineRule="auto"/>
        <w:ind w:left="993" w:right="-1"/>
        <w:jc w:val="both"/>
        <w:rPr>
          <w:rFonts w:eastAsia="Calibri" w:cs="Calibri"/>
          <w:lang w:eastAsia="pt-PT"/>
        </w:rPr>
      </w:pPr>
    </w:p>
    <w:p w14:paraId="0FD47315" w14:textId="7324360C" w:rsidR="007452A0" w:rsidRPr="00DA6DB1" w:rsidRDefault="00785B2A" w:rsidP="00343774">
      <w:pPr>
        <w:pStyle w:val="Legenda"/>
        <w:jc w:val="center"/>
        <w:rPr>
          <w:b w:val="0"/>
          <w:bCs w:val="0"/>
          <w:sz w:val="20"/>
          <w:szCs w:val="20"/>
        </w:rPr>
      </w:pPr>
      <w:bookmarkStart w:id="694" w:name="_Toc15654997"/>
      <w:bookmarkStart w:id="695" w:name="_Toc45716681"/>
      <w:r w:rsidRPr="00DA6DB1">
        <w:rPr>
          <w:b w:val="0"/>
          <w:sz w:val="20"/>
          <w:szCs w:val="20"/>
        </w:rPr>
        <w:t xml:space="preserve">Quadro </w:t>
      </w:r>
      <w:r w:rsidR="000D71EA" w:rsidRPr="00DA6DB1">
        <w:rPr>
          <w:b w:val="0"/>
          <w:sz w:val="20"/>
          <w:szCs w:val="20"/>
        </w:rPr>
        <w:fldChar w:fldCharType="begin"/>
      </w:r>
      <w:r w:rsidR="000D71EA" w:rsidRPr="00DA6DB1">
        <w:rPr>
          <w:b w:val="0"/>
          <w:sz w:val="20"/>
          <w:szCs w:val="20"/>
        </w:rPr>
        <w:instrText xml:space="preserve"> SEQ Quadro \* ARABIC </w:instrText>
      </w:r>
      <w:r w:rsidR="000D71EA" w:rsidRPr="00DA6DB1">
        <w:rPr>
          <w:b w:val="0"/>
          <w:sz w:val="20"/>
          <w:szCs w:val="20"/>
        </w:rPr>
        <w:fldChar w:fldCharType="separate"/>
      </w:r>
      <w:r w:rsidR="00D821DE" w:rsidRPr="00DA6DB1">
        <w:rPr>
          <w:b w:val="0"/>
          <w:noProof/>
          <w:sz w:val="20"/>
          <w:szCs w:val="20"/>
        </w:rPr>
        <w:t>60</w:t>
      </w:r>
      <w:r w:rsidR="000D71EA" w:rsidRPr="00DA6DB1">
        <w:rPr>
          <w:b w:val="0"/>
          <w:noProof/>
          <w:sz w:val="20"/>
          <w:szCs w:val="20"/>
        </w:rPr>
        <w:fldChar w:fldCharType="end"/>
      </w:r>
      <w:r w:rsidR="007452A0" w:rsidRPr="00DA6DB1">
        <w:rPr>
          <w:b w:val="0"/>
          <w:bCs w:val="0"/>
          <w:sz w:val="20"/>
          <w:szCs w:val="20"/>
        </w:rPr>
        <w:t xml:space="preserve"> - Horários Flexíveis </w:t>
      </w:r>
      <w:r w:rsidR="00DA6DB1" w:rsidRPr="00DA6DB1">
        <w:rPr>
          <w:b w:val="0"/>
          <w:bCs w:val="0"/>
          <w:sz w:val="20"/>
          <w:szCs w:val="20"/>
        </w:rPr>
        <w:t>(</w:t>
      </w:r>
      <w:r w:rsidR="007452A0" w:rsidRPr="00DA6DB1">
        <w:rPr>
          <w:b w:val="0"/>
          <w:bCs w:val="0"/>
          <w:sz w:val="20"/>
          <w:szCs w:val="20"/>
        </w:rPr>
        <w:t>201</w:t>
      </w:r>
      <w:bookmarkEnd w:id="694"/>
      <w:r w:rsidR="00892976" w:rsidRPr="00DA6DB1">
        <w:rPr>
          <w:b w:val="0"/>
          <w:bCs w:val="0"/>
          <w:sz w:val="20"/>
          <w:szCs w:val="20"/>
        </w:rPr>
        <w:t>9</w:t>
      </w:r>
      <w:r w:rsidR="00DA6DB1" w:rsidRPr="00DA6DB1">
        <w:rPr>
          <w:b w:val="0"/>
          <w:bCs w:val="0"/>
          <w:sz w:val="20"/>
          <w:szCs w:val="20"/>
        </w:rPr>
        <w:t>)</w:t>
      </w:r>
      <w:bookmarkEnd w:id="695"/>
    </w:p>
    <w:p w14:paraId="644F96BD" w14:textId="77777777" w:rsidR="007452A0" w:rsidRPr="009A539C" w:rsidRDefault="007452A0" w:rsidP="00B90788">
      <w:pPr>
        <w:spacing w:after="0"/>
        <w:ind w:right="-1"/>
        <w:jc w:val="center"/>
        <w:rPr>
          <w:rFonts w:cs="Times New Roman"/>
          <w:color w:val="00000A"/>
        </w:rPr>
      </w:pPr>
      <w:r w:rsidRPr="009A539C">
        <w:rPr>
          <w:rFonts w:cs="Times New Roman"/>
          <w:noProof/>
          <w:color w:val="00000A"/>
          <w:lang w:eastAsia="pt-PT"/>
        </w:rPr>
        <w:drawing>
          <wp:inline distT="0" distB="0" distL="0" distR="0" wp14:anchorId="7C083EC4" wp14:editId="635CE5C7">
            <wp:extent cx="5361940" cy="1682750"/>
            <wp:effectExtent l="0" t="0" r="0" b="0"/>
            <wp:docPr id="1186" name="Imagem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361940" cy="1682750"/>
                    </a:xfrm>
                    <a:prstGeom prst="rect">
                      <a:avLst/>
                    </a:prstGeom>
                    <a:noFill/>
                    <a:ln>
                      <a:noFill/>
                    </a:ln>
                  </pic:spPr>
                </pic:pic>
              </a:graphicData>
            </a:graphic>
          </wp:inline>
        </w:drawing>
      </w:r>
    </w:p>
    <w:p w14:paraId="5C56ADA5" w14:textId="77777777" w:rsidR="007452A0" w:rsidRPr="009A539C" w:rsidRDefault="007452A0" w:rsidP="00B90788">
      <w:pPr>
        <w:tabs>
          <w:tab w:val="left" w:pos="851"/>
        </w:tabs>
        <w:spacing w:after="0"/>
        <w:ind w:right="-1" w:firstLine="426"/>
        <w:jc w:val="both"/>
        <w:rPr>
          <w:rFonts w:eastAsia="Calibri" w:cstheme="minorHAnsi"/>
          <w:b/>
          <w:lang w:eastAsia="pt-PT"/>
        </w:rPr>
      </w:pPr>
    </w:p>
    <w:p w14:paraId="04507CBE" w14:textId="573EE8D9" w:rsidR="007452A0" w:rsidRPr="009A539C" w:rsidRDefault="007452A0" w:rsidP="00592712">
      <w:pPr>
        <w:tabs>
          <w:tab w:val="left" w:pos="-2410"/>
        </w:tabs>
        <w:spacing w:after="0" w:line="360" w:lineRule="auto"/>
        <w:ind w:right="-1" w:firstLine="284"/>
        <w:jc w:val="both"/>
        <w:rPr>
          <w:rFonts w:eastAsia="Calibri" w:cstheme="minorHAnsi"/>
        </w:rPr>
      </w:pPr>
      <w:r w:rsidRPr="009A539C">
        <w:rPr>
          <w:rFonts w:eastAsia="Calibri" w:cstheme="minorHAnsi"/>
          <w:b/>
          <w:lang w:eastAsia="pt-PT"/>
        </w:rPr>
        <w:t>II.</w:t>
      </w:r>
      <w:r w:rsidRPr="009A539C">
        <w:rPr>
          <w:rFonts w:eastAsia="Calibri" w:cstheme="minorHAnsi"/>
          <w:lang w:eastAsia="pt-PT"/>
        </w:rPr>
        <w:t xml:space="preserve"> </w:t>
      </w:r>
      <w:r w:rsidR="00081991" w:rsidRPr="009A539C">
        <w:rPr>
          <w:rFonts w:eastAsia="Calibri" w:cstheme="minorHAnsi"/>
          <w:lang w:eastAsia="pt-PT"/>
        </w:rPr>
        <w:t xml:space="preserve">O aprofundamento dos horários flexiveis </w:t>
      </w:r>
      <w:r w:rsidRPr="009A539C">
        <w:rPr>
          <w:rFonts w:eastAsia="Calibri" w:cstheme="minorHAnsi"/>
          <w:lang w:eastAsia="pt-PT"/>
        </w:rPr>
        <w:t>é muito variável</w:t>
      </w:r>
      <w:r w:rsidR="00081991" w:rsidRPr="009A539C">
        <w:rPr>
          <w:rFonts w:eastAsia="Calibri" w:cstheme="minorHAnsi"/>
          <w:lang w:eastAsia="pt-PT"/>
        </w:rPr>
        <w:t>. Encontra-se</w:t>
      </w:r>
      <w:r w:rsidR="00620346" w:rsidRPr="009A539C">
        <w:rPr>
          <w:rFonts w:eastAsia="Calibri" w:cstheme="minorHAnsi"/>
          <w:lang w:eastAsia="pt-PT"/>
        </w:rPr>
        <w:t>, com alguma frequência, a</w:t>
      </w:r>
      <w:r w:rsidR="00081991" w:rsidRPr="009A539C">
        <w:rPr>
          <w:rFonts w:eastAsia="Calibri" w:cstheme="minorHAnsi"/>
          <w:lang w:eastAsia="pt-PT"/>
        </w:rPr>
        <w:t xml:space="preserve">  </w:t>
      </w:r>
      <w:r w:rsidRPr="009A539C">
        <w:rPr>
          <w:rFonts w:eastAsia="Calibri" w:cstheme="minorHAnsi"/>
          <w:lang w:eastAsia="pt-PT"/>
        </w:rPr>
        <w:t>formulação genérica desta modalidade, entre as várias que podem ser fixadas pelo empregador, acompanhada de uma definição (v.g. “aquele em que as horas de início e termo do período de trabalho, bem como as dos intervalos de descanso podem ser móveis, havendo, porém, períodos de trabalho fixos obrigatórios”</w:t>
      </w:r>
      <w:r w:rsidRPr="009A539C">
        <w:rPr>
          <w:rFonts w:eastAsia="Calibri" w:cstheme="minorHAnsi"/>
          <w:vertAlign w:val="superscript"/>
          <w:lang w:eastAsia="pt-PT"/>
        </w:rPr>
        <w:footnoteReference w:id="409"/>
      </w:r>
      <w:r w:rsidRPr="009A539C">
        <w:rPr>
          <w:rFonts w:eastAsia="Calibri" w:cstheme="minorHAnsi"/>
          <w:lang w:eastAsia="pt-PT"/>
        </w:rPr>
        <w:t>). Noutros casos, poucos, a definição de horário flexível é apresentada em termos que comportam já uma regulação de aspetos de regime</w:t>
      </w:r>
      <w:r w:rsidRPr="009A539C">
        <w:rPr>
          <w:rFonts w:eastAsia="Calibri" w:cstheme="minorHAnsi"/>
          <w:vertAlign w:val="superscript"/>
          <w:lang w:eastAsia="pt-PT"/>
        </w:rPr>
        <w:footnoteReference w:id="410"/>
      </w:r>
      <w:r w:rsidRPr="009A539C">
        <w:rPr>
          <w:rFonts w:eastAsia="Calibri" w:cstheme="minorHAnsi"/>
          <w:lang w:eastAsia="pt-PT"/>
        </w:rPr>
        <w:t xml:space="preserve">. </w:t>
      </w:r>
    </w:p>
    <w:p w14:paraId="1ECE4AC9" w14:textId="77777777" w:rsidR="007452A0" w:rsidRPr="009A539C" w:rsidRDefault="007452A0" w:rsidP="00592712">
      <w:pPr>
        <w:tabs>
          <w:tab w:val="left" w:pos="-2410"/>
        </w:tabs>
        <w:spacing w:after="0" w:line="360" w:lineRule="auto"/>
        <w:ind w:right="-1" w:firstLine="284"/>
        <w:jc w:val="both"/>
        <w:rPr>
          <w:rFonts w:eastAsia="Calibri" w:cstheme="minorHAnsi"/>
        </w:rPr>
      </w:pPr>
    </w:p>
    <w:p w14:paraId="6B17B89D" w14:textId="7B033E12" w:rsidR="007452A0" w:rsidRPr="009A539C" w:rsidRDefault="007452A0" w:rsidP="00592712">
      <w:pPr>
        <w:tabs>
          <w:tab w:val="left" w:pos="-2410"/>
        </w:tabs>
        <w:spacing w:after="0" w:line="360" w:lineRule="auto"/>
        <w:ind w:right="-1" w:firstLine="284"/>
        <w:jc w:val="both"/>
        <w:rPr>
          <w:rFonts w:eastAsia="Calibri" w:cstheme="minorHAnsi"/>
          <w:lang w:eastAsia="pt-PT"/>
        </w:rPr>
      </w:pPr>
      <w:r w:rsidRPr="009A539C">
        <w:rPr>
          <w:rFonts w:eastAsia="Calibri" w:cstheme="minorHAnsi"/>
          <w:b/>
          <w:lang w:eastAsia="pt-PT"/>
        </w:rPr>
        <w:t>III.</w:t>
      </w:r>
      <w:r w:rsidRPr="009A539C">
        <w:rPr>
          <w:rFonts w:eastAsia="Calibri" w:cstheme="minorHAnsi"/>
          <w:lang w:eastAsia="pt-PT"/>
        </w:rPr>
        <w:t xml:space="preserve"> </w:t>
      </w:r>
      <w:r w:rsidR="000A0944" w:rsidRPr="009A539C">
        <w:rPr>
          <w:rFonts w:eastAsia="Calibri" w:cstheme="minorHAnsi"/>
          <w:lang w:eastAsia="pt-PT"/>
        </w:rPr>
        <w:t>Passa-se a enumerar o</w:t>
      </w:r>
      <w:r w:rsidRPr="009A539C">
        <w:rPr>
          <w:rFonts w:eastAsia="Calibri" w:cstheme="minorHAnsi"/>
          <w:lang w:eastAsia="pt-PT"/>
        </w:rPr>
        <w:t xml:space="preserve">s pontos </w:t>
      </w:r>
      <w:r w:rsidR="000A0944" w:rsidRPr="009A539C">
        <w:rPr>
          <w:rFonts w:eastAsia="Calibri" w:cstheme="minorHAnsi"/>
          <w:lang w:eastAsia="pt-PT"/>
        </w:rPr>
        <w:t>abordados com maior frequência no desenho da figura</w:t>
      </w:r>
      <w:r w:rsidRPr="009A539C">
        <w:rPr>
          <w:rFonts w:eastAsia="Calibri" w:cstheme="minorHAnsi"/>
          <w:lang w:eastAsia="pt-PT"/>
        </w:rPr>
        <w:t>,</w:t>
      </w:r>
      <w:r w:rsidR="000A0944" w:rsidRPr="009A539C">
        <w:rPr>
          <w:rFonts w:eastAsia="Calibri" w:cstheme="minorHAnsi"/>
          <w:lang w:eastAsia="pt-PT"/>
        </w:rPr>
        <w:t xml:space="preserve"> de modo cumulativo</w:t>
      </w:r>
      <w:r w:rsidRPr="009A539C">
        <w:rPr>
          <w:rFonts w:eastAsia="Calibri" w:cstheme="minorHAnsi"/>
          <w:lang w:eastAsia="pt-PT"/>
        </w:rPr>
        <w:t xml:space="preserve"> ou alternativamente:</w:t>
      </w:r>
    </w:p>
    <w:p w14:paraId="081256B3" w14:textId="77777777" w:rsidR="007452A0" w:rsidRPr="009A539C" w:rsidRDefault="007452A0" w:rsidP="00592712">
      <w:pPr>
        <w:numPr>
          <w:ilvl w:val="0"/>
          <w:numId w:val="41"/>
        </w:numPr>
        <w:spacing w:after="0" w:line="360" w:lineRule="auto"/>
        <w:ind w:left="993" w:right="-1" w:hanging="426"/>
        <w:jc w:val="both"/>
        <w:rPr>
          <w:rFonts w:eastAsia="Calibri" w:cstheme="minorHAnsi"/>
          <w:lang w:eastAsia="pt-PT"/>
        </w:rPr>
      </w:pPr>
      <w:r w:rsidRPr="009A539C">
        <w:rPr>
          <w:rFonts w:eastAsia="Calibri" w:cstheme="minorHAnsi"/>
          <w:lang w:eastAsia="pt-PT"/>
        </w:rPr>
        <w:t>amplitude da plataforma fixa e da margem de variação</w:t>
      </w:r>
      <w:r w:rsidRPr="009A539C">
        <w:rPr>
          <w:rFonts w:cstheme="minorHAnsi"/>
          <w:vertAlign w:val="superscript"/>
          <w:lang w:eastAsia="pt-PT"/>
        </w:rPr>
        <w:footnoteReference w:id="411"/>
      </w:r>
      <w:r w:rsidRPr="009A539C">
        <w:rPr>
          <w:rFonts w:eastAsia="Calibri" w:cstheme="minorHAnsi"/>
          <w:lang w:eastAsia="pt-PT"/>
        </w:rPr>
        <w:t>;</w:t>
      </w:r>
    </w:p>
    <w:p w14:paraId="4294C7A6" w14:textId="77777777" w:rsidR="007452A0" w:rsidRPr="009A539C" w:rsidRDefault="007452A0" w:rsidP="00592712">
      <w:pPr>
        <w:numPr>
          <w:ilvl w:val="0"/>
          <w:numId w:val="41"/>
        </w:numPr>
        <w:spacing w:after="0" w:line="360" w:lineRule="auto"/>
        <w:ind w:left="993" w:right="-1" w:hanging="426"/>
        <w:jc w:val="both"/>
        <w:rPr>
          <w:rFonts w:eastAsia="Calibri" w:cstheme="minorHAnsi"/>
          <w:lang w:eastAsia="pt-PT"/>
        </w:rPr>
      </w:pPr>
      <w:r w:rsidRPr="009A539C">
        <w:rPr>
          <w:rFonts w:eastAsia="Calibri" w:cstheme="minorHAnsi"/>
          <w:lang w:eastAsia="pt-PT"/>
        </w:rPr>
        <w:t>fixação do período dentro do qual o trabalho deve ser executado</w:t>
      </w:r>
      <w:r w:rsidRPr="009A539C">
        <w:rPr>
          <w:rFonts w:cstheme="minorHAnsi"/>
          <w:vertAlign w:val="superscript"/>
          <w:lang w:eastAsia="pt-PT"/>
        </w:rPr>
        <w:footnoteReference w:id="412"/>
      </w:r>
      <w:r w:rsidRPr="009A539C">
        <w:rPr>
          <w:rFonts w:eastAsia="Calibri" w:cstheme="minorHAnsi"/>
          <w:lang w:eastAsia="pt-PT"/>
        </w:rPr>
        <w:t>;</w:t>
      </w:r>
    </w:p>
    <w:p w14:paraId="60BC151A" w14:textId="77777777" w:rsidR="007452A0" w:rsidRPr="009A539C" w:rsidRDefault="007452A0" w:rsidP="00592712">
      <w:pPr>
        <w:numPr>
          <w:ilvl w:val="0"/>
          <w:numId w:val="41"/>
        </w:numPr>
        <w:spacing w:after="0" w:line="360" w:lineRule="auto"/>
        <w:ind w:left="993" w:right="-1" w:hanging="426"/>
        <w:jc w:val="both"/>
        <w:rPr>
          <w:rFonts w:eastAsia="Calibri" w:cstheme="minorHAnsi"/>
          <w:lang w:eastAsia="pt-PT"/>
        </w:rPr>
      </w:pPr>
      <w:r w:rsidRPr="009A539C">
        <w:rPr>
          <w:rFonts w:eastAsia="Calibri" w:cstheme="minorHAnsi"/>
          <w:lang w:eastAsia="pt-PT"/>
        </w:rPr>
        <w:t>período dentro do qual deve ser feita a compensação, que oscila as mais das vezes entre o próprio dia</w:t>
      </w:r>
      <w:r w:rsidRPr="009A539C">
        <w:rPr>
          <w:rFonts w:eastAsia="Calibri" w:cstheme="minorHAnsi"/>
          <w:vertAlign w:val="superscript"/>
          <w:lang w:eastAsia="pt-PT"/>
        </w:rPr>
        <w:footnoteReference w:id="413"/>
      </w:r>
      <w:r w:rsidRPr="009A539C">
        <w:rPr>
          <w:rFonts w:eastAsia="Calibri" w:cstheme="minorHAnsi"/>
          <w:lang w:eastAsia="pt-PT"/>
        </w:rPr>
        <w:t>, a semana</w:t>
      </w:r>
      <w:r w:rsidRPr="009A539C">
        <w:rPr>
          <w:rFonts w:cstheme="minorHAnsi"/>
          <w:vertAlign w:val="superscript"/>
          <w:lang w:eastAsia="pt-PT"/>
        </w:rPr>
        <w:footnoteReference w:id="414"/>
      </w:r>
      <w:r w:rsidRPr="009A539C">
        <w:rPr>
          <w:rFonts w:eastAsia="Calibri" w:cstheme="minorHAnsi"/>
          <w:lang w:eastAsia="pt-PT"/>
        </w:rPr>
        <w:t>; o mês</w:t>
      </w:r>
      <w:r w:rsidRPr="009A539C">
        <w:rPr>
          <w:rFonts w:cstheme="minorHAnsi"/>
          <w:vertAlign w:val="superscript"/>
          <w:lang w:eastAsia="pt-PT"/>
        </w:rPr>
        <w:footnoteReference w:id="415"/>
      </w:r>
      <w:r w:rsidRPr="009A539C">
        <w:rPr>
          <w:rFonts w:eastAsia="Calibri" w:cstheme="minorHAnsi"/>
          <w:lang w:eastAsia="pt-PT"/>
        </w:rPr>
        <w:t>; ou  trimestre</w:t>
      </w:r>
      <w:r w:rsidRPr="009A539C">
        <w:rPr>
          <w:rFonts w:eastAsia="Calibri" w:cstheme="minorHAnsi"/>
          <w:vertAlign w:val="superscript"/>
          <w:lang w:eastAsia="pt-PT"/>
        </w:rPr>
        <w:footnoteReference w:id="416"/>
      </w:r>
      <w:r w:rsidRPr="009A539C">
        <w:rPr>
          <w:rFonts w:eastAsia="Calibri" w:cstheme="minorHAnsi"/>
          <w:lang w:eastAsia="pt-PT"/>
        </w:rPr>
        <w:t>;</w:t>
      </w:r>
    </w:p>
    <w:p w14:paraId="2A827292" w14:textId="77777777" w:rsidR="007452A0" w:rsidRPr="009A539C" w:rsidRDefault="007452A0" w:rsidP="00592712">
      <w:pPr>
        <w:numPr>
          <w:ilvl w:val="0"/>
          <w:numId w:val="41"/>
        </w:numPr>
        <w:spacing w:after="0" w:line="360" w:lineRule="auto"/>
        <w:ind w:left="993" w:right="-1" w:hanging="426"/>
        <w:jc w:val="both"/>
        <w:rPr>
          <w:rFonts w:eastAsia="Calibri" w:cstheme="minorHAnsi"/>
          <w:lang w:eastAsia="pt-PT"/>
        </w:rPr>
      </w:pPr>
      <w:r w:rsidRPr="009A539C">
        <w:rPr>
          <w:rFonts w:eastAsia="Calibri" w:cstheme="minorHAnsi"/>
          <w:lang w:eastAsia="pt-PT"/>
        </w:rPr>
        <w:t>regime dos débitos ou saldos verificados no termo do período em que deve ser feita a compensação</w:t>
      </w:r>
      <w:r w:rsidRPr="009A539C">
        <w:rPr>
          <w:rFonts w:cstheme="minorHAnsi"/>
          <w:vertAlign w:val="superscript"/>
          <w:lang w:eastAsia="pt-PT"/>
        </w:rPr>
        <w:footnoteReference w:id="417"/>
      </w:r>
      <w:r w:rsidRPr="009A539C">
        <w:rPr>
          <w:rFonts w:eastAsia="Calibri" w:cstheme="minorHAnsi"/>
          <w:lang w:eastAsia="pt-PT"/>
        </w:rPr>
        <w:t>;</w:t>
      </w:r>
    </w:p>
    <w:p w14:paraId="697202A2" w14:textId="77777777" w:rsidR="007452A0" w:rsidRPr="009A539C" w:rsidRDefault="007452A0" w:rsidP="00592712">
      <w:pPr>
        <w:numPr>
          <w:ilvl w:val="0"/>
          <w:numId w:val="41"/>
        </w:numPr>
        <w:spacing w:after="0" w:line="360" w:lineRule="auto"/>
        <w:ind w:left="993" w:right="-1" w:hanging="426"/>
        <w:jc w:val="both"/>
        <w:rPr>
          <w:rFonts w:eastAsia="Calibri" w:cstheme="minorHAnsi"/>
          <w:lang w:eastAsia="pt-PT"/>
        </w:rPr>
      </w:pPr>
      <w:r w:rsidRPr="009A539C">
        <w:rPr>
          <w:rFonts w:eastAsia="Calibri" w:cstheme="minorHAnsi"/>
          <w:lang w:eastAsia="pt-PT"/>
        </w:rPr>
        <w:t>condicionamento da opção por esta modalidade de horário à inexistência de inconveniente para o normal funcionamento dos serviços</w:t>
      </w:r>
      <w:r w:rsidRPr="009A539C">
        <w:rPr>
          <w:rFonts w:eastAsia="Calibri" w:cstheme="minorHAnsi"/>
          <w:vertAlign w:val="superscript"/>
          <w:lang w:eastAsia="pt-PT"/>
        </w:rPr>
        <w:footnoteReference w:id="418"/>
      </w:r>
      <w:r w:rsidRPr="009A539C">
        <w:rPr>
          <w:rFonts w:eastAsia="Calibri" w:cstheme="minorHAnsi"/>
          <w:lang w:eastAsia="pt-PT"/>
        </w:rPr>
        <w:t>;</w:t>
      </w:r>
    </w:p>
    <w:p w14:paraId="55DBF883" w14:textId="77777777" w:rsidR="007452A0" w:rsidRPr="009A539C" w:rsidRDefault="007452A0" w:rsidP="00592712">
      <w:pPr>
        <w:numPr>
          <w:ilvl w:val="0"/>
          <w:numId w:val="41"/>
        </w:numPr>
        <w:spacing w:after="0" w:line="360" w:lineRule="auto"/>
        <w:ind w:left="993" w:right="-1" w:hanging="426"/>
        <w:jc w:val="both"/>
        <w:rPr>
          <w:rFonts w:eastAsia="Calibri" w:cs="Calibri"/>
          <w:lang w:eastAsia="pt-PT"/>
        </w:rPr>
      </w:pPr>
      <w:r w:rsidRPr="009A539C">
        <w:rPr>
          <w:rFonts w:eastAsia="Calibri" w:cs="Calibri"/>
          <w:lang w:eastAsia="pt-PT"/>
        </w:rPr>
        <w:t>imposição ao trabalhador do dever de assegurar  a presença em reuniões e continuidade de tarefas, durante  o período do  PNT</w:t>
      </w:r>
      <w:r w:rsidRPr="009A539C">
        <w:rPr>
          <w:rFonts w:cs="Times New Roman"/>
          <w:vertAlign w:val="superscript"/>
          <w:lang w:eastAsia="pt-PT"/>
        </w:rPr>
        <w:footnoteReference w:id="419"/>
      </w:r>
      <w:r w:rsidRPr="009A539C">
        <w:rPr>
          <w:rFonts w:eastAsia="Calibri" w:cs="Calibri"/>
          <w:lang w:eastAsia="pt-PT"/>
        </w:rPr>
        <w:t>.</w:t>
      </w:r>
    </w:p>
    <w:p w14:paraId="122B536C" w14:textId="77777777" w:rsidR="00592712" w:rsidRPr="009A539C" w:rsidRDefault="00592712" w:rsidP="00592712">
      <w:pPr>
        <w:spacing w:after="0" w:line="360" w:lineRule="auto"/>
        <w:ind w:left="993" w:right="-1"/>
        <w:jc w:val="both"/>
        <w:rPr>
          <w:rFonts w:eastAsia="Calibri" w:cs="Calibri"/>
          <w:lang w:eastAsia="pt-PT"/>
        </w:rPr>
      </w:pPr>
    </w:p>
    <w:p w14:paraId="72D99680" w14:textId="77777777" w:rsidR="007452A0" w:rsidRPr="009A539C" w:rsidRDefault="007452A0" w:rsidP="00592712">
      <w:pPr>
        <w:spacing w:after="0" w:line="360" w:lineRule="auto"/>
        <w:ind w:right="-1" w:firstLine="426"/>
        <w:jc w:val="both"/>
        <w:rPr>
          <w:rFonts w:eastAsia="Calibri" w:cstheme="minorHAnsi"/>
          <w:lang w:eastAsia="pt-PT"/>
        </w:rPr>
      </w:pPr>
      <w:r w:rsidRPr="009A539C">
        <w:rPr>
          <w:rFonts w:eastAsia="Calibri" w:cstheme="minorHAnsi"/>
          <w:lang w:eastAsia="pt-PT"/>
        </w:rPr>
        <w:t>Por vezes, admite-se que o empregador estabeleça o horário flexível unilateralmente</w:t>
      </w:r>
      <w:r w:rsidRPr="009A539C">
        <w:rPr>
          <w:rFonts w:eastAsia="Calibri" w:cstheme="minorHAnsi"/>
          <w:vertAlign w:val="superscript"/>
          <w:lang w:eastAsia="pt-PT"/>
        </w:rPr>
        <w:footnoteReference w:id="420"/>
      </w:r>
      <w:r w:rsidRPr="009A539C">
        <w:rPr>
          <w:rFonts w:eastAsia="Calibri" w:cstheme="minorHAnsi"/>
          <w:lang w:eastAsia="pt-PT"/>
        </w:rPr>
        <w:t xml:space="preserve">, sem prejuízo do bom funcionamento do serviço, com horários máximos diários de 8,30h, mas em contrapartida a convenção exige que a sua alteração seja precedida de audição das estruturas de representação coletiva na empresa </w:t>
      </w:r>
      <w:r w:rsidRPr="009A539C">
        <w:rPr>
          <w:rFonts w:eastAsia="Calibri" w:cstheme="minorHAnsi"/>
          <w:vertAlign w:val="superscript"/>
          <w:lang w:eastAsia="pt-PT"/>
        </w:rPr>
        <w:footnoteReference w:id="421"/>
      </w:r>
      <w:r w:rsidRPr="009A539C">
        <w:rPr>
          <w:rFonts w:eastAsia="Calibri" w:cstheme="minorHAnsi"/>
          <w:lang w:eastAsia="pt-PT"/>
        </w:rPr>
        <w:t xml:space="preserve">. </w:t>
      </w:r>
    </w:p>
    <w:p w14:paraId="232BFF26" w14:textId="77777777" w:rsidR="00592712" w:rsidRPr="009A539C" w:rsidRDefault="00592712" w:rsidP="00592712">
      <w:pPr>
        <w:spacing w:after="0" w:line="360" w:lineRule="auto"/>
        <w:ind w:right="-1" w:firstLine="426"/>
        <w:jc w:val="both"/>
        <w:rPr>
          <w:rFonts w:eastAsia="Calibri" w:cstheme="minorHAnsi"/>
          <w:lang w:eastAsia="pt-PT"/>
        </w:rPr>
      </w:pPr>
    </w:p>
    <w:p w14:paraId="206F8F55" w14:textId="77777777" w:rsidR="007452A0" w:rsidRPr="009A539C" w:rsidRDefault="007452A0" w:rsidP="00592712">
      <w:pPr>
        <w:spacing w:after="0" w:line="360" w:lineRule="auto"/>
        <w:ind w:right="-1" w:firstLine="426"/>
        <w:jc w:val="both"/>
        <w:rPr>
          <w:rFonts w:eastAsia="Calibri" w:cstheme="minorHAnsi"/>
          <w:lang w:eastAsia="pt-PT"/>
        </w:rPr>
      </w:pPr>
      <w:r w:rsidRPr="009A539C">
        <w:rPr>
          <w:rFonts w:eastAsia="Calibri" w:cstheme="minorHAnsi"/>
          <w:lang w:eastAsia="pt-PT"/>
        </w:rPr>
        <w:t>Pela sua novidade e originalidade, destaca-se um regime específico de flexibilidade semanal que conjuga a prestação de trabalho em regime de teletrabalho, com recurso às TIC, uma vez por semana, a definir com o superior hierárquico. A implementação deste modelo pode ser feita por acordo ou, unilateralmente, pelo empregador, que o pode alargar a todos os trabalhadores, nos termos a definir em regulamento da empresa</w:t>
      </w:r>
      <w:r w:rsidRPr="009A539C">
        <w:rPr>
          <w:rFonts w:eastAsia="Calibri" w:cstheme="minorHAnsi"/>
          <w:vertAlign w:val="superscript"/>
          <w:lang w:eastAsia="pt-PT"/>
        </w:rPr>
        <w:footnoteReference w:id="422"/>
      </w:r>
      <w:r w:rsidRPr="009A539C">
        <w:rPr>
          <w:rFonts w:eastAsia="Calibri" w:cstheme="minorHAnsi"/>
          <w:lang w:eastAsia="pt-PT"/>
        </w:rPr>
        <w:t xml:space="preserve">.  </w:t>
      </w:r>
    </w:p>
    <w:p w14:paraId="69E80F06" w14:textId="77777777" w:rsidR="00592712" w:rsidRPr="009A539C" w:rsidRDefault="00592712" w:rsidP="00592712">
      <w:pPr>
        <w:spacing w:after="0" w:line="360" w:lineRule="auto"/>
        <w:ind w:right="-1" w:firstLine="426"/>
        <w:jc w:val="both"/>
        <w:rPr>
          <w:rFonts w:eastAsia="Calibri" w:cstheme="minorHAnsi"/>
          <w:lang w:eastAsia="pt-PT"/>
        </w:rPr>
      </w:pPr>
    </w:p>
    <w:p w14:paraId="72DA79D5" w14:textId="2C24053E" w:rsidR="007452A0" w:rsidRPr="009A539C" w:rsidRDefault="007452A0" w:rsidP="00592712">
      <w:pPr>
        <w:spacing w:after="0" w:line="360" w:lineRule="auto"/>
        <w:ind w:right="-1" w:firstLine="426"/>
        <w:jc w:val="both"/>
        <w:rPr>
          <w:rFonts w:eastAsia="Calibri" w:cstheme="minorHAnsi"/>
          <w:lang w:eastAsia="pt-PT"/>
        </w:rPr>
      </w:pPr>
      <w:r w:rsidRPr="009A539C">
        <w:rPr>
          <w:rFonts w:eastAsia="Calibri" w:cstheme="minorHAnsi"/>
          <w:lang w:eastAsia="pt-PT"/>
        </w:rPr>
        <w:t xml:space="preserve">Em 2019, observa-se, a regulação, pela primeira vez, do regime de horários flexíveis numa revisão global e duas revisões parciais (textos paralelos); existem também duas revisões globais que alteram a versão anterior da mesma convenção (anexo </w:t>
      </w:r>
      <w:r w:rsidR="00592712" w:rsidRPr="009A539C">
        <w:rPr>
          <w:rFonts w:eastAsia="Calibri" w:cstheme="minorHAnsi"/>
          <w:lang w:eastAsia="pt-PT"/>
        </w:rPr>
        <w:t>–</w:t>
      </w:r>
      <w:r w:rsidRPr="009A539C">
        <w:rPr>
          <w:rFonts w:eastAsia="Calibri" w:cstheme="minorHAnsi"/>
          <w:lang w:eastAsia="pt-PT"/>
        </w:rPr>
        <w:t xml:space="preserve"> quadro</w:t>
      </w:r>
      <w:r w:rsidR="00592712" w:rsidRPr="009A539C">
        <w:rPr>
          <w:rFonts w:eastAsia="Calibri" w:cstheme="minorHAnsi"/>
          <w:lang w:eastAsia="pt-PT"/>
        </w:rPr>
        <w:t xml:space="preserve"> 11</w:t>
      </w:r>
      <w:r w:rsidRPr="009A539C">
        <w:rPr>
          <w:rFonts w:eastAsia="Calibri" w:cstheme="minorHAnsi"/>
          <w:lang w:eastAsia="pt-PT"/>
        </w:rPr>
        <w:t>).</w:t>
      </w:r>
    </w:p>
    <w:p w14:paraId="4280C4EF" w14:textId="77777777" w:rsidR="007452A0" w:rsidRPr="009A539C" w:rsidRDefault="007452A0" w:rsidP="00642AA5">
      <w:pPr>
        <w:tabs>
          <w:tab w:val="left" w:pos="851"/>
        </w:tabs>
        <w:spacing w:after="0"/>
        <w:ind w:left="993" w:right="-1"/>
        <w:jc w:val="both"/>
        <w:rPr>
          <w:rFonts w:eastAsia="Calibri" w:cstheme="minorHAnsi"/>
          <w:i/>
          <w:lang w:eastAsia="pt-PT"/>
        </w:rPr>
      </w:pPr>
    </w:p>
    <w:p w14:paraId="610FD5AC" w14:textId="77777777" w:rsidR="00000DC2" w:rsidRPr="009A539C" w:rsidRDefault="00000DC2" w:rsidP="00642AA5">
      <w:pPr>
        <w:tabs>
          <w:tab w:val="left" w:pos="851"/>
        </w:tabs>
        <w:spacing w:after="0"/>
        <w:ind w:left="993" w:right="-1"/>
        <w:jc w:val="both"/>
        <w:rPr>
          <w:rFonts w:eastAsia="Calibri" w:cstheme="minorHAnsi"/>
          <w:i/>
          <w:lang w:eastAsia="pt-PT"/>
        </w:rPr>
      </w:pPr>
    </w:p>
    <w:p w14:paraId="378500F3" w14:textId="77777777" w:rsidR="00000DC2" w:rsidRPr="009A539C" w:rsidRDefault="00000DC2" w:rsidP="00642AA5">
      <w:pPr>
        <w:tabs>
          <w:tab w:val="left" w:pos="851"/>
        </w:tabs>
        <w:spacing w:after="0"/>
        <w:ind w:left="993" w:right="-1"/>
        <w:jc w:val="both"/>
        <w:rPr>
          <w:rFonts w:eastAsia="Calibri" w:cstheme="minorHAnsi"/>
          <w:i/>
          <w:lang w:eastAsia="pt-PT"/>
        </w:rPr>
      </w:pPr>
    </w:p>
    <w:p w14:paraId="04823F7A" w14:textId="77777777" w:rsidR="007452A0" w:rsidRPr="009A539C" w:rsidRDefault="007452A0" w:rsidP="00AF188D">
      <w:pPr>
        <w:pStyle w:val="Cabealho4"/>
        <w:numPr>
          <w:ilvl w:val="0"/>
          <w:numId w:val="63"/>
        </w:numPr>
        <w:rPr>
          <w:rFonts w:asciiTheme="minorHAnsi" w:hAnsiTheme="minorHAnsi" w:cstheme="minorHAnsi"/>
          <w:b w:val="0"/>
          <w:bCs w:val="0"/>
          <w:iCs w:val="0"/>
          <w:color w:val="auto"/>
        </w:rPr>
      </w:pPr>
      <w:bookmarkStart w:id="696" w:name="_Toc7017708"/>
      <w:bookmarkStart w:id="697" w:name="_Toc15652508"/>
      <w:bookmarkStart w:id="698" w:name="_Toc42511774"/>
      <w:bookmarkStart w:id="699" w:name="_Toc42514538"/>
      <w:bookmarkStart w:id="700" w:name="_Toc45535722"/>
      <w:r w:rsidRPr="009A539C">
        <w:rPr>
          <w:rFonts w:asciiTheme="minorHAnsi" w:hAnsiTheme="minorHAnsi" w:cstheme="minorHAnsi"/>
          <w:b w:val="0"/>
          <w:bCs w:val="0"/>
          <w:iCs w:val="0"/>
          <w:color w:val="auto"/>
        </w:rPr>
        <w:t>Isenção de horário de trabalho</w:t>
      </w:r>
      <w:bookmarkEnd w:id="696"/>
      <w:bookmarkEnd w:id="697"/>
      <w:bookmarkEnd w:id="698"/>
      <w:bookmarkEnd w:id="699"/>
      <w:bookmarkEnd w:id="700"/>
    </w:p>
    <w:p w14:paraId="13C9CC97" w14:textId="77777777" w:rsidR="007452A0" w:rsidRPr="009A539C" w:rsidRDefault="007452A0" w:rsidP="00B90788">
      <w:pPr>
        <w:spacing w:after="0" w:line="360" w:lineRule="auto"/>
        <w:ind w:right="-1"/>
        <w:rPr>
          <w:rFonts w:eastAsia="Calibri" w:cstheme="minorHAnsi"/>
          <w:color w:val="00000A"/>
        </w:rPr>
      </w:pPr>
    </w:p>
    <w:p w14:paraId="7FE1D44F" w14:textId="481051D0" w:rsidR="00000DC2" w:rsidRPr="009A539C" w:rsidRDefault="007452A0" w:rsidP="00A45DB8">
      <w:pPr>
        <w:numPr>
          <w:ilvl w:val="0"/>
          <w:numId w:val="47"/>
        </w:numPr>
        <w:spacing w:after="0" w:line="360" w:lineRule="auto"/>
        <w:ind w:left="0" w:right="-1" w:firstLine="284"/>
        <w:jc w:val="both"/>
        <w:rPr>
          <w:rFonts w:eastAsia="Calibri" w:cstheme="minorHAnsi"/>
        </w:rPr>
      </w:pPr>
      <w:r w:rsidRPr="009A539C">
        <w:rPr>
          <w:rFonts w:eastAsia="Calibri" w:cstheme="minorHAnsi"/>
        </w:rPr>
        <w:t>A par do trabalho suplementar, a figura da isenção de horário de trabalho tem sido um instrumento tradicional de flexibilidade temporal da prestação de trabalho. Em 2019, regista-se, todavia, uma quebra face a 2018 (passa de 65 em 2018 para 56 em 2019)</w:t>
      </w:r>
      <w:r w:rsidRPr="009A539C">
        <w:rPr>
          <w:rFonts w:eastAsia="Calibri" w:cstheme="minorHAnsi"/>
          <w:vertAlign w:val="superscript"/>
        </w:rPr>
        <w:footnoteReference w:id="423"/>
      </w:r>
      <w:r w:rsidRPr="009A539C">
        <w:rPr>
          <w:rFonts w:eastAsia="Calibri" w:cstheme="minorHAnsi"/>
        </w:rPr>
        <w:t xml:space="preserve"> justificada, pelo menos em parte, pelo peso das revisões parciais, no conjunto das convenções do ano, e pela relevância de uma organização do trabalho com  horários fixos ou móveis, estabelecidos nalguns setores</w:t>
      </w:r>
      <w:r w:rsidRPr="009A539C">
        <w:rPr>
          <w:rFonts w:eastAsia="Calibri" w:cstheme="minorHAnsi"/>
          <w:vertAlign w:val="superscript"/>
        </w:rPr>
        <w:footnoteReference w:id="424"/>
      </w:r>
      <w:r w:rsidRPr="009A539C">
        <w:rPr>
          <w:rFonts w:eastAsia="Calibri" w:cstheme="minorHAnsi"/>
        </w:rPr>
        <w:t>.</w:t>
      </w:r>
    </w:p>
    <w:p w14:paraId="159AD8A8" w14:textId="77777777" w:rsidR="00000DC2" w:rsidRPr="009A539C" w:rsidRDefault="00000DC2" w:rsidP="00B90788">
      <w:pPr>
        <w:spacing w:after="0" w:line="360" w:lineRule="auto"/>
        <w:ind w:right="-1"/>
        <w:jc w:val="both"/>
        <w:rPr>
          <w:rFonts w:eastAsia="Calibri" w:cstheme="minorHAnsi"/>
        </w:rPr>
      </w:pPr>
    </w:p>
    <w:p w14:paraId="7076658B" w14:textId="77777777" w:rsidR="00000DC2" w:rsidRPr="009A539C" w:rsidRDefault="00000DC2" w:rsidP="00B90788">
      <w:pPr>
        <w:spacing w:after="0" w:line="360" w:lineRule="auto"/>
        <w:ind w:right="-1"/>
        <w:jc w:val="both"/>
        <w:rPr>
          <w:rFonts w:eastAsia="Calibri" w:cstheme="minorHAnsi"/>
        </w:rPr>
      </w:pPr>
    </w:p>
    <w:p w14:paraId="09226E66" w14:textId="57E42E94" w:rsidR="007452A0" w:rsidRPr="009A539C" w:rsidRDefault="00785B2A" w:rsidP="00A45DB8">
      <w:pPr>
        <w:pStyle w:val="Legenda"/>
        <w:jc w:val="center"/>
        <w:rPr>
          <w:b w:val="0"/>
          <w:bCs w:val="0"/>
          <w:sz w:val="20"/>
          <w:szCs w:val="20"/>
        </w:rPr>
      </w:pPr>
      <w:bookmarkStart w:id="701" w:name="_Toc45716682"/>
      <w:r w:rsidRPr="009A539C">
        <w:rPr>
          <w:b w:val="0"/>
          <w:sz w:val="20"/>
          <w:szCs w:val="20"/>
        </w:rPr>
        <w:t xml:space="preserve">Quadro </w:t>
      </w:r>
      <w:r w:rsidR="000D71EA" w:rsidRPr="009A539C">
        <w:rPr>
          <w:b w:val="0"/>
          <w:sz w:val="20"/>
          <w:szCs w:val="20"/>
        </w:rPr>
        <w:fldChar w:fldCharType="begin"/>
      </w:r>
      <w:r w:rsidR="000D71EA" w:rsidRPr="009A539C">
        <w:rPr>
          <w:b w:val="0"/>
          <w:sz w:val="20"/>
          <w:szCs w:val="20"/>
        </w:rPr>
        <w:instrText xml:space="preserve"> SEQ Quadro \* ARABIC </w:instrText>
      </w:r>
      <w:r w:rsidR="000D71EA" w:rsidRPr="009A539C">
        <w:rPr>
          <w:b w:val="0"/>
          <w:sz w:val="20"/>
          <w:szCs w:val="20"/>
        </w:rPr>
        <w:fldChar w:fldCharType="separate"/>
      </w:r>
      <w:r w:rsidR="00D821DE">
        <w:rPr>
          <w:b w:val="0"/>
          <w:noProof/>
          <w:sz w:val="20"/>
          <w:szCs w:val="20"/>
        </w:rPr>
        <w:t>61</w:t>
      </w:r>
      <w:r w:rsidR="000D71EA" w:rsidRPr="009A539C">
        <w:rPr>
          <w:b w:val="0"/>
          <w:noProof/>
          <w:sz w:val="20"/>
          <w:szCs w:val="20"/>
        </w:rPr>
        <w:fldChar w:fldCharType="end"/>
      </w:r>
      <w:r w:rsidR="007452A0" w:rsidRPr="009A539C">
        <w:rPr>
          <w:b w:val="0"/>
          <w:bCs w:val="0"/>
          <w:sz w:val="20"/>
          <w:szCs w:val="20"/>
        </w:rPr>
        <w:t xml:space="preserve"> - Isenção de Horário de Trabalho (</w:t>
      </w:r>
      <w:r w:rsidR="00DA6DB1" w:rsidRPr="009A539C">
        <w:rPr>
          <w:b w:val="0"/>
          <w:bCs w:val="0"/>
          <w:sz w:val="20"/>
          <w:szCs w:val="20"/>
        </w:rPr>
        <w:t xml:space="preserve">2019 </w:t>
      </w:r>
      <w:r w:rsidR="00DA6DB1">
        <w:rPr>
          <w:b w:val="0"/>
          <w:bCs w:val="0"/>
          <w:sz w:val="20"/>
          <w:szCs w:val="20"/>
        </w:rPr>
        <w:t>-</w:t>
      </w:r>
      <w:r w:rsidR="007452A0" w:rsidRPr="009A539C">
        <w:rPr>
          <w:b w:val="0"/>
          <w:bCs w:val="0"/>
          <w:sz w:val="20"/>
          <w:szCs w:val="20"/>
        </w:rPr>
        <w:t xml:space="preserve"> 2018)</w:t>
      </w:r>
      <w:bookmarkEnd w:id="701"/>
    </w:p>
    <w:p w14:paraId="08F1FDEC" w14:textId="77777777" w:rsidR="007452A0" w:rsidRPr="009A539C" w:rsidRDefault="007452A0" w:rsidP="00A45DB8">
      <w:pPr>
        <w:spacing w:after="0"/>
        <w:ind w:right="-1"/>
        <w:jc w:val="center"/>
        <w:rPr>
          <w:rFonts w:eastAsia="Calibri" w:cstheme="minorHAnsi"/>
        </w:rPr>
      </w:pPr>
      <w:r w:rsidRPr="009A539C">
        <w:rPr>
          <w:rFonts w:cs="Times New Roman"/>
          <w:noProof/>
          <w:color w:val="00000A"/>
          <w:lang w:eastAsia="pt-PT"/>
        </w:rPr>
        <w:drawing>
          <wp:inline distT="0" distB="0" distL="0" distR="0" wp14:anchorId="7DE7F7CE" wp14:editId="471A84FC">
            <wp:extent cx="3588909" cy="1457864"/>
            <wp:effectExtent l="0" t="0" r="0" b="9525"/>
            <wp:docPr id="1187" name="Imagem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589145" cy="1457960"/>
                    </a:xfrm>
                    <a:prstGeom prst="rect">
                      <a:avLst/>
                    </a:prstGeom>
                    <a:noFill/>
                    <a:ln>
                      <a:noFill/>
                    </a:ln>
                  </pic:spPr>
                </pic:pic>
              </a:graphicData>
            </a:graphic>
          </wp:inline>
        </w:drawing>
      </w:r>
    </w:p>
    <w:p w14:paraId="46A7096C" w14:textId="77777777" w:rsidR="007452A0" w:rsidRPr="009A539C" w:rsidRDefault="007452A0" w:rsidP="00B90788">
      <w:pPr>
        <w:spacing w:after="0" w:line="360" w:lineRule="auto"/>
        <w:ind w:right="-1" w:firstLine="567"/>
        <w:jc w:val="both"/>
        <w:rPr>
          <w:rFonts w:eastAsia="Calibri" w:cstheme="minorHAnsi"/>
        </w:rPr>
      </w:pPr>
    </w:p>
    <w:p w14:paraId="1121410A" w14:textId="77777777" w:rsidR="007452A0" w:rsidRPr="009A539C" w:rsidRDefault="007452A0" w:rsidP="00A45DB8">
      <w:pPr>
        <w:spacing w:after="0" w:line="360" w:lineRule="auto"/>
        <w:ind w:right="-1" w:firstLine="284"/>
        <w:jc w:val="both"/>
        <w:rPr>
          <w:rFonts w:eastAsia="Calibri" w:cstheme="minorHAnsi"/>
        </w:rPr>
      </w:pPr>
      <w:r w:rsidRPr="009A539C">
        <w:rPr>
          <w:rFonts w:eastAsia="Calibri" w:cstheme="minorHAnsi"/>
        </w:rPr>
        <w:t>Em todo o caso, o regime está presente em parte das primeiras convenções (29 em 46)</w:t>
      </w:r>
      <w:r w:rsidRPr="009A539C">
        <w:rPr>
          <w:rFonts w:eastAsia="Calibri" w:cstheme="minorHAnsi"/>
          <w:vertAlign w:val="superscript"/>
        </w:rPr>
        <w:footnoteReference w:id="425"/>
      </w:r>
      <w:r w:rsidRPr="009A539C">
        <w:rPr>
          <w:rFonts w:eastAsia="Calibri" w:cstheme="minorHAnsi"/>
        </w:rPr>
        <w:t xml:space="preserve"> e revisões  globais (20 em 33),  ora reproduzindo a lei</w:t>
      </w:r>
      <w:r w:rsidRPr="009A539C">
        <w:rPr>
          <w:rFonts w:eastAsia="Calibri" w:cstheme="minorHAnsi"/>
          <w:vertAlign w:val="superscript"/>
        </w:rPr>
        <w:footnoteReference w:id="426"/>
      </w:r>
      <w:r w:rsidRPr="009A539C">
        <w:rPr>
          <w:rFonts w:eastAsia="Calibri" w:cstheme="minorHAnsi"/>
        </w:rPr>
        <w:t xml:space="preserve">, ora introduzindo   ligeiras modulações ao regime legal ao abrigo das margens de adaptação que o CT concede (art.218ª,2 CT). </w:t>
      </w:r>
    </w:p>
    <w:p w14:paraId="43C8D714" w14:textId="77777777" w:rsidR="007452A0" w:rsidRPr="009A539C" w:rsidRDefault="007452A0" w:rsidP="00A45DB8">
      <w:pPr>
        <w:spacing w:after="0" w:line="360" w:lineRule="auto"/>
        <w:ind w:right="-1" w:firstLine="284"/>
        <w:jc w:val="both"/>
        <w:rPr>
          <w:rFonts w:eastAsia="Calibri" w:cstheme="minorHAnsi"/>
        </w:rPr>
      </w:pPr>
      <w:r w:rsidRPr="009A539C">
        <w:rPr>
          <w:rFonts w:eastAsia="Calibri" w:cstheme="minorHAnsi"/>
        </w:rPr>
        <w:t xml:space="preserve"> </w:t>
      </w:r>
    </w:p>
    <w:p w14:paraId="0AEFE7D2" w14:textId="75A699CA" w:rsidR="007452A0" w:rsidRPr="009A539C" w:rsidRDefault="007452A0" w:rsidP="00A45DB8">
      <w:pPr>
        <w:numPr>
          <w:ilvl w:val="0"/>
          <w:numId w:val="47"/>
        </w:numPr>
        <w:spacing w:after="0" w:line="360" w:lineRule="auto"/>
        <w:ind w:left="0" w:right="-1" w:firstLine="284"/>
        <w:jc w:val="both"/>
        <w:rPr>
          <w:rFonts w:eastAsia="Calibri" w:cstheme="minorHAnsi"/>
          <w:strike/>
        </w:rPr>
      </w:pPr>
      <w:r w:rsidRPr="009A539C">
        <w:rPr>
          <w:rFonts w:eastAsia="Calibri" w:cstheme="minorHAnsi"/>
        </w:rPr>
        <w:t xml:space="preserve">Quanto ao âmbito de aplicação </w:t>
      </w:r>
      <w:r w:rsidR="00922F19" w:rsidRPr="009A539C">
        <w:rPr>
          <w:rFonts w:eastAsia="Calibri" w:cstheme="minorHAnsi"/>
        </w:rPr>
        <w:t>da figura</w:t>
      </w:r>
      <w:r w:rsidRPr="009A539C">
        <w:rPr>
          <w:rFonts w:eastAsia="Calibri" w:cstheme="minorHAnsi"/>
        </w:rPr>
        <w:t xml:space="preserve">, boa parte das convenções limita-se a reproduzir o elenco do art. 218.º/1 do CT, enquanto outras </w:t>
      </w:r>
      <w:r w:rsidR="00922F19" w:rsidRPr="009A539C">
        <w:rPr>
          <w:rFonts w:eastAsia="Calibri" w:cstheme="minorHAnsi"/>
        </w:rPr>
        <w:t xml:space="preserve">aprofundam o seu recorte em função da </w:t>
      </w:r>
      <w:r w:rsidRPr="009A539C">
        <w:rPr>
          <w:rFonts w:eastAsia="Calibri" w:cstheme="minorHAnsi"/>
        </w:rPr>
        <w:t>realidade específica a que se aplicam e/ou instituem um elenco mais limitado</w:t>
      </w:r>
      <w:r w:rsidRPr="009A539C">
        <w:rPr>
          <w:rFonts w:eastAsia="Calibri" w:cstheme="minorHAnsi"/>
          <w:vertAlign w:val="superscript"/>
        </w:rPr>
        <w:footnoteReference w:id="427"/>
      </w:r>
      <w:r w:rsidRPr="009A539C">
        <w:rPr>
          <w:rFonts w:eastAsia="Calibri" w:cstheme="minorHAnsi"/>
        </w:rPr>
        <w:t>. Várias convenções, porém, ao abrigo da faculdade concedida pelo</w:t>
      </w:r>
      <w:r w:rsidRPr="009A539C">
        <w:rPr>
          <w:rFonts w:eastAsia="Calibri" w:cs="Calibri"/>
        </w:rPr>
        <w:t xml:space="preserve"> art. 218.º/2</w:t>
      </w:r>
      <w:r w:rsidRPr="009A539C">
        <w:rPr>
          <w:rFonts w:eastAsia="Calibri" w:cstheme="minorHAnsi"/>
        </w:rPr>
        <w:t>do CT, contemplam situações diferentes das previstas na lei</w:t>
      </w:r>
      <w:r w:rsidRPr="009A539C">
        <w:rPr>
          <w:rFonts w:cstheme="minorHAnsi"/>
          <w:vertAlign w:val="superscript"/>
        </w:rPr>
        <w:footnoteReference w:id="428"/>
      </w:r>
      <w:r w:rsidRPr="009A539C">
        <w:rPr>
          <w:rFonts w:eastAsia="Calibri" w:cstheme="minorHAnsi"/>
        </w:rPr>
        <w:t xml:space="preserve"> ou, em certos casos, admitem a aplicação generalizada do regime a todos os trabalhadores que manifestem o necessário acordo (nalguns casos exigindo-se também o parecer da comissão sindical </w:t>
      </w:r>
      <w:r w:rsidRPr="009A539C">
        <w:rPr>
          <w:rFonts w:cstheme="minorHAnsi"/>
          <w:vertAlign w:val="superscript"/>
        </w:rPr>
        <w:footnoteReference w:id="429"/>
      </w:r>
      <w:r w:rsidRPr="009A539C">
        <w:rPr>
          <w:rFonts w:eastAsia="Calibri" w:cstheme="minorHAnsi"/>
        </w:rPr>
        <w:t>), por vezes precisando: “cujas funções regularmente desempenhadas o justifiquem”</w:t>
      </w:r>
      <w:r w:rsidRPr="009A539C">
        <w:rPr>
          <w:rFonts w:cstheme="minorHAnsi"/>
          <w:vertAlign w:val="superscript"/>
        </w:rPr>
        <w:footnoteReference w:id="430"/>
      </w:r>
      <w:r w:rsidRPr="009A539C">
        <w:rPr>
          <w:rFonts w:eastAsia="Calibri" w:cstheme="minorHAnsi"/>
        </w:rPr>
        <w:t xml:space="preserve">. </w:t>
      </w:r>
      <w:r w:rsidRPr="009A539C">
        <w:rPr>
          <w:rFonts w:eastAsia="Calibri" w:cstheme="minorHAnsi"/>
          <w:strike/>
        </w:rPr>
        <w:t xml:space="preserve"> </w:t>
      </w:r>
    </w:p>
    <w:p w14:paraId="309D16B1" w14:textId="77777777" w:rsidR="007452A0" w:rsidRPr="009A539C" w:rsidRDefault="007452A0" w:rsidP="00A45DB8">
      <w:pPr>
        <w:spacing w:after="0" w:line="360" w:lineRule="auto"/>
        <w:ind w:right="-1" w:firstLine="284"/>
        <w:jc w:val="both"/>
        <w:rPr>
          <w:rFonts w:eastAsia="Calibri" w:cs="Calibri"/>
        </w:rPr>
      </w:pPr>
    </w:p>
    <w:p w14:paraId="157C4F02" w14:textId="77777777" w:rsidR="007452A0" w:rsidRPr="009A539C" w:rsidRDefault="007452A0" w:rsidP="00A45DB8">
      <w:pPr>
        <w:spacing w:after="0" w:line="360" w:lineRule="auto"/>
        <w:ind w:right="-1" w:firstLine="284"/>
        <w:jc w:val="both"/>
        <w:rPr>
          <w:rFonts w:eastAsia="Calibri" w:cstheme="minorHAnsi"/>
        </w:rPr>
      </w:pPr>
      <w:r w:rsidRPr="009A539C">
        <w:rPr>
          <w:rFonts w:eastAsia="Calibri" w:cstheme="minorHAnsi"/>
        </w:rPr>
        <w:t>Parte das convenções aqui consideradas admite as várias modalidades de isenção de horário de trabalho previstas na lei</w:t>
      </w:r>
      <w:r w:rsidRPr="009A539C">
        <w:rPr>
          <w:rFonts w:eastAsia="Calibri" w:cstheme="minorHAnsi"/>
          <w:vertAlign w:val="superscript"/>
        </w:rPr>
        <w:footnoteReference w:id="431"/>
      </w:r>
      <w:r w:rsidRPr="009A539C">
        <w:rPr>
          <w:rFonts w:eastAsia="Calibri" w:cstheme="minorHAnsi"/>
        </w:rPr>
        <w:t>, embora em alguns casos se considerem apenas a modalidade tradicional (não observância dos limites do PNT)</w:t>
      </w:r>
      <w:r w:rsidRPr="009A539C">
        <w:rPr>
          <w:rFonts w:eastAsia="Calibri" w:cstheme="minorHAnsi"/>
          <w:vertAlign w:val="superscript"/>
        </w:rPr>
        <w:footnoteReference w:id="432"/>
      </w:r>
      <w:r w:rsidRPr="009A539C">
        <w:rPr>
          <w:rFonts w:eastAsia="Calibri" w:cstheme="minorHAnsi"/>
        </w:rPr>
        <w:t xml:space="preserve"> ou esta e a de alargamento do PNT</w:t>
      </w:r>
      <w:r w:rsidRPr="009A539C">
        <w:rPr>
          <w:rFonts w:eastAsia="Calibri" w:cstheme="minorHAnsi"/>
          <w:vertAlign w:val="superscript"/>
        </w:rPr>
        <w:footnoteReference w:id="433"/>
      </w:r>
      <w:r w:rsidRPr="009A539C">
        <w:rPr>
          <w:rFonts w:eastAsia="Calibri" w:cstheme="minorHAnsi"/>
        </w:rPr>
        <w:t xml:space="preserve">. No que toca aos limites da jornada de trabalho,  é comum a </w:t>
      </w:r>
      <w:r w:rsidR="00930745" w:rsidRPr="009A539C">
        <w:rPr>
          <w:rFonts w:eastAsia="Calibri" w:cstheme="minorHAnsi"/>
        </w:rPr>
        <w:t>referência</w:t>
      </w:r>
      <w:r w:rsidRPr="009A539C">
        <w:rPr>
          <w:rFonts w:eastAsia="Calibri" w:cstheme="minorHAnsi"/>
        </w:rPr>
        <w:t xml:space="preserve"> à salvaguarda legal do respeito aos dias de descanso e feriados</w:t>
      </w:r>
      <w:r w:rsidRPr="009A539C">
        <w:rPr>
          <w:rFonts w:eastAsia="Calibri" w:cstheme="minorHAnsi"/>
          <w:vertAlign w:val="superscript"/>
        </w:rPr>
        <w:footnoteReference w:id="434"/>
      </w:r>
      <w:r w:rsidRPr="009A539C">
        <w:rPr>
          <w:rFonts w:eastAsia="Calibri" w:cstheme="minorHAnsi"/>
        </w:rPr>
        <w:t>, assim como aos períodos mínimos de descanso diários</w:t>
      </w:r>
      <w:r w:rsidRPr="009A539C">
        <w:rPr>
          <w:rFonts w:eastAsia="Calibri" w:cstheme="minorHAnsi"/>
          <w:vertAlign w:val="superscript"/>
        </w:rPr>
        <w:footnoteReference w:id="435"/>
      </w:r>
      <w:r w:rsidRPr="009A539C">
        <w:rPr>
          <w:rFonts w:eastAsia="Calibri" w:cstheme="minorHAnsi"/>
        </w:rPr>
        <w:t>. Em todo o caso, encontramos convenções que expressamente estabelecem limites, determinando a observância do PNT</w:t>
      </w:r>
      <w:r w:rsidRPr="009A539C">
        <w:rPr>
          <w:rFonts w:eastAsia="Calibri" w:cstheme="minorHAnsi"/>
          <w:vertAlign w:val="superscript"/>
        </w:rPr>
        <w:footnoteReference w:id="436"/>
      </w:r>
      <w:r w:rsidRPr="009A539C">
        <w:rPr>
          <w:rFonts w:eastAsia="Calibri" w:cstheme="minorHAnsi"/>
        </w:rPr>
        <w:t xml:space="preserve"> e conside</w:t>
      </w:r>
      <w:r w:rsidR="003D23DE" w:rsidRPr="009A539C">
        <w:rPr>
          <w:rFonts w:eastAsia="Calibri" w:cstheme="minorHAnsi"/>
        </w:rPr>
        <w:t>rando</w:t>
      </w:r>
      <w:r w:rsidRPr="009A539C">
        <w:rPr>
          <w:rFonts w:eastAsia="Calibri" w:cstheme="minorHAnsi"/>
        </w:rPr>
        <w:t xml:space="preserve"> trabalho suplementar as horas trabalhadas para além dos períodos acordados</w:t>
      </w:r>
      <w:r w:rsidRPr="009A539C">
        <w:rPr>
          <w:rFonts w:eastAsia="Calibri" w:cstheme="minorHAnsi"/>
          <w:vertAlign w:val="superscript"/>
        </w:rPr>
        <w:footnoteReference w:id="437"/>
      </w:r>
      <w:r w:rsidR="003D23DE" w:rsidRPr="009A539C">
        <w:rPr>
          <w:rFonts w:eastAsia="Calibri" w:cstheme="minorHAnsi"/>
        </w:rPr>
        <w:t>.</w:t>
      </w:r>
    </w:p>
    <w:p w14:paraId="5CEFB6DF" w14:textId="77777777" w:rsidR="007452A0" w:rsidRPr="009A539C" w:rsidRDefault="007452A0" w:rsidP="00A45DB8">
      <w:pPr>
        <w:spacing w:after="0" w:line="360" w:lineRule="auto"/>
        <w:ind w:right="-1" w:firstLine="284"/>
        <w:jc w:val="both"/>
        <w:rPr>
          <w:rFonts w:eastAsia="Calibri" w:cstheme="minorHAnsi"/>
        </w:rPr>
      </w:pPr>
    </w:p>
    <w:p w14:paraId="73477D39" w14:textId="503D071E" w:rsidR="007452A0" w:rsidRPr="009A539C" w:rsidRDefault="007452A0" w:rsidP="00A45DB8">
      <w:pPr>
        <w:spacing w:after="0" w:line="360" w:lineRule="auto"/>
        <w:ind w:right="-1" w:firstLine="284"/>
        <w:jc w:val="both"/>
        <w:rPr>
          <w:rFonts w:eastAsia="Calibri" w:cs="Calibri"/>
        </w:rPr>
      </w:pPr>
      <w:r w:rsidRPr="009A539C">
        <w:rPr>
          <w:rFonts w:eastAsia="Calibri" w:cstheme="minorHAnsi"/>
          <w:b/>
        </w:rPr>
        <w:t>IV.</w:t>
      </w:r>
      <w:r w:rsidRPr="009A539C">
        <w:rPr>
          <w:rFonts w:eastAsia="Calibri" w:cstheme="minorHAnsi"/>
        </w:rPr>
        <w:t xml:space="preserve"> Continua a observar-se grande diversidade de </w:t>
      </w:r>
      <w:r w:rsidR="00F2246D" w:rsidRPr="009A539C">
        <w:rPr>
          <w:rFonts w:eastAsia="Calibri" w:cstheme="minorHAnsi"/>
        </w:rPr>
        <w:t xml:space="preserve">opções </w:t>
      </w:r>
      <w:r w:rsidRPr="009A539C">
        <w:rPr>
          <w:rFonts w:eastAsia="Calibri" w:cstheme="minorHAnsi"/>
        </w:rPr>
        <w:t xml:space="preserve"> a propósito da determinação do subsídio de isenção de horário de trabalho. Não faltam</w:t>
      </w:r>
      <w:r w:rsidRPr="009A539C">
        <w:rPr>
          <w:rFonts w:eastAsia="Calibri" w:cs="Calibri"/>
        </w:rPr>
        <w:t xml:space="preserve"> </w:t>
      </w:r>
      <w:r w:rsidRPr="009A539C">
        <w:rPr>
          <w:rFonts w:eastAsia="Calibri" w:cstheme="minorHAnsi"/>
        </w:rPr>
        <w:t>convenções que acolhem o regime legal</w:t>
      </w:r>
      <w:r w:rsidRPr="009A539C">
        <w:rPr>
          <w:rFonts w:eastAsia="Calibri" w:cstheme="minorHAnsi"/>
          <w:vertAlign w:val="superscript"/>
        </w:rPr>
        <w:footnoteReference w:id="438"/>
      </w:r>
      <w:r w:rsidRPr="009A539C">
        <w:rPr>
          <w:rFonts w:eastAsia="Calibri" w:cstheme="minorHAnsi"/>
        </w:rPr>
        <w:t>, algumas especificando que essa remuneração inte</w:t>
      </w:r>
      <w:r w:rsidR="00F76721" w:rsidRPr="009A539C">
        <w:rPr>
          <w:rFonts w:eastAsia="Calibri" w:cstheme="minorHAnsi"/>
        </w:rPr>
        <w:t xml:space="preserve">gra subsídio de férias e natal </w:t>
      </w:r>
      <w:r w:rsidRPr="009A539C">
        <w:rPr>
          <w:rFonts w:eastAsia="Calibri" w:cs="Calibri"/>
          <w:vertAlign w:val="superscript"/>
        </w:rPr>
        <w:footnoteReference w:id="439"/>
      </w:r>
      <w:r w:rsidRPr="009A539C">
        <w:rPr>
          <w:rFonts w:eastAsia="Calibri" w:cs="Calibri"/>
        </w:rPr>
        <w:t>. Deparamos, contudo, com soluções muito variadas que abrangem, sobretudo:</w:t>
      </w:r>
    </w:p>
    <w:p w14:paraId="189BE959" w14:textId="77777777" w:rsidR="007452A0" w:rsidRPr="009A539C" w:rsidRDefault="007452A0" w:rsidP="00A45DB8">
      <w:pPr>
        <w:numPr>
          <w:ilvl w:val="0"/>
          <w:numId w:val="40"/>
        </w:numPr>
        <w:spacing w:after="0" w:line="360" w:lineRule="auto"/>
        <w:ind w:left="567" w:right="-1" w:hanging="283"/>
        <w:jc w:val="both"/>
        <w:rPr>
          <w:rFonts w:eastAsia="Calibri" w:cs="Calibri"/>
        </w:rPr>
      </w:pPr>
      <w:r w:rsidRPr="009A539C">
        <w:rPr>
          <w:rFonts w:eastAsia="Calibri" w:cs="Calibri"/>
        </w:rPr>
        <w:t>o estabelecimento de uma percentagem da retribuição mensal</w:t>
      </w:r>
      <w:r w:rsidRPr="009A539C">
        <w:rPr>
          <w:rFonts w:cs="Times New Roman"/>
          <w:vertAlign w:val="superscript"/>
        </w:rPr>
        <w:footnoteReference w:id="440"/>
      </w:r>
      <w:r w:rsidRPr="009A539C">
        <w:rPr>
          <w:rFonts w:eastAsia="Calibri" w:cs="Calibri"/>
        </w:rPr>
        <w:t>, com  amplitudes variáveis, que pode ser diferenciada em função da modalidade de isenção</w:t>
      </w:r>
      <w:r w:rsidRPr="009A539C">
        <w:rPr>
          <w:rFonts w:cs="Times New Roman"/>
          <w:vertAlign w:val="superscript"/>
        </w:rPr>
        <w:footnoteReference w:id="441"/>
      </w:r>
      <w:r w:rsidRPr="009A539C">
        <w:rPr>
          <w:rFonts w:eastAsia="Calibri" w:cs="Calibri"/>
        </w:rPr>
        <w:t xml:space="preserve"> ;</w:t>
      </w:r>
    </w:p>
    <w:p w14:paraId="3053B5B4" w14:textId="77777777" w:rsidR="007452A0" w:rsidRPr="009A539C" w:rsidRDefault="007452A0" w:rsidP="00A45DB8">
      <w:pPr>
        <w:numPr>
          <w:ilvl w:val="0"/>
          <w:numId w:val="40"/>
        </w:numPr>
        <w:spacing w:after="0" w:line="360" w:lineRule="auto"/>
        <w:ind w:left="567" w:right="-1" w:hanging="283"/>
        <w:jc w:val="both"/>
        <w:rPr>
          <w:rFonts w:eastAsia="Calibri" w:cs="Calibri"/>
        </w:rPr>
      </w:pPr>
      <w:r w:rsidRPr="009A539C">
        <w:rPr>
          <w:rFonts w:eastAsia="Calibri" w:cs="Calibri"/>
        </w:rPr>
        <w:t>a fixação de um montante a partir do valor da hora de trabalho suplementar, mas em moldes diferentes do previsto na lei</w:t>
      </w:r>
      <w:r w:rsidRPr="009A539C">
        <w:rPr>
          <w:rFonts w:cs="Times New Roman"/>
          <w:vertAlign w:val="superscript"/>
        </w:rPr>
        <w:footnoteReference w:id="442"/>
      </w:r>
      <w:r w:rsidRPr="009A539C">
        <w:rPr>
          <w:rFonts w:eastAsia="Calibri" w:cs="Calibri"/>
        </w:rPr>
        <w:t>;</w:t>
      </w:r>
    </w:p>
    <w:p w14:paraId="166E80FA" w14:textId="76CF338B" w:rsidR="007452A0" w:rsidRPr="009A539C" w:rsidRDefault="00F2246D" w:rsidP="00A45DB8">
      <w:pPr>
        <w:numPr>
          <w:ilvl w:val="0"/>
          <w:numId w:val="40"/>
        </w:numPr>
        <w:spacing w:after="0" w:line="360" w:lineRule="auto"/>
        <w:ind w:left="567" w:right="-1" w:hanging="283"/>
        <w:jc w:val="both"/>
        <w:rPr>
          <w:rFonts w:eastAsia="Calibri" w:cs="Calibri"/>
        </w:rPr>
      </w:pPr>
      <w:r w:rsidRPr="009A539C">
        <w:rPr>
          <w:rFonts w:eastAsia="Calibri" w:cs="Calibri"/>
        </w:rPr>
        <w:t>atribuição de</w:t>
      </w:r>
      <w:r w:rsidR="007452A0" w:rsidRPr="009A539C">
        <w:rPr>
          <w:rFonts w:eastAsia="Calibri" w:cs="Calibri"/>
        </w:rPr>
        <w:t xml:space="preserve"> um subsídio (de mínimos) </w:t>
      </w:r>
      <w:r w:rsidRPr="009A539C">
        <w:rPr>
          <w:rFonts w:eastAsia="Calibri" w:cs="Calibri"/>
        </w:rPr>
        <w:t>equivalente a</w:t>
      </w:r>
      <w:r w:rsidR="007452A0" w:rsidRPr="009A539C">
        <w:rPr>
          <w:rFonts w:eastAsia="Calibri" w:cs="Calibri"/>
        </w:rPr>
        <w:t xml:space="preserve"> 3  horas de prestação de trabalho normal por dia</w:t>
      </w:r>
      <w:r w:rsidR="007452A0" w:rsidRPr="009A539C">
        <w:rPr>
          <w:rFonts w:cs="Times New Roman"/>
          <w:vertAlign w:val="superscript"/>
        </w:rPr>
        <w:footnoteReference w:id="443"/>
      </w:r>
      <w:r w:rsidR="007452A0" w:rsidRPr="009A539C">
        <w:rPr>
          <w:rFonts w:eastAsia="Calibri" w:cs="Calibri"/>
        </w:rPr>
        <w:t>.</w:t>
      </w:r>
    </w:p>
    <w:p w14:paraId="2856AE58" w14:textId="77777777" w:rsidR="007452A0" w:rsidRPr="009A539C" w:rsidRDefault="007452A0" w:rsidP="00A45DB8">
      <w:pPr>
        <w:spacing w:after="0" w:line="360" w:lineRule="auto"/>
        <w:ind w:left="567" w:right="-1" w:hanging="283"/>
        <w:jc w:val="both"/>
        <w:rPr>
          <w:rFonts w:eastAsia="Calibri" w:cs="Calibri"/>
        </w:rPr>
      </w:pPr>
    </w:p>
    <w:p w14:paraId="206B304D" w14:textId="1247C4E4" w:rsidR="007452A0" w:rsidRPr="009A539C" w:rsidRDefault="007452A0" w:rsidP="00A45DB8">
      <w:pPr>
        <w:spacing w:after="0" w:line="360" w:lineRule="auto"/>
        <w:ind w:right="-1" w:firstLine="284"/>
        <w:jc w:val="both"/>
        <w:rPr>
          <w:rFonts w:eastAsia="Calibri" w:cs="Calibri"/>
        </w:rPr>
      </w:pPr>
      <w:r w:rsidRPr="009A539C">
        <w:rPr>
          <w:rFonts w:eastAsia="Calibri" w:cs="Calibri"/>
          <w:b/>
        </w:rPr>
        <w:t>V</w:t>
      </w:r>
      <w:r w:rsidRPr="009A539C">
        <w:rPr>
          <w:rFonts w:eastAsia="Calibri" w:cs="Calibri"/>
        </w:rPr>
        <w:t>. No ano de 2019 encontramos diversas convenções coletivas, do setor dos seguros, que regulam a cessação da aplicação do regime de isenção, definindo diferentes modalidades, em formulações únicas ou alternadamente: termo do prazo</w:t>
      </w:r>
      <w:r w:rsidRPr="009A539C">
        <w:rPr>
          <w:rFonts w:eastAsia="Calibri" w:cs="Calibri"/>
          <w:vertAlign w:val="superscript"/>
        </w:rPr>
        <w:footnoteReference w:id="444"/>
      </w:r>
      <w:r w:rsidRPr="009A539C">
        <w:rPr>
          <w:rFonts w:eastAsia="Calibri" w:cs="Calibri"/>
        </w:rPr>
        <w:t xml:space="preserve">, cessação por acordo </w:t>
      </w:r>
      <w:r w:rsidRPr="009A539C">
        <w:rPr>
          <w:rFonts w:eastAsia="Calibri" w:cs="Calibri"/>
          <w:vertAlign w:val="superscript"/>
        </w:rPr>
        <w:footnoteReference w:id="445"/>
      </w:r>
      <w:r w:rsidRPr="009A539C">
        <w:rPr>
          <w:rFonts w:eastAsia="Calibri" w:cs="Calibri"/>
        </w:rPr>
        <w:t xml:space="preserve">  ou den</w:t>
      </w:r>
      <w:r w:rsidR="00CE08BA" w:rsidRPr="009A539C">
        <w:rPr>
          <w:rFonts w:eastAsia="Calibri" w:cs="Calibri"/>
        </w:rPr>
        <w:t>ú</w:t>
      </w:r>
      <w:r w:rsidRPr="009A539C">
        <w:rPr>
          <w:rFonts w:eastAsia="Calibri" w:cs="Calibri"/>
        </w:rPr>
        <w:t>ncia  do empregador, observando-se um período de pré-aviso</w:t>
      </w:r>
      <w:r w:rsidRPr="009A539C">
        <w:rPr>
          <w:rFonts w:eastAsia="Calibri" w:cs="Calibri"/>
          <w:vertAlign w:val="superscript"/>
        </w:rPr>
        <w:footnoteReference w:id="446"/>
      </w:r>
      <w:r w:rsidRPr="009A539C">
        <w:rPr>
          <w:rFonts w:eastAsia="Calibri" w:cs="Calibri"/>
        </w:rPr>
        <w:t xml:space="preserve">  .</w:t>
      </w:r>
    </w:p>
    <w:p w14:paraId="4B28B4A4" w14:textId="77777777" w:rsidR="007452A0" w:rsidRPr="009A539C" w:rsidRDefault="007452A0" w:rsidP="00642AA5">
      <w:pPr>
        <w:spacing w:after="0" w:line="360" w:lineRule="auto"/>
        <w:ind w:left="993" w:right="-1"/>
        <w:jc w:val="both"/>
        <w:rPr>
          <w:rFonts w:eastAsia="Calibri" w:cs="Calibri"/>
        </w:rPr>
      </w:pPr>
    </w:p>
    <w:p w14:paraId="73A6DA08" w14:textId="406B3A06" w:rsidR="007452A0" w:rsidRPr="009A539C" w:rsidRDefault="007452A0" w:rsidP="00CE08BA">
      <w:pPr>
        <w:pStyle w:val="PargrafodaLista"/>
        <w:numPr>
          <w:ilvl w:val="0"/>
          <w:numId w:val="1"/>
        </w:numPr>
        <w:spacing w:after="0" w:line="360" w:lineRule="auto"/>
        <w:ind w:left="0" w:right="-1" w:firstLine="284"/>
        <w:jc w:val="both"/>
        <w:rPr>
          <w:rFonts w:eastAsia="Calibri" w:cs="Calibri"/>
        </w:rPr>
      </w:pPr>
      <w:r w:rsidRPr="009A539C">
        <w:rPr>
          <w:rFonts w:eastAsia="Calibri" w:cs="Calibri"/>
        </w:rPr>
        <w:t>As modalidades de isenção de horário de trabalho previstas na lei são taxativas, não consentido a criação de esquemas diferentes. Encontramos, porém, um regime  que prevê que ao trabalhador isento de horário não podem ser impostas as horas de início e do termo do período normal de trabalho diário, apresentando-se, nesta medida, como verdadeira dispensa de horário de trabalho (e não tanto como verdadeira isenção de horário).</w:t>
      </w:r>
      <w:r w:rsidRPr="009A539C">
        <w:footnoteReference w:id="447"/>
      </w:r>
    </w:p>
    <w:p w14:paraId="630758AB" w14:textId="77777777" w:rsidR="007452A0" w:rsidRPr="009A539C" w:rsidRDefault="007452A0" w:rsidP="00642AA5">
      <w:pPr>
        <w:spacing w:after="0" w:line="360" w:lineRule="auto"/>
        <w:ind w:left="993" w:right="-1"/>
        <w:jc w:val="both"/>
        <w:rPr>
          <w:rFonts w:eastAsia="Calibri" w:cs="Calibri"/>
        </w:rPr>
      </w:pPr>
    </w:p>
    <w:p w14:paraId="2BE18A63" w14:textId="03E63794" w:rsidR="007452A0" w:rsidRPr="009A539C" w:rsidRDefault="007452A0" w:rsidP="00CE08BA">
      <w:pPr>
        <w:spacing w:after="0" w:line="360" w:lineRule="auto"/>
        <w:ind w:right="-1" w:firstLine="284"/>
        <w:jc w:val="both"/>
        <w:rPr>
          <w:rFonts w:eastAsia="Calibri" w:cs="Calibri"/>
          <w:lang w:eastAsia="pt-PT"/>
        </w:rPr>
      </w:pPr>
      <w:r w:rsidRPr="009A539C">
        <w:rPr>
          <w:rFonts w:eastAsia="Calibri" w:cs="Calibri"/>
          <w:lang w:eastAsia="pt-PT"/>
        </w:rPr>
        <w:t xml:space="preserve">Na comparação com versão anterior do mesmo instrumento negocial (anexo – quadro </w:t>
      </w:r>
      <w:r w:rsidR="00CE08BA" w:rsidRPr="009A539C">
        <w:rPr>
          <w:rFonts w:eastAsia="Calibri" w:cs="Calibri"/>
          <w:lang w:eastAsia="pt-PT"/>
        </w:rPr>
        <w:t>10</w:t>
      </w:r>
      <w:r w:rsidRPr="009A539C">
        <w:rPr>
          <w:rFonts w:eastAsia="Calibri" w:cs="Calibri"/>
          <w:lang w:eastAsia="pt-PT"/>
        </w:rPr>
        <w:t>), salienta-se a existência de um novo conteúdo em duas revisões globais e a modificação do regime anterior</w:t>
      </w:r>
      <w:r w:rsidR="003D23DE" w:rsidRPr="009A539C">
        <w:rPr>
          <w:rFonts w:eastAsia="Calibri" w:cs="Calibri"/>
          <w:lang w:eastAsia="pt-PT"/>
        </w:rPr>
        <w:t xml:space="preserve"> numa revisão global e em duas </w:t>
      </w:r>
      <w:r w:rsidRPr="009A539C">
        <w:rPr>
          <w:rFonts w:eastAsia="Calibri" w:cs="Calibri"/>
          <w:lang w:eastAsia="pt-PT"/>
        </w:rPr>
        <w:t xml:space="preserve">revisões parciais.  </w:t>
      </w:r>
    </w:p>
    <w:p w14:paraId="0686D1E2" w14:textId="77777777" w:rsidR="007452A0" w:rsidRPr="009A539C" w:rsidRDefault="007452A0" w:rsidP="00CE08BA">
      <w:pPr>
        <w:spacing w:after="0" w:line="360" w:lineRule="auto"/>
        <w:ind w:left="993" w:right="-1" w:firstLine="284"/>
        <w:jc w:val="both"/>
        <w:rPr>
          <w:rFonts w:eastAsia="Calibri" w:cs="Calibri"/>
          <w:lang w:eastAsia="pt-PT"/>
        </w:rPr>
      </w:pPr>
      <w:r w:rsidRPr="009A539C">
        <w:rPr>
          <w:rFonts w:eastAsia="Calibri" w:cs="Calibri"/>
          <w:lang w:eastAsia="pt-PT"/>
        </w:rPr>
        <w:t xml:space="preserve"> </w:t>
      </w:r>
    </w:p>
    <w:p w14:paraId="7D2E7D60" w14:textId="77777777" w:rsidR="007452A0" w:rsidRPr="009A539C" w:rsidRDefault="007452A0" w:rsidP="00642AA5">
      <w:pPr>
        <w:spacing w:after="0" w:line="360" w:lineRule="auto"/>
        <w:ind w:left="993" w:right="-1"/>
        <w:rPr>
          <w:rFonts w:cs="Times New Roman"/>
          <w:color w:val="00000A"/>
        </w:rPr>
      </w:pPr>
    </w:p>
    <w:p w14:paraId="7B8CC781" w14:textId="77777777" w:rsidR="007452A0" w:rsidRPr="009A539C" w:rsidRDefault="007452A0" w:rsidP="00642AA5">
      <w:pPr>
        <w:pStyle w:val="PargrafodaLista"/>
        <w:ind w:left="993" w:right="-1"/>
        <w:rPr>
          <w:rFonts w:ascii="Calibri" w:hAnsi="Calibri" w:cs="Calibri"/>
        </w:rPr>
      </w:pPr>
    </w:p>
    <w:p w14:paraId="62CE94F9" w14:textId="77777777" w:rsidR="007452A0" w:rsidRPr="009A539C" w:rsidRDefault="007452A0" w:rsidP="00642AA5">
      <w:pPr>
        <w:pStyle w:val="PargrafodaLista"/>
        <w:ind w:left="993" w:right="-1"/>
        <w:rPr>
          <w:rFonts w:ascii="Calibri" w:hAnsi="Calibri" w:cs="Calibri"/>
        </w:rPr>
      </w:pPr>
    </w:p>
    <w:p w14:paraId="2A361110" w14:textId="77777777" w:rsidR="007452A0" w:rsidRPr="009A539C" w:rsidRDefault="007452A0" w:rsidP="00642AA5">
      <w:pPr>
        <w:pStyle w:val="PargrafodaLista"/>
        <w:ind w:left="993" w:right="-1"/>
        <w:rPr>
          <w:rFonts w:ascii="Calibri" w:hAnsi="Calibri" w:cs="Calibri"/>
        </w:rPr>
      </w:pPr>
    </w:p>
    <w:p w14:paraId="77396F45" w14:textId="77777777" w:rsidR="007452A0" w:rsidRPr="009A539C" w:rsidRDefault="007452A0" w:rsidP="00642AA5">
      <w:pPr>
        <w:pStyle w:val="PargrafodaLista"/>
        <w:ind w:left="993" w:right="-1"/>
        <w:rPr>
          <w:rFonts w:ascii="Calibri" w:hAnsi="Calibri" w:cs="Calibri"/>
        </w:rPr>
      </w:pPr>
    </w:p>
    <w:p w14:paraId="716EAFD0" w14:textId="77777777" w:rsidR="007452A0" w:rsidRPr="009A539C" w:rsidRDefault="007452A0" w:rsidP="00642AA5">
      <w:pPr>
        <w:spacing w:line="360" w:lineRule="auto"/>
        <w:ind w:left="993" w:right="-1"/>
        <w:outlineLvl w:val="4"/>
        <w:rPr>
          <w:rFonts w:ascii="Calibri" w:hAnsi="Calibri" w:cs="Calibri"/>
        </w:rPr>
      </w:pPr>
    </w:p>
    <w:p w14:paraId="3E5BA13E" w14:textId="77777777" w:rsidR="00173F99" w:rsidRPr="009A539C" w:rsidRDefault="00173F99" w:rsidP="00642AA5">
      <w:pPr>
        <w:spacing w:line="360" w:lineRule="auto"/>
        <w:ind w:left="993" w:right="-1"/>
        <w:outlineLvl w:val="4"/>
        <w:rPr>
          <w:rFonts w:ascii="Calibri" w:hAnsi="Calibri" w:cs="Calibri"/>
        </w:rPr>
      </w:pPr>
    </w:p>
    <w:p w14:paraId="5C45A9E7" w14:textId="77777777" w:rsidR="00DD6108" w:rsidRPr="009A539C" w:rsidRDefault="00DD6108" w:rsidP="00B90788">
      <w:pPr>
        <w:ind w:right="-1"/>
        <w:rPr>
          <w:rFonts w:ascii="Calibri" w:hAnsi="Calibri" w:cs="Calibri"/>
        </w:rPr>
      </w:pPr>
      <w:r w:rsidRPr="009A539C">
        <w:rPr>
          <w:rFonts w:ascii="Calibri" w:hAnsi="Calibri" w:cs="Calibri"/>
        </w:rPr>
        <w:br w:type="page"/>
      </w:r>
    </w:p>
    <w:p w14:paraId="2A56A3B9" w14:textId="561AE75C" w:rsidR="003A7DF9" w:rsidRPr="00B41016" w:rsidRDefault="005E7447" w:rsidP="00B41016">
      <w:pPr>
        <w:pStyle w:val="PargrafodaLista"/>
        <w:numPr>
          <w:ilvl w:val="2"/>
          <w:numId w:val="50"/>
        </w:numPr>
        <w:spacing w:line="360" w:lineRule="auto"/>
        <w:ind w:left="851" w:right="-1"/>
        <w:outlineLvl w:val="2"/>
        <w:rPr>
          <w:rFonts w:ascii="Calibri" w:hAnsi="Calibri" w:cs="Calibri"/>
          <w:b/>
          <w:sz w:val="24"/>
          <w:szCs w:val="24"/>
        </w:rPr>
      </w:pPr>
      <w:bookmarkStart w:id="702" w:name="_Toc45535723"/>
      <w:r w:rsidRPr="009A539C">
        <w:rPr>
          <w:rFonts w:ascii="Calibri" w:hAnsi="Calibri" w:cs="Calibri"/>
          <w:b/>
          <w:sz w:val="24"/>
          <w:szCs w:val="24"/>
        </w:rPr>
        <w:t>Promoção das qualificações dos trabalhadores</w:t>
      </w:r>
      <w:bookmarkStart w:id="703" w:name="_Toc44606610"/>
      <w:bookmarkStart w:id="704" w:name="_Toc44606723"/>
      <w:bookmarkStart w:id="705" w:name="_Toc44606837"/>
      <w:bookmarkStart w:id="706" w:name="_Toc44606952"/>
      <w:bookmarkStart w:id="707" w:name="_Toc44607066"/>
      <w:bookmarkStart w:id="708" w:name="_Toc44607177"/>
      <w:bookmarkStart w:id="709" w:name="_Toc44607549"/>
      <w:bookmarkStart w:id="710" w:name="_Toc44607826"/>
      <w:bookmarkStart w:id="711" w:name="_Toc44607913"/>
      <w:bookmarkStart w:id="712" w:name="_Toc44608236"/>
      <w:bookmarkStart w:id="713" w:name="_Toc44608317"/>
      <w:bookmarkStart w:id="714" w:name="_Toc44608439"/>
      <w:bookmarkStart w:id="715" w:name="_Toc44608513"/>
      <w:bookmarkStart w:id="716" w:name="_Toc44608587"/>
      <w:bookmarkStart w:id="717" w:name="_Toc44609674"/>
      <w:bookmarkStart w:id="718" w:name="_Toc45535724"/>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p w14:paraId="5D3CC19B" w14:textId="065FF56A" w:rsidR="00604AF9" w:rsidRPr="009A539C" w:rsidRDefault="00604AF9" w:rsidP="00AF188D">
      <w:pPr>
        <w:pStyle w:val="PargrafodaLista"/>
        <w:numPr>
          <w:ilvl w:val="3"/>
          <w:numId w:val="50"/>
        </w:numPr>
        <w:spacing w:before="240" w:line="360" w:lineRule="auto"/>
        <w:ind w:left="850"/>
        <w:jc w:val="both"/>
        <w:outlineLvl w:val="3"/>
        <w:rPr>
          <w:rFonts w:ascii="Calibri" w:hAnsi="Calibri" w:cs="Calibri"/>
        </w:rPr>
      </w:pPr>
      <w:bookmarkStart w:id="719" w:name="_Toc45535725"/>
      <w:r w:rsidRPr="009A539C">
        <w:rPr>
          <w:rFonts w:ascii="Calibri" w:hAnsi="Calibri" w:cs="Calibri"/>
        </w:rPr>
        <w:t>Enquadramento geral</w:t>
      </w:r>
      <w:bookmarkEnd w:id="719"/>
    </w:p>
    <w:p w14:paraId="7EDC3E8F" w14:textId="77777777" w:rsidR="00DD6108" w:rsidRPr="009A539C" w:rsidRDefault="00DD6108" w:rsidP="00B90788">
      <w:pPr>
        <w:pStyle w:val="PargrafodaLista"/>
        <w:spacing w:before="360" w:after="0" w:line="360" w:lineRule="auto"/>
        <w:ind w:right="-1"/>
        <w:outlineLvl w:val="3"/>
        <w:rPr>
          <w:rFonts w:ascii="Calibri" w:hAnsi="Calibri" w:cs="Calibri"/>
          <w:b/>
        </w:rPr>
      </w:pPr>
    </w:p>
    <w:p w14:paraId="6258E4CA" w14:textId="3A27249B" w:rsidR="003B265A" w:rsidRPr="009A539C" w:rsidRDefault="003B265A" w:rsidP="00A95C56">
      <w:pPr>
        <w:pStyle w:val="PargrafodaLista"/>
        <w:widowControl w:val="0"/>
        <w:numPr>
          <w:ilvl w:val="0"/>
          <w:numId w:val="12"/>
        </w:numPr>
        <w:tabs>
          <w:tab w:val="left" w:pos="851"/>
        </w:tabs>
        <w:autoSpaceDE w:val="0"/>
        <w:autoSpaceDN w:val="0"/>
        <w:spacing w:before="240" w:after="0" w:line="360" w:lineRule="auto"/>
        <w:ind w:left="0" w:right="-1" w:firstLine="426"/>
        <w:jc w:val="both"/>
        <w:rPr>
          <w:rFonts w:eastAsia="Calibri" w:cs="Times New Roman"/>
          <w:color w:val="00000A"/>
        </w:rPr>
      </w:pPr>
      <w:r w:rsidRPr="009A539C">
        <w:rPr>
          <w:rFonts w:cs="Times New Roman"/>
          <w:color w:val="00000A"/>
          <w:lang w:eastAsia="pt-PT" w:bidi="pt-PT"/>
        </w:rPr>
        <w:t xml:space="preserve">Desde a primeira edição do Relatório, em 2015, que se reserva um ponto específico para análise das matérias associadas à qualificação dos trabalhadores, no segmento quer da formação profissional, quer do estatuto do trabalhador-estudante. </w:t>
      </w:r>
      <w:r w:rsidR="00AA3FA1" w:rsidRPr="009A539C">
        <w:rPr>
          <w:rFonts w:eastAsia="Calibri" w:cs="Times New Roman"/>
          <w:color w:val="00000A"/>
        </w:rPr>
        <w:t>Prosseguindo a</w:t>
      </w:r>
      <w:r w:rsidRPr="009A539C">
        <w:rPr>
          <w:rFonts w:eastAsia="Calibri" w:cs="Times New Roman"/>
          <w:color w:val="00000A"/>
        </w:rPr>
        <w:t xml:space="preserve"> abordagem dos Relatórios anteriores</w:t>
      </w:r>
      <w:r w:rsidRPr="009A539C">
        <w:rPr>
          <w:rFonts w:eastAsia="Calibri"/>
          <w:vertAlign w:val="superscript"/>
        </w:rPr>
        <w:footnoteReference w:id="448"/>
      </w:r>
      <w:r w:rsidRPr="009A539C">
        <w:rPr>
          <w:rFonts w:eastAsia="Calibri" w:cs="Times New Roman"/>
          <w:color w:val="00000A"/>
        </w:rPr>
        <w:t>, pretende-se, deste modo, complementar a análise efetuada no capítulo relativo às recomendações do artigo 492.º, n.ºs 2 e 3 do Código do Trabalho</w:t>
      </w:r>
      <w:r w:rsidRPr="009A539C">
        <w:rPr>
          <w:rFonts w:eastAsia="Calibri"/>
          <w:vertAlign w:val="superscript"/>
        </w:rPr>
        <w:footnoteReference w:id="449"/>
      </w:r>
      <w:r w:rsidRPr="009A539C">
        <w:rPr>
          <w:rFonts w:eastAsia="Calibri" w:cs="Times New Roman"/>
          <w:color w:val="00000A"/>
        </w:rPr>
        <w:t xml:space="preserve"> </w:t>
      </w:r>
      <w:r w:rsidRPr="009A539C">
        <w:rPr>
          <w:rFonts w:cs="Times New Roman"/>
          <w:color w:val="00000A"/>
          <w:lang w:eastAsia="pt-PT" w:bidi="pt-PT"/>
        </w:rPr>
        <w:t>(previsto nos arts. 130.º a 134.º e 89.º a 96.º-A do CT e Lei n.º 105/2009, de 14 de setembro).</w:t>
      </w:r>
    </w:p>
    <w:p w14:paraId="074E0881" w14:textId="77777777" w:rsidR="003B265A" w:rsidRPr="009A539C" w:rsidRDefault="003B265A" w:rsidP="00A95C56">
      <w:pPr>
        <w:pStyle w:val="PargrafodaLista"/>
        <w:widowControl w:val="0"/>
        <w:numPr>
          <w:ilvl w:val="0"/>
          <w:numId w:val="12"/>
        </w:numPr>
        <w:tabs>
          <w:tab w:val="left" w:pos="851"/>
        </w:tabs>
        <w:autoSpaceDE w:val="0"/>
        <w:autoSpaceDN w:val="0"/>
        <w:spacing w:before="240" w:line="360" w:lineRule="auto"/>
        <w:ind w:left="0" w:right="-1" w:firstLine="426"/>
        <w:jc w:val="both"/>
        <w:rPr>
          <w:rFonts w:eastAsia="Calibri" w:cstheme="minorHAnsi"/>
        </w:rPr>
      </w:pPr>
      <w:r w:rsidRPr="009A539C">
        <w:rPr>
          <w:rFonts w:eastAsia="Calibri" w:cstheme="minorHAnsi"/>
        </w:rPr>
        <w:t xml:space="preserve">Em termos gerais, a matéria da qualificação dos trabalhadores é versada em 90 das 240 convenções coletivas de trabalho publicadas em 2019 - ou seja, em cerca de (38%) das convenções, nas quais continua a predominar a sua negociação ao nível da empresa (AE), (Quadro 61).   </w:t>
      </w:r>
    </w:p>
    <w:p w14:paraId="57A8FEA6" w14:textId="77777777" w:rsidR="003B265A" w:rsidRPr="009A539C" w:rsidRDefault="003B265A" w:rsidP="00B90788">
      <w:pPr>
        <w:widowControl w:val="0"/>
        <w:tabs>
          <w:tab w:val="left" w:pos="851"/>
        </w:tabs>
        <w:autoSpaceDE w:val="0"/>
        <w:autoSpaceDN w:val="0"/>
        <w:spacing w:before="240" w:line="360" w:lineRule="auto"/>
        <w:ind w:right="-1"/>
        <w:jc w:val="both"/>
        <w:rPr>
          <w:rFonts w:eastAsia="Calibri" w:cstheme="minorHAnsi"/>
        </w:rPr>
      </w:pPr>
    </w:p>
    <w:p w14:paraId="093E1294" w14:textId="314C34F4" w:rsidR="003B265A" w:rsidRPr="009A539C" w:rsidRDefault="00785B2A" w:rsidP="00343774">
      <w:pPr>
        <w:pStyle w:val="Legenda"/>
        <w:jc w:val="center"/>
      </w:pPr>
      <w:bookmarkStart w:id="720" w:name="_Toc15654999"/>
      <w:bookmarkStart w:id="721" w:name="_Toc45716683"/>
      <w:r w:rsidRPr="009A539C">
        <w:t xml:space="preserve">Quadro </w:t>
      </w:r>
      <w:fldSimple w:instr=" SEQ Quadro \* ARABIC ">
        <w:r w:rsidR="00D821DE">
          <w:rPr>
            <w:noProof/>
          </w:rPr>
          <w:t>62</w:t>
        </w:r>
      </w:fldSimple>
      <w:r w:rsidR="003B265A" w:rsidRPr="009A539C">
        <w:t xml:space="preserve"> - Convenções publicadas com cláusulas sobre Formação Profiss</w:t>
      </w:r>
      <w:r w:rsidR="00173F99" w:rsidRPr="009A539C">
        <w:t>ional e/ou Trabalhador-Estudante</w:t>
      </w:r>
      <w:r w:rsidR="00300D97" w:rsidRPr="009A539C">
        <w:t xml:space="preserve"> </w:t>
      </w:r>
      <w:r w:rsidR="003B265A" w:rsidRPr="009A539C">
        <w:t>(por tipo), 2019 e 201</w:t>
      </w:r>
      <w:bookmarkEnd w:id="720"/>
      <w:r w:rsidR="003B265A" w:rsidRPr="009A539C">
        <w:t>8</w:t>
      </w:r>
      <w:bookmarkEnd w:id="721"/>
    </w:p>
    <w:p w14:paraId="7A2D6A01" w14:textId="771E75D0" w:rsidR="00070842" w:rsidRPr="009A539C" w:rsidRDefault="00070842" w:rsidP="00070842">
      <w:pPr>
        <w:jc w:val="center"/>
      </w:pPr>
      <w:r w:rsidRPr="009A539C">
        <w:rPr>
          <w:noProof/>
          <w:lang w:eastAsia="pt-PT"/>
        </w:rPr>
        <w:drawing>
          <wp:inline distT="0" distB="0" distL="0" distR="0" wp14:anchorId="7507C202" wp14:editId="725662F0">
            <wp:extent cx="5702300" cy="2303145"/>
            <wp:effectExtent l="0" t="0" r="0" b="1905"/>
            <wp:docPr id="1208" name="Imagem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02300" cy="2303145"/>
                    </a:xfrm>
                    <a:prstGeom prst="rect">
                      <a:avLst/>
                    </a:prstGeom>
                    <a:noFill/>
                    <a:ln>
                      <a:noFill/>
                    </a:ln>
                  </pic:spPr>
                </pic:pic>
              </a:graphicData>
            </a:graphic>
          </wp:inline>
        </w:drawing>
      </w:r>
    </w:p>
    <w:p w14:paraId="3B48B1B5" w14:textId="77777777" w:rsidR="00070842" w:rsidRPr="009A539C" w:rsidRDefault="00070842" w:rsidP="00070842"/>
    <w:p w14:paraId="2D5B7D4D" w14:textId="55A55FA4" w:rsidR="003B265A" w:rsidRPr="009A539C" w:rsidRDefault="003B265A" w:rsidP="00B90788">
      <w:pPr>
        <w:ind w:right="-1"/>
        <w:jc w:val="center"/>
      </w:pPr>
    </w:p>
    <w:p w14:paraId="29E2BC08" w14:textId="77777777" w:rsidR="003B265A" w:rsidRPr="009A539C" w:rsidRDefault="003B265A" w:rsidP="00A95C56">
      <w:pPr>
        <w:pStyle w:val="PargrafodaLista"/>
        <w:widowControl w:val="0"/>
        <w:numPr>
          <w:ilvl w:val="0"/>
          <w:numId w:val="12"/>
        </w:numPr>
        <w:tabs>
          <w:tab w:val="left" w:pos="851"/>
        </w:tabs>
        <w:autoSpaceDE w:val="0"/>
        <w:autoSpaceDN w:val="0"/>
        <w:spacing w:before="240" w:line="360" w:lineRule="auto"/>
        <w:ind w:left="0" w:right="-1" w:firstLine="426"/>
        <w:jc w:val="both"/>
        <w:rPr>
          <w:rFonts w:eastAsia="Calibri" w:cstheme="minorHAnsi"/>
        </w:rPr>
      </w:pPr>
      <w:r w:rsidRPr="009A539C">
        <w:rPr>
          <w:rFonts w:eastAsia="Calibri" w:cstheme="minorHAnsi"/>
        </w:rPr>
        <w:t xml:space="preserve">À semelhança de anos precedentes, em 2019, os conteúdos sobre formação profissional são tratados com maior frequência e profundidade, comparativamente a trabalhador-estudante. Em qualquer dos casos, surgem tipicamente em primeiras convenções e revisões globais. Nas revisões parciais o tema é menos expressivo, surgindo, essencialmente, associado a apoios aos trabalhadores (por exemplo, apoio a deslocações </w:t>
      </w:r>
      <w:r w:rsidRPr="009A539C">
        <w:rPr>
          <w:vertAlign w:val="superscript"/>
        </w:rPr>
        <w:footnoteReference w:id="450"/>
      </w:r>
      <w:r w:rsidRPr="009A539C">
        <w:rPr>
          <w:rFonts w:eastAsia="Calibri" w:cstheme="minorHAnsi"/>
        </w:rPr>
        <w:t>)</w:t>
      </w:r>
      <w:r w:rsidRPr="009A539C">
        <w:rPr>
          <w:rFonts w:eastAsia="Arial" w:cstheme="minorHAnsi"/>
          <w:lang w:eastAsia="pt-PT" w:bidi="pt-PT"/>
        </w:rPr>
        <w:t xml:space="preserve"> (</w:t>
      </w:r>
      <w:r w:rsidRPr="009A539C">
        <w:rPr>
          <w:rFonts w:eastAsia="Calibri" w:cstheme="minorHAnsi"/>
        </w:rPr>
        <w:t>quadros 6</w:t>
      </w:r>
      <w:r w:rsidR="001B4B16" w:rsidRPr="009A539C">
        <w:rPr>
          <w:rFonts w:eastAsia="Calibri" w:cstheme="minorHAnsi"/>
        </w:rPr>
        <w:t>2</w:t>
      </w:r>
      <w:r w:rsidRPr="009A539C">
        <w:rPr>
          <w:rFonts w:eastAsia="Calibri" w:cstheme="minorHAnsi"/>
        </w:rPr>
        <w:t xml:space="preserve"> e 6</w:t>
      </w:r>
      <w:r w:rsidR="001B4B16" w:rsidRPr="009A539C">
        <w:rPr>
          <w:rFonts w:eastAsia="Calibri" w:cstheme="minorHAnsi"/>
        </w:rPr>
        <w:t>3</w:t>
      </w:r>
      <w:r w:rsidRPr="009A539C">
        <w:rPr>
          <w:rFonts w:eastAsia="Calibri" w:cstheme="minorHAnsi"/>
        </w:rPr>
        <w:t>)</w:t>
      </w:r>
      <w:r w:rsidRPr="009A539C">
        <w:rPr>
          <w:rFonts w:eastAsia="Arial" w:cstheme="minorHAnsi"/>
          <w:lang w:eastAsia="pt-PT" w:bidi="pt-PT"/>
        </w:rPr>
        <w:t>.</w:t>
      </w:r>
    </w:p>
    <w:p w14:paraId="7A543633" w14:textId="77777777" w:rsidR="00DD6108" w:rsidRPr="009A539C" w:rsidRDefault="00DD6108" w:rsidP="00B90788">
      <w:pPr>
        <w:pStyle w:val="PargrafodaLista"/>
        <w:widowControl w:val="0"/>
        <w:tabs>
          <w:tab w:val="left" w:pos="851"/>
        </w:tabs>
        <w:autoSpaceDE w:val="0"/>
        <w:autoSpaceDN w:val="0"/>
        <w:spacing w:before="240" w:line="360" w:lineRule="auto"/>
        <w:ind w:left="426" w:right="-1"/>
        <w:jc w:val="both"/>
        <w:rPr>
          <w:rFonts w:eastAsia="Calibri" w:cstheme="minorHAnsi"/>
        </w:rPr>
      </w:pPr>
    </w:p>
    <w:p w14:paraId="0BB044AE" w14:textId="6BE503CC" w:rsidR="00EC54E3" w:rsidRPr="009A539C" w:rsidRDefault="00785B2A" w:rsidP="00343774">
      <w:pPr>
        <w:pStyle w:val="Legenda"/>
        <w:jc w:val="center"/>
      </w:pPr>
      <w:bookmarkStart w:id="722" w:name="_Toc15655000"/>
      <w:bookmarkStart w:id="723" w:name="_Toc45716684"/>
      <w:r w:rsidRPr="009A539C">
        <w:t xml:space="preserve">Quadro </w:t>
      </w:r>
      <w:fldSimple w:instr=" SEQ Quadro \* ARABIC ">
        <w:r w:rsidR="00D821DE">
          <w:rPr>
            <w:noProof/>
          </w:rPr>
          <w:t>63</w:t>
        </w:r>
      </w:fldSimple>
      <w:r w:rsidR="00EC54E3" w:rsidRPr="009A539C">
        <w:t xml:space="preserve"> - Convenções publicadas com cláusulas sobre Forma</w:t>
      </w:r>
      <w:r w:rsidR="001267D1" w:rsidRPr="009A539C">
        <w:t xml:space="preserve">ção Profissional (por subtipo) </w:t>
      </w:r>
      <w:r w:rsidR="00070842" w:rsidRPr="009A539C">
        <w:t>–</w:t>
      </w:r>
      <w:r w:rsidR="001267D1" w:rsidRPr="009A539C">
        <w:t xml:space="preserve"> </w:t>
      </w:r>
      <w:r w:rsidR="00EC54E3" w:rsidRPr="009A539C">
        <w:t>201</w:t>
      </w:r>
      <w:bookmarkEnd w:id="722"/>
      <w:r w:rsidR="00892976" w:rsidRPr="009A539C">
        <w:t>9</w:t>
      </w:r>
      <w:bookmarkEnd w:id="723"/>
    </w:p>
    <w:p w14:paraId="669AAAAA" w14:textId="77777777" w:rsidR="00070842" w:rsidRPr="009A539C" w:rsidRDefault="00070842" w:rsidP="00070842"/>
    <w:p w14:paraId="04478E52" w14:textId="77777777" w:rsidR="00EC54E3" w:rsidRPr="009A539C" w:rsidRDefault="00EC54E3" w:rsidP="00B90788">
      <w:pPr>
        <w:widowControl w:val="0"/>
        <w:tabs>
          <w:tab w:val="left" w:pos="851"/>
        </w:tabs>
        <w:autoSpaceDE w:val="0"/>
        <w:autoSpaceDN w:val="0"/>
        <w:spacing w:before="240" w:line="360" w:lineRule="auto"/>
        <w:ind w:right="-1"/>
        <w:jc w:val="center"/>
        <w:rPr>
          <w:rFonts w:eastAsia="Calibri" w:cstheme="minorHAnsi"/>
        </w:rPr>
      </w:pPr>
      <w:r w:rsidRPr="009A539C">
        <w:rPr>
          <w:noProof/>
          <w:lang w:eastAsia="pt-PT"/>
        </w:rPr>
        <w:drawing>
          <wp:inline distT="0" distB="0" distL="0" distR="0" wp14:anchorId="2E10D89A" wp14:editId="57525094">
            <wp:extent cx="4695825" cy="1893822"/>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715627" cy="1901808"/>
                    </a:xfrm>
                    <a:prstGeom prst="rect">
                      <a:avLst/>
                    </a:prstGeom>
                    <a:noFill/>
                    <a:ln>
                      <a:noFill/>
                    </a:ln>
                  </pic:spPr>
                </pic:pic>
              </a:graphicData>
            </a:graphic>
          </wp:inline>
        </w:drawing>
      </w:r>
    </w:p>
    <w:p w14:paraId="482BA1BA" w14:textId="77777777" w:rsidR="001B4B16" w:rsidRPr="009A539C" w:rsidRDefault="001B4B16" w:rsidP="00B90788">
      <w:pPr>
        <w:pStyle w:val="Legenda"/>
        <w:ind w:right="-1"/>
      </w:pPr>
      <w:bookmarkStart w:id="724" w:name="_Toc15655001"/>
    </w:p>
    <w:p w14:paraId="4CE8306A" w14:textId="7B91E7E5" w:rsidR="00EC54E3" w:rsidRPr="009A539C" w:rsidRDefault="00785B2A" w:rsidP="00343774">
      <w:pPr>
        <w:pStyle w:val="Legenda"/>
        <w:jc w:val="center"/>
      </w:pPr>
      <w:bookmarkStart w:id="725" w:name="_Toc45716685"/>
      <w:r w:rsidRPr="009A539C">
        <w:t xml:space="preserve">Quadro </w:t>
      </w:r>
      <w:fldSimple w:instr=" SEQ Quadro \* ARABIC ">
        <w:r w:rsidR="00D821DE">
          <w:rPr>
            <w:noProof/>
          </w:rPr>
          <w:t>64</w:t>
        </w:r>
      </w:fldSimple>
      <w:r w:rsidR="00A70D08" w:rsidRPr="009A539C">
        <w:t xml:space="preserve"> </w:t>
      </w:r>
      <w:r w:rsidR="00EC54E3" w:rsidRPr="009A539C">
        <w:t>- Convenções publicadas com cláusulas sobre Trabalhador-Estudante (por subtipo)</w:t>
      </w:r>
      <w:bookmarkEnd w:id="724"/>
      <w:r w:rsidR="001267D1" w:rsidRPr="009A539C">
        <w:t xml:space="preserve"> </w:t>
      </w:r>
      <w:r w:rsidR="001A1E81">
        <w:t>(</w:t>
      </w:r>
      <w:r w:rsidR="00892976" w:rsidRPr="009A539C">
        <w:t>2019</w:t>
      </w:r>
      <w:r w:rsidR="001A1E81">
        <w:t>-2018)</w:t>
      </w:r>
      <w:bookmarkEnd w:id="725"/>
    </w:p>
    <w:p w14:paraId="0296362B" w14:textId="0B2AA70E" w:rsidR="00EC54E3" w:rsidRPr="009A539C" w:rsidRDefault="00070842" w:rsidP="00B90788">
      <w:pPr>
        <w:widowControl w:val="0"/>
        <w:tabs>
          <w:tab w:val="left" w:pos="851"/>
        </w:tabs>
        <w:autoSpaceDE w:val="0"/>
        <w:autoSpaceDN w:val="0"/>
        <w:spacing w:before="240" w:line="360" w:lineRule="auto"/>
        <w:ind w:right="-1"/>
        <w:jc w:val="center"/>
        <w:rPr>
          <w:rFonts w:eastAsia="Calibri" w:cstheme="minorHAnsi"/>
        </w:rPr>
      </w:pPr>
      <w:r w:rsidRPr="009A539C">
        <w:rPr>
          <w:noProof/>
          <w:lang w:eastAsia="pt-PT"/>
        </w:rPr>
        <w:drawing>
          <wp:inline distT="0" distB="0" distL="0" distR="0" wp14:anchorId="187A0973" wp14:editId="07AC2554">
            <wp:extent cx="4028536" cy="1919587"/>
            <wp:effectExtent l="0" t="0" r="0" b="5080"/>
            <wp:docPr id="1210" name="Imagem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28590" cy="1919613"/>
                    </a:xfrm>
                    <a:prstGeom prst="rect">
                      <a:avLst/>
                    </a:prstGeom>
                    <a:noFill/>
                    <a:ln>
                      <a:noFill/>
                    </a:ln>
                  </pic:spPr>
                </pic:pic>
              </a:graphicData>
            </a:graphic>
          </wp:inline>
        </w:drawing>
      </w:r>
    </w:p>
    <w:p w14:paraId="57A8B310" w14:textId="77777777" w:rsidR="003B265A" w:rsidRPr="009A539C" w:rsidRDefault="003B265A" w:rsidP="00A95C56">
      <w:pPr>
        <w:pStyle w:val="PargrafodaLista"/>
        <w:widowControl w:val="0"/>
        <w:numPr>
          <w:ilvl w:val="0"/>
          <w:numId w:val="12"/>
        </w:numPr>
        <w:tabs>
          <w:tab w:val="left" w:pos="851"/>
        </w:tabs>
        <w:autoSpaceDE w:val="0"/>
        <w:autoSpaceDN w:val="0"/>
        <w:spacing w:before="240" w:line="360" w:lineRule="auto"/>
        <w:ind w:left="0" w:right="-1" w:firstLine="426"/>
        <w:jc w:val="both"/>
        <w:rPr>
          <w:rFonts w:eastAsia="Calibri" w:cstheme="minorHAnsi"/>
        </w:rPr>
      </w:pPr>
      <w:r w:rsidRPr="009A539C">
        <w:rPr>
          <w:rFonts w:eastAsia="Calibri" w:cstheme="minorHAnsi"/>
        </w:rPr>
        <w:t xml:space="preserve">No que respeita aos conteúdos negociais, a sua fisionomia não anda longe do recorte de anos anteriores. </w:t>
      </w:r>
      <w:r w:rsidR="00F76721" w:rsidRPr="009A539C">
        <w:rPr>
          <w:rFonts w:eastAsia="Calibri" w:cstheme="minorHAnsi"/>
        </w:rPr>
        <w:t xml:space="preserve">Os </w:t>
      </w:r>
      <w:r w:rsidRPr="009A539C">
        <w:rPr>
          <w:rFonts w:eastAsia="Calibri" w:cstheme="minorHAnsi"/>
        </w:rPr>
        <w:t xml:space="preserve"> textos convencionais ora remetem simplesmente para a lei</w:t>
      </w:r>
      <w:r w:rsidRPr="009A539C">
        <w:rPr>
          <w:vertAlign w:val="superscript"/>
        </w:rPr>
        <w:footnoteReference w:id="451"/>
      </w:r>
      <w:r w:rsidRPr="009A539C">
        <w:rPr>
          <w:rFonts w:eastAsia="Calibri"/>
        </w:rPr>
        <w:t>,</w:t>
      </w:r>
      <w:r w:rsidRPr="009A539C">
        <w:rPr>
          <w:rFonts w:eastAsia="Calibri" w:cstheme="minorHAnsi"/>
        </w:rPr>
        <w:t xml:space="preserve"> ora reproduzem, em linhas gerais, as disposições do CT</w:t>
      </w:r>
      <w:r w:rsidRPr="009A539C">
        <w:rPr>
          <w:vertAlign w:val="superscript"/>
        </w:rPr>
        <w:footnoteReference w:id="452"/>
      </w:r>
      <w:r w:rsidRPr="009A539C">
        <w:rPr>
          <w:rFonts w:eastAsia="Calibri" w:cstheme="minorHAnsi"/>
        </w:rPr>
        <w:t xml:space="preserve"> - neste caso, seguindo a versão anterior à entrada em vigor à Lei 93/2020, de 4 de setembro, a qual alargou o número de horas de formação contínua anual de 35 para 40 horas (art.131º, n.º 2)</w:t>
      </w:r>
      <w:r w:rsidRPr="009A539C">
        <w:rPr>
          <w:vertAlign w:val="superscript"/>
        </w:rPr>
        <w:footnoteReference w:id="453"/>
      </w:r>
      <w:r w:rsidRPr="009A539C">
        <w:rPr>
          <w:rFonts w:eastAsia="Calibri" w:cstheme="minorHAnsi"/>
        </w:rPr>
        <w:t>. Existem ainda convenções que consagram soluções com ligeiras diferenças face à lei</w:t>
      </w:r>
      <w:r w:rsidRPr="009A539C">
        <w:rPr>
          <w:vertAlign w:val="superscript"/>
        </w:rPr>
        <w:footnoteReference w:id="454"/>
      </w:r>
      <w:r w:rsidRPr="009A539C">
        <w:rPr>
          <w:rFonts w:eastAsia="Calibri" w:cstheme="minorHAnsi"/>
        </w:rPr>
        <w:t>. Dá-se, de seguida, nota dos pontos mais relevantes</w:t>
      </w:r>
      <w:r w:rsidRPr="009A539C">
        <w:rPr>
          <w:rFonts w:eastAsia="Calibri"/>
        </w:rPr>
        <w:t>.</w:t>
      </w:r>
    </w:p>
    <w:p w14:paraId="695E63FB" w14:textId="77777777" w:rsidR="008E13D9" w:rsidRPr="009A539C" w:rsidRDefault="008E13D9" w:rsidP="00B90788">
      <w:pPr>
        <w:spacing w:line="360" w:lineRule="auto"/>
        <w:ind w:right="-1"/>
        <w:rPr>
          <w:rFonts w:ascii="Calibri" w:hAnsi="Calibri" w:cs="Calibri"/>
        </w:rPr>
      </w:pPr>
    </w:p>
    <w:p w14:paraId="1F29C2E8" w14:textId="77777777" w:rsidR="00604AF9" w:rsidRPr="009A539C" w:rsidRDefault="00604AF9" w:rsidP="00AF188D">
      <w:pPr>
        <w:pStyle w:val="PargrafodaLista"/>
        <w:numPr>
          <w:ilvl w:val="3"/>
          <w:numId w:val="50"/>
        </w:numPr>
        <w:spacing w:before="240" w:line="360" w:lineRule="auto"/>
        <w:ind w:left="850"/>
        <w:jc w:val="both"/>
        <w:outlineLvl w:val="3"/>
        <w:rPr>
          <w:rFonts w:ascii="Calibri" w:hAnsi="Calibri" w:cs="Calibri"/>
        </w:rPr>
      </w:pPr>
      <w:bookmarkStart w:id="727" w:name="_Toc45535726"/>
      <w:r w:rsidRPr="009A539C">
        <w:rPr>
          <w:rFonts w:ascii="Calibri" w:hAnsi="Calibri" w:cs="Calibri"/>
        </w:rPr>
        <w:t>Formação Profissional</w:t>
      </w:r>
      <w:bookmarkEnd w:id="727"/>
    </w:p>
    <w:p w14:paraId="20270025" w14:textId="77777777" w:rsidR="004C204B" w:rsidRPr="009A539C" w:rsidRDefault="004C204B" w:rsidP="00A95C56">
      <w:pPr>
        <w:widowControl w:val="0"/>
        <w:numPr>
          <w:ilvl w:val="0"/>
          <w:numId w:val="13"/>
        </w:numPr>
        <w:tabs>
          <w:tab w:val="left" w:pos="851"/>
        </w:tabs>
        <w:autoSpaceDE w:val="0"/>
        <w:autoSpaceDN w:val="0"/>
        <w:spacing w:before="240" w:after="0" w:line="360" w:lineRule="auto"/>
        <w:ind w:left="0" w:right="-1" w:firstLine="425"/>
        <w:jc w:val="both"/>
        <w:rPr>
          <w:rFonts w:eastAsia="Arial" w:cstheme="minorHAnsi"/>
          <w:lang w:eastAsia="pt-PT" w:bidi="pt-PT"/>
        </w:rPr>
      </w:pPr>
      <w:r w:rsidRPr="009A539C">
        <w:rPr>
          <w:rFonts w:eastAsia="Arial" w:cstheme="minorHAnsi"/>
          <w:lang w:eastAsia="pt-PT" w:bidi="pt-PT"/>
        </w:rPr>
        <w:t>Tradicionalmente, a formação profissional surge, amiúde, nas disposições convencionais relativas aos direitos e deveres das partes, enquanto dever do empregador</w:t>
      </w:r>
      <w:r w:rsidRPr="009A539C">
        <w:rPr>
          <w:rFonts w:eastAsia="Arial" w:cstheme="minorHAnsi"/>
          <w:vertAlign w:val="superscript"/>
          <w:lang w:eastAsia="pt-PT" w:bidi="pt-PT"/>
        </w:rPr>
        <w:footnoteReference w:id="455"/>
      </w:r>
      <w:r w:rsidRPr="009A539C">
        <w:rPr>
          <w:rFonts w:eastAsia="Arial" w:cstheme="minorHAnsi"/>
          <w:lang w:eastAsia="pt-PT" w:bidi="pt-PT"/>
        </w:rPr>
        <w:t xml:space="preserve"> a que correspondem, por parte dos trabalhadores, o direito à formação profissional</w:t>
      </w:r>
      <w:r w:rsidRPr="009A539C">
        <w:rPr>
          <w:rFonts w:eastAsia="Arial" w:cstheme="minorHAnsi"/>
          <w:vertAlign w:val="superscript"/>
          <w:lang w:eastAsia="pt-PT" w:bidi="pt-PT"/>
        </w:rPr>
        <w:footnoteReference w:id="456"/>
      </w:r>
      <w:r w:rsidRPr="009A539C">
        <w:rPr>
          <w:rFonts w:eastAsia="Arial" w:cstheme="minorHAnsi"/>
          <w:lang w:eastAsia="pt-PT" w:bidi="pt-PT"/>
        </w:rPr>
        <w:t>, bem como o dever de frequentar ações de formação</w:t>
      </w:r>
      <w:r w:rsidRPr="009A539C">
        <w:rPr>
          <w:rFonts w:eastAsia="Arial" w:cstheme="minorHAnsi"/>
          <w:vertAlign w:val="superscript"/>
          <w:lang w:eastAsia="pt-PT" w:bidi="pt-PT"/>
        </w:rPr>
        <w:footnoteReference w:id="457"/>
      </w:r>
      <w:r w:rsidR="008E6F5E" w:rsidRPr="009A539C">
        <w:rPr>
          <w:rFonts w:eastAsia="Arial" w:cstheme="minorHAnsi"/>
          <w:lang w:eastAsia="pt-PT" w:bidi="pt-PT"/>
        </w:rPr>
        <w:t>,</w:t>
      </w:r>
      <w:r w:rsidR="008E6F5E" w:rsidRPr="009A539C">
        <w:rPr>
          <w:rStyle w:val="Refdenotaderodap"/>
          <w:rFonts w:eastAsia="Arial" w:cstheme="minorHAnsi"/>
          <w:lang w:eastAsia="pt-PT" w:bidi="pt-PT"/>
        </w:rPr>
        <w:footnoteReference w:id="458"/>
      </w:r>
      <w:r w:rsidRPr="009A539C">
        <w:rPr>
          <w:rFonts w:eastAsia="Arial" w:cstheme="minorHAnsi"/>
          <w:lang w:eastAsia="pt-PT" w:bidi="pt-PT"/>
        </w:rPr>
        <w:t xml:space="preserve"> </w:t>
      </w:r>
      <w:r w:rsidR="008E6F5E" w:rsidRPr="009A539C">
        <w:rPr>
          <w:rFonts w:eastAsia="Arial" w:cstheme="minorHAnsi"/>
          <w:lang w:eastAsia="pt-PT" w:bidi="pt-PT"/>
        </w:rPr>
        <w:t>.</w:t>
      </w:r>
      <w:r w:rsidRPr="009A539C">
        <w:rPr>
          <w:rFonts w:eastAsia="Arial" w:cstheme="minorHAnsi"/>
          <w:lang w:eastAsia="pt-PT" w:bidi="pt-PT"/>
        </w:rPr>
        <w:t>Noutros casos, são valorizadas as qualificações dos trabalhadores para exercerem funções de formador</w:t>
      </w:r>
      <w:r w:rsidRPr="009A539C">
        <w:rPr>
          <w:rFonts w:eastAsia="Calibri" w:cstheme="minorHAnsi"/>
          <w:vertAlign w:val="superscript"/>
          <w:lang w:eastAsia="pt-PT" w:bidi="pt-PT"/>
        </w:rPr>
        <w:footnoteReference w:id="459"/>
      </w:r>
      <w:r w:rsidRPr="009A539C">
        <w:rPr>
          <w:rFonts w:eastAsia="Arial" w:cstheme="minorHAnsi"/>
          <w:lang w:eastAsia="pt-PT" w:bidi="pt-PT"/>
        </w:rPr>
        <w:t xml:space="preserve">, com a previsão de remuneração dessa atividade, nalgumas convenções </w:t>
      </w:r>
      <w:r w:rsidRPr="009A539C">
        <w:rPr>
          <w:rFonts w:eastAsia="Calibri" w:cstheme="minorHAnsi"/>
          <w:vertAlign w:val="superscript"/>
          <w:lang w:eastAsia="pt-PT" w:bidi="pt-PT"/>
        </w:rPr>
        <w:footnoteReference w:id="460"/>
      </w:r>
      <w:r w:rsidRPr="009A539C">
        <w:rPr>
          <w:rFonts w:eastAsia="Arial" w:cstheme="minorHAnsi"/>
          <w:lang w:eastAsia="pt-PT" w:bidi="pt-PT"/>
        </w:rPr>
        <w:t>.</w:t>
      </w:r>
    </w:p>
    <w:p w14:paraId="133D5852" w14:textId="77777777" w:rsidR="004C204B" w:rsidRPr="009A539C" w:rsidRDefault="004C204B" w:rsidP="00A95C56">
      <w:pPr>
        <w:widowControl w:val="0"/>
        <w:numPr>
          <w:ilvl w:val="0"/>
          <w:numId w:val="13"/>
        </w:numPr>
        <w:autoSpaceDE w:val="0"/>
        <w:autoSpaceDN w:val="0"/>
        <w:spacing w:before="240" w:after="0" w:line="360" w:lineRule="auto"/>
        <w:ind w:left="0" w:right="-1" w:firstLine="425"/>
        <w:jc w:val="both"/>
        <w:rPr>
          <w:rFonts w:eastAsia="Arial" w:cstheme="minorHAnsi"/>
          <w:lang w:eastAsia="pt-PT" w:bidi="pt-PT"/>
        </w:rPr>
      </w:pPr>
      <w:r w:rsidRPr="009A539C">
        <w:rPr>
          <w:rFonts w:eastAsia="Arial" w:cstheme="minorHAnsi"/>
          <w:lang w:eastAsia="pt-PT" w:bidi="pt-PT"/>
        </w:rPr>
        <w:t xml:space="preserve">No geral, </w:t>
      </w:r>
      <w:r w:rsidRPr="009A539C">
        <w:rPr>
          <w:rFonts w:eastAsia="Calibri" w:cstheme="minorHAnsi"/>
        </w:rPr>
        <w:t>o papel do empregador, na formação inicial, está essencialmente associado à valorização, capitalização e reconhecimento da formação profissional do trabalhador</w:t>
      </w:r>
      <w:r w:rsidRPr="009A539C">
        <w:rPr>
          <w:rFonts w:eastAsia="Arial" w:cstheme="minorHAnsi"/>
          <w:vertAlign w:val="superscript"/>
          <w:lang w:eastAsia="pt-PT" w:bidi="pt-PT"/>
        </w:rPr>
        <w:footnoteReference w:id="461"/>
      </w:r>
      <w:r w:rsidRPr="009A539C">
        <w:rPr>
          <w:rFonts w:eastAsia="Arial" w:cstheme="minorHAnsi"/>
          <w:lang w:eastAsia="pt-PT" w:bidi="pt-PT"/>
        </w:rPr>
        <w:t>. Assim se verifica enquanto critério de preferência na admissão</w:t>
      </w:r>
      <w:r w:rsidRPr="009A539C">
        <w:rPr>
          <w:rFonts w:eastAsia="Arial" w:cstheme="minorHAnsi"/>
          <w:vertAlign w:val="superscript"/>
          <w:lang w:eastAsia="pt-PT" w:bidi="pt-PT"/>
        </w:rPr>
        <w:footnoteReference w:id="462"/>
      </w:r>
      <w:r w:rsidRPr="009A539C">
        <w:rPr>
          <w:rFonts w:eastAsia="Arial" w:cstheme="minorHAnsi"/>
          <w:lang w:eastAsia="pt-PT" w:bidi="pt-PT"/>
        </w:rPr>
        <w:t>; quando releva para acesso a determinadas profissões ou carreiras</w:t>
      </w:r>
      <w:r w:rsidRPr="009A539C">
        <w:rPr>
          <w:rFonts w:eastAsia="Arial" w:cstheme="minorHAnsi"/>
          <w:vertAlign w:val="superscript"/>
          <w:lang w:eastAsia="pt-PT" w:bidi="pt-PT"/>
        </w:rPr>
        <w:footnoteReference w:id="463"/>
      </w:r>
      <w:r w:rsidRPr="009A539C">
        <w:rPr>
          <w:rFonts w:eastAsia="Arial" w:cstheme="minorHAnsi"/>
          <w:lang w:eastAsia="pt-PT" w:bidi="pt-PT"/>
        </w:rPr>
        <w:t xml:space="preserve"> ou enquanto período de integração dos trabalhadores</w:t>
      </w:r>
      <w:r w:rsidRPr="009A539C">
        <w:rPr>
          <w:lang w:eastAsia="pt-PT" w:bidi="pt-PT"/>
        </w:rPr>
        <w:t>.</w:t>
      </w:r>
    </w:p>
    <w:p w14:paraId="33720334" w14:textId="77777777" w:rsidR="004C204B" w:rsidRPr="009A539C" w:rsidRDefault="004C204B" w:rsidP="00B90788">
      <w:pPr>
        <w:widowControl w:val="0"/>
        <w:autoSpaceDE w:val="0"/>
        <w:autoSpaceDN w:val="0"/>
        <w:spacing w:before="240" w:line="360" w:lineRule="auto"/>
        <w:ind w:right="-1" w:firstLine="425"/>
        <w:jc w:val="both"/>
        <w:rPr>
          <w:rFonts w:eastAsia="Arial" w:cstheme="minorHAnsi"/>
          <w:lang w:eastAsia="pt-PT" w:bidi="pt-PT"/>
        </w:rPr>
      </w:pPr>
      <w:r w:rsidRPr="009A539C">
        <w:rPr>
          <w:rFonts w:eastAsia="Arial" w:cstheme="minorHAnsi"/>
          <w:lang w:eastAsia="pt-PT" w:bidi="pt-PT"/>
        </w:rPr>
        <w:t>Existem ainda várias convenções que admitem a realização de estágios para as carreiras técnicas e operacionais</w:t>
      </w:r>
      <w:r w:rsidRPr="009A539C">
        <w:rPr>
          <w:rStyle w:val="Refdenotaderodap"/>
          <w:rFonts w:eastAsia="Arial" w:cstheme="minorHAnsi"/>
          <w:lang w:eastAsia="pt-PT" w:bidi="pt-PT"/>
        </w:rPr>
        <w:footnoteReference w:id="464"/>
      </w:r>
      <w:r w:rsidRPr="009A539C">
        <w:rPr>
          <w:rFonts w:eastAsia="Arial" w:cstheme="minorHAnsi"/>
          <w:lang w:eastAsia="pt-PT" w:bidi="pt-PT"/>
        </w:rPr>
        <w:t xml:space="preserve"> ou para jovens recém-diplomados</w:t>
      </w:r>
      <w:r w:rsidRPr="009A539C">
        <w:rPr>
          <w:rStyle w:val="Refdenotaderodap"/>
          <w:rFonts w:eastAsia="Arial" w:cstheme="minorHAnsi"/>
          <w:lang w:eastAsia="pt-PT" w:bidi="pt-PT"/>
        </w:rPr>
        <w:footnoteReference w:id="465"/>
      </w:r>
      <w:r w:rsidRPr="009A539C">
        <w:rPr>
          <w:rFonts w:eastAsia="Arial" w:cstheme="minorHAnsi"/>
          <w:lang w:eastAsia="pt-PT" w:bidi="pt-PT"/>
        </w:rPr>
        <w:t>. A propósito deste ponto, convém assinalar que pela nova redação do art. 112.º,n.º4, CT</w:t>
      </w:r>
      <w:r w:rsidRPr="009A539C">
        <w:rPr>
          <w:rStyle w:val="Refdenotaderodap"/>
          <w:rFonts w:eastAsia="Arial" w:cstheme="minorHAnsi"/>
          <w:lang w:eastAsia="pt-PT" w:bidi="pt-PT"/>
        </w:rPr>
        <w:footnoteReference w:id="466"/>
      </w:r>
      <w:r w:rsidRPr="009A539C">
        <w:rPr>
          <w:rFonts w:eastAsia="Arial" w:cstheme="minorHAnsi"/>
          <w:lang w:eastAsia="pt-PT" w:bidi="pt-PT"/>
        </w:rPr>
        <w:t xml:space="preserve"> (alterado pela Lei n.º 93/2019, de 4 de setembro) o período de “estágio profissional” passa a relevar para o apuramento do período experimental, nos mesmos termos em que já era computado o tempo prestado nas modalidades de contrato a termo, contrato de trabalho temporário e de prestação de serviços celebrados entre o trabalhador e o mesmo empregador.</w:t>
      </w:r>
    </w:p>
    <w:p w14:paraId="37F1AB52" w14:textId="77777777" w:rsidR="004C204B" w:rsidRPr="009A539C" w:rsidRDefault="004C204B" w:rsidP="00B90788">
      <w:pPr>
        <w:widowControl w:val="0"/>
        <w:autoSpaceDE w:val="0"/>
        <w:autoSpaceDN w:val="0"/>
        <w:spacing w:before="240" w:line="360" w:lineRule="auto"/>
        <w:ind w:right="-1" w:firstLine="425"/>
        <w:jc w:val="both"/>
        <w:rPr>
          <w:rFonts w:eastAsia="Calibri" w:cstheme="minorHAnsi"/>
        </w:rPr>
      </w:pPr>
      <w:r w:rsidRPr="009A539C">
        <w:rPr>
          <w:rFonts w:eastAsia="Arial" w:cstheme="minorHAnsi"/>
          <w:lang w:eastAsia="pt-PT" w:bidi="pt-PT"/>
        </w:rPr>
        <w:t>Ainda no domínio da qualificação inicial, encontram-se convenções que admitem a contratação de trabalhadores menores de 18 anos</w:t>
      </w:r>
      <w:r w:rsidRPr="009A539C">
        <w:rPr>
          <w:rFonts w:eastAsia="Arial" w:cstheme="minorHAnsi"/>
          <w:vertAlign w:val="superscript"/>
          <w:lang w:eastAsia="pt-PT" w:bidi="pt-PT"/>
        </w:rPr>
        <w:footnoteReference w:id="467"/>
      </w:r>
      <w:r w:rsidR="00465911" w:rsidRPr="009A539C">
        <w:rPr>
          <w:rFonts w:eastAsia="Arial" w:cstheme="minorHAnsi"/>
          <w:lang w:eastAsia="pt-PT" w:bidi="pt-PT"/>
        </w:rPr>
        <w:t xml:space="preserve"> </w:t>
      </w:r>
      <w:r w:rsidRPr="009A539C">
        <w:rPr>
          <w:rFonts w:eastAsia="Arial" w:cstheme="minorHAnsi"/>
          <w:lang w:eastAsia="pt-PT" w:bidi="pt-PT"/>
        </w:rPr>
        <w:t xml:space="preserve">- que, como se sabe, estão abrangidos pela escolaridade obrigatória </w:t>
      </w:r>
      <w:r w:rsidR="00465911" w:rsidRPr="009A539C">
        <w:rPr>
          <w:rFonts w:eastAsia="Arial" w:cstheme="minorHAnsi"/>
          <w:lang w:eastAsia="pt-PT" w:bidi="pt-PT"/>
        </w:rPr>
        <w:t xml:space="preserve">(Lei 85/2009, de 27 de agosto) </w:t>
      </w:r>
      <w:r w:rsidRPr="009A539C">
        <w:rPr>
          <w:rFonts w:eastAsia="Arial" w:cstheme="minorHAnsi"/>
          <w:lang w:eastAsia="pt-PT" w:bidi="pt-PT"/>
        </w:rPr>
        <w:t>e gozam de uma tutela reforçada (arts.66.º e ss.,</w:t>
      </w:r>
      <w:r w:rsidR="00465911" w:rsidRPr="009A539C">
        <w:rPr>
          <w:rFonts w:eastAsia="Arial" w:cstheme="minorHAnsi"/>
          <w:lang w:eastAsia="pt-PT" w:bidi="pt-PT"/>
        </w:rPr>
        <w:t xml:space="preserve"> </w:t>
      </w:r>
      <w:r w:rsidRPr="009A539C">
        <w:rPr>
          <w:rFonts w:eastAsia="Arial" w:cstheme="minorHAnsi"/>
          <w:lang w:eastAsia="pt-PT" w:bidi="pt-PT"/>
        </w:rPr>
        <w:t xml:space="preserve">CT). Nestes casos, as convenções fazem alusão à </w:t>
      </w:r>
      <w:r w:rsidRPr="009A539C">
        <w:rPr>
          <w:rFonts w:eastAsia="Calibri" w:cstheme="minorHAnsi"/>
        </w:rPr>
        <w:t xml:space="preserve">determinação legal de cumprimento da escolaridade ou formação profissional, </w:t>
      </w:r>
      <w:r w:rsidRPr="009A539C">
        <w:rPr>
          <w:rFonts w:ascii="Calibri" w:eastAsia="Calibri" w:hAnsi="Calibri" w:cs="Calibri"/>
        </w:rPr>
        <w:t>preconizando a intervenção do empregador no cumprimento dessas disposições legais</w:t>
      </w:r>
      <w:r w:rsidRPr="009A539C">
        <w:rPr>
          <w:rFonts w:eastAsia="Calibri" w:cstheme="minorHAnsi"/>
          <w:vertAlign w:val="superscript"/>
        </w:rPr>
        <w:footnoteReference w:id="468"/>
      </w:r>
      <w:r w:rsidRPr="009A539C">
        <w:rPr>
          <w:rFonts w:eastAsia="Calibri" w:cstheme="minorHAnsi"/>
        </w:rPr>
        <w:t>, noutras situações é mencionado que o trabalhador deve continuar a frequentar modalidade de educação ou formação que confira essa escolaridade ou qualificação profissional</w:t>
      </w:r>
      <w:r w:rsidRPr="009A539C">
        <w:rPr>
          <w:rStyle w:val="Refdenotaderodap"/>
          <w:rFonts w:eastAsia="Calibri" w:cstheme="minorHAnsi"/>
        </w:rPr>
        <w:footnoteReference w:id="469"/>
      </w:r>
      <w:r w:rsidRPr="009A539C">
        <w:rPr>
          <w:rFonts w:eastAsia="Calibri" w:cstheme="minorHAnsi"/>
        </w:rPr>
        <w:t>. Surge, ainda, como obrigação do empregador assegurar a realização de exames médicos que salvaguardem a saúde e o equilíbrio físico e psicológico do menor (previsto</w:t>
      </w:r>
      <w:r w:rsidR="00465911" w:rsidRPr="009A539C">
        <w:rPr>
          <w:rFonts w:eastAsia="Calibri" w:cstheme="minorHAnsi"/>
        </w:rPr>
        <w:t xml:space="preserve"> no</w:t>
      </w:r>
      <w:r w:rsidRPr="009A539C">
        <w:rPr>
          <w:rFonts w:eastAsia="Calibri" w:cstheme="minorHAnsi"/>
        </w:rPr>
        <w:t xml:space="preserve"> art. 72º,CT)</w:t>
      </w:r>
      <w:r w:rsidRPr="009A539C">
        <w:rPr>
          <w:rFonts w:eastAsia="Calibri" w:cstheme="minorHAnsi"/>
          <w:vertAlign w:val="superscript"/>
        </w:rPr>
        <w:footnoteReference w:id="470"/>
      </w:r>
      <w:r w:rsidRPr="009A539C">
        <w:rPr>
          <w:rFonts w:eastAsia="Calibri" w:cstheme="minorHAnsi"/>
        </w:rPr>
        <w:t>.</w:t>
      </w:r>
    </w:p>
    <w:p w14:paraId="4D4642ED" w14:textId="77777777" w:rsidR="004C204B" w:rsidRPr="009A539C" w:rsidRDefault="00465911" w:rsidP="00A95C56">
      <w:pPr>
        <w:widowControl w:val="0"/>
        <w:numPr>
          <w:ilvl w:val="0"/>
          <w:numId w:val="13"/>
        </w:numPr>
        <w:autoSpaceDE w:val="0"/>
        <w:autoSpaceDN w:val="0"/>
        <w:spacing w:before="240" w:after="0" w:line="360" w:lineRule="auto"/>
        <w:ind w:left="0" w:right="-1" w:firstLine="425"/>
        <w:jc w:val="both"/>
        <w:rPr>
          <w:rFonts w:eastAsia="Arial" w:cstheme="minorHAnsi"/>
          <w:lang w:eastAsia="pt-PT" w:bidi="pt-PT"/>
        </w:rPr>
      </w:pPr>
      <w:r w:rsidRPr="009A539C">
        <w:rPr>
          <w:rFonts w:eastAsia="Arial" w:cstheme="minorHAnsi"/>
          <w:lang w:eastAsia="pt-PT" w:bidi="pt-PT"/>
        </w:rPr>
        <w:t xml:space="preserve"> </w:t>
      </w:r>
      <w:r w:rsidR="004C204B" w:rsidRPr="009A539C">
        <w:rPr>
          <w:rFonts w:eastAsia="Arial" w:cstheme="minorHAnsi"/>
          <w:lang w:eastAsia="pt-PT" w:bidi="pt-PT"/>
        </w:rPr>
        <w:t>Quanto à formação profissional contínua, o aprofundamento das matérias, assim como a determinação dos níveis de intervenção do empregador, trabalhador e, por vezes, das estruturas de representação coletiva dos trabalhadores</w:t>
      </w:r>
      <w:r w:rsidR="004C204B" w:rsidRPr="009A539C">
        <w:rPr>
          <w:rStyle w:val="Refdenotaderodap"/>
          <w:rFonts w:eastAsia="Arial" w:cstheme="minorHAnsi"/>
          <w:lang w:eastAsia="pt-PT" w:bidi="pt-PT"/>
        </w:rPr>
        <w:footnoteReference w:id="471"/>
      </w:r>
      <w:r w:rsidR="004C204B" w:rsidRPr="009A539C">
        <w:rPr>
          <w:rFonts w:eastAsia="Arial" w:cstheme="minorHAnsi"/>
          <w:lang w:eastAsia="pt-PT" w:bidi="pt-PT"/>
        </w:rPr>
        <w:t xml:space="preserve"> ou da comissão paritária</w:t>
      </w:r>
      <w:r w:rsidR="004C204B" w:rsidRPr="009A539C">
        <w:rPr>
          <w:rStyle w:val="Refdenotaderodap"/>
          <w:rFonts w:eastAsia="Arial" w:cstheme="minorHAnsi"/>
          <w:lang w:eastAsia="pt-PT" w:bidi="pt-PT"/>
        </w:rPr>
        <w:footnoteReference w:id="472"/>
      </w:r>
      <w:r w:rsidR="004C204B" w:rsidRPr="009A539C">
        <w:rPr>
          <w:rFonts w:eastAsia="Arial" w:cstheme="minorHAnsi"/>
          <w:lang w:eastAsia="pt-PT" w:bidi="pt-PT"/>
        </w:rPr>
        <w:t>, obedecem a uma abordagem diferente. Neste domínio, a lei define um conjunto de regras no sentido de incentivar a formação profissional, exigindo o cumprimento de uma carga horária anual mínima de formação de 35 horas - que passou a ser de 40 horas, a partir de outubro de 2019</w:t>
      </w:r>
      <w:r w:rsidR="004C204B" w:rsidRPr="009A539C">
        <w:rPr>
          <w:rStyle w:val="Refdenotaderodap"/>
          <w:rFonts w:eastAsia="Arial" w:cstheme="minorHAnsi"/>
          <w:lang w:eastAsia="pt-PT" w:bidi="pt-PT"/>
        </w:rPr>
        <w:footnoteReference w:id="473"/>
      </w:r>
      <w:r w:rsidR="004C204B" w:rsidRPr="009A539C">
        <w:rPr>
          <w:rFonts w:eastAsia="Arial" w:cstheme="minorHAnsi"/>
          <w:lang w:eastAsia="pt-PT" w:bidi="pt-PT"/>
        </w:rPr>
        <w:t xml:space="preserve"> - abrindo, por outro lado, espaço à autonomia da contratação coletiva para densificar conteúdos da formação profissional em função das “caraterísticas do setor de atividade”, da “qualificação dos trabalhadores e a dimensão da empresa” (art. 131º nº 9, CT), na perspetiva de incentivar a formação ao longo da vida. </w:t>
      </w:r>
    </w:p>
    <w:p w14:paraId="1B826BA5" w14:textId="77777777" w:rsidR="00A31646" w:rsidRPr="009A539C" w:rsidRDefault="00A31646" w:rsidP="00B90788">
      <w:pPr>
        <w:widowControl w:val="0"/>
        <w:autoSpaceDE w:val="0"/>
        <w:autoSpaceDN w:val="0"/>
        <w:spacing w:before="240" w:after="0" w:line="360" w:lineRule="auto"/>
        <w:ind w:left="425" w:right="-1"/>
        <w:jc w:val="both"/>
        <w:rPr>
          <w:rFonts w:eastAsia="Arial" w:cstheme="minorHAnsi"/>
          <w:lang w:eastAsia="pt-PT" w:bidi="pt-PT"/>
        </w:rPr>
      </w:pPr>
    </w:p>
    <w:p w14:paraId="756861D8" w14:textId="77777777" w:rsidR="004C204B" w:rsidRPr="009A539C" w:rsidRDefault="00465911" w:rsidP="00A95C56">
      <w:pPr>
        <w:widowControl w:val="0"/>
        <w:numPr>
          <w:ilvl w:val="0"/>
          <w:numId w:val="13"/>
        </w:numPr>
        <w:autoSpaceDE w:val="0"/>
        <w:autoSpaceDN w:val="0"/>
        <w:spacing w:before="120" w:after="0" w:line="360" w:lineRule="auto"/>
        <w:ind w:left="0" w:right="-1" w:firstLine="425"/>
        <w:jc w:val="both"/>
        <w:rPr>
          <w:rFonts w:eastAsia="Arial" w:cstheme="minorHAnsi"/>
          <w:lang w:eastAsia="pt-PT" w:bidi="pt-PT"/>
        </w:rPr>
      </w:pPr>
      <w:r w:rsidRPr="009A539C">
        <w:rPr>
          <w:rFonts w:eastAsia="Arial" w:cstheme="minorHAnsi"/>
          <w:lang w:eastAsia="pt-PT" w:bidi="pt-PT"/>
        </w:rPr>
        <w:t xml:space="preserve"> </w:t>
      </w:r>
      <w:r w:rsidR="004C204B" w:rsidRPr="009A539C">
        <w:rPr>
          <w:rFonts w:eastAsia="Arial" w:cstheme="minorHAnsi"/>
          <w:lang w:eastAsia="pt-PT" w:bidi="pt-PT"/>
        </w:rPr>
        <w:t>Relativamente aos conteúdos de formação, não há novidades a assinalar, as convenções seguem de perto a lei, que determina a preferência da sua definição por acordo ou, na falta deste, pelo empregador, exigindo-se que esteja associada à atividade já prestada</w:t>
      </w:r>
      <w:r w:rsidR="004C204B" w:rsidRPr="009A539C">
        <w:rPr>
          <w:rFonts w:eastAsia="Arial" w:cstheme="minorHAnsi"/>
          <w:vertAlign w:val="superscript"/>
          <w:lang w:eastAsia="pt-PT" w:bidi="pt-PT"/>
        </w:rPr>
        <w:footnoteReference w:id="474"/>
      </w:r>
      <w:r w:rsidR="004C204B" w:rsidRPr="009A539C">
        <w:rPr>
          <w:rFonts w:eastAsia="Arial" w:cstheme="minorHAnsi"/>
          <w:lang w:eastAsia="pt-PT" w:bidi="pt-PT"/>
        </w:rPr>
        <w:t xml:space="preserve"> ou que o trabalhador venha a prestar, no âmbito de um processo de mobilidade ou transferência</w:t>
      </w:r>
      <w:r w:rsidR="004C204B" w:rsidRPr="009A539C">
        <w:rPr>
          <w:rFonts w:eastAsia="Arial" w:cstheme="minorHAnsi"/>
          <w:vertAlign w:val="superscript"/>
          <w:lang w:eastAsia="pt-PT" w:bidi="pt-PT"/>
        </w:rPr>
        <w:footnoteReference w:id="475"/>
      </w:r>
      <w:r w:rsidR="004C204B" w:rsidRPr="009A539C">
        <w:rPr>
          <w:rFonts w:eastAsia="Arial" w:cstheme="minorHAnsi"/>
          <w:vertAlign w:val="superscript"/>
          <w:lang w:eastAsia="pt-PT" w:bidi="pt-PT"/>
        </w:rPr>
        <w:t xml:space="preserve">. </w:t>
      </w:r>
    </w:p>
    <w:p w14:paraId="407E918E" w14:textId="77777777" w:rsidR="004C204B" w:rsidRPr="009A539C" w:rsidRDefault="004C204B" w:rsidP="00B90788">
      <w:pPr>
        <w:widowControl w:val="0"/>
        <w:tabs>
          <w:tab w:val="left" w:pos="851"/>
        </w:tabs>
        <w:autoSpaceDE w:val="0"/>
        <w:autoSpaceDN w:val="0"/>
        <w:spacing w:before="120" w:line="360" w:lineRule="auto"/>
        <w:ind w:right="-1" w:firstLine="425"/>
        <w:jc w:val="both"/>
        <w:rPr>
          <w:rFonts w:eastAsia="Arial" w:cstheme="minorHAnsi"/>
          <w:lang w:eastAsia="pt-PT" w:bidi="pt-PT"/>
        </w:rPr>
      </w:pPr>
      <w:r w:rsidRPr="009A539C">
        <w:rPr>
          <w:rFonts w:eastAsia="Arial" w:cstheme="minorHAnsi"/>
          <w:lang w:eastAsia="pt-PT" w:bidi="pt-PT"/>
        </w:rPr>
        <w:t>Observa-se maior detalhe quando compete ao empregador particular responsabilidade na promoção dessa formação, incluindo a obtenção e manutenção de títulos profissionais em profissões regulamentadas</w:t>
      </w:r>
      <w:r w:rsidRPr="009A539C">
        <w:rPr>
          <w:rStyle w:val="Refdenotaderodap"/>
          <w:rFonts w:eastAsia="Arial" w:cstheme="minorHAnsi"/>
          <w:lang w:eastAsia="pt-PT" w:bidi="pt-PT"/>
        </w:rPr>
        <w:footnoteReference w:id="476"/>
      </w:r>
      <w:r w:rsidRPr="009A539C">
        <w:rPr>
          <w:rFonts w:eastAsia="Arial" w:cstheme="minorHAnsi"/>
          <w:lang w:eastAsia="pt-PT" w:bidi="pt-PT"/>
        </w:rPr>
        <w:t>, em conformidade, as mais das vezes, com normas legais do</w:t>
      </w:r>
      <w:r w:rsidR="00465911" w:rsidRPr="009A539C">
        <w:rPr>
          <w:rFonts w:eastAsia="Arial" w:cstheme="minorHAnsi"/>
          <w:lang w:eastAsia="pt-PT" w:bidi="pt-PT"/>
        </w:rPr>
        <w:t xml:space="preserve"> </w:t>
      </w:r>
      <w:r w:rsidRPr="009A539C">
        <w:rPr>
          <w:rFonts w:eastAsia="Arial" w:cstheme="minorHAnsi"/>
          <w:lang w:eastAsia="pt-PT" w:bidi="pt-PT"/>
        </w:rPr>
        <w:t>setor</w:t>
      </w:r>
      <w:r w:rsidRPr="009A539C">
        <w:rPr>
          <w:rFonts w:eastAsia="Arial" w:cstheme="minorHAnsi"/>
          <w:vertAlign w:val="superscript"/>
          <w:lang w:eastAsia="pt-PT" w:bidi="pt-PT"/>
        </w:rPr>
        <w:footnoteReference w:id="477"/>
      </w:r>
      <w:r w:rsidRPr="009A539C">
        <w:rPr>
          <w:rFonts w:eastAsia="Arial" w:cstheme="minorHAnsi"/>
          <w:lang w:eastAsia="pt-PT" w:bidi="pt-PT"/>
        </w:rPr>
        <w:t>.</w:t>
      </w:r>
    </w:p>
    <w:p w14:paraId="52A2D89D" w14:textId="77777777" w:rsidR="004C204B" w:rsidRPr="009A539C" w:rsidRDefault="004C204B" w:rsidP="00B90788">
      <w:pPr>
        <w:widowControl w:val="0"/>
        <w:tabs>
          <w:tab w:val="left" w:pos="851"/>
        </w:tabs>
        <w:spacing w:line="360" w:lineRule="auto"/>
        <w:ind w:right="-1" w:firstLine="425"/>
        <w:jc w:val="both"/>
        <w:rPr>
          <w:rFonts w:eastAsia="Arial" w:cstheme="minorHAnsi"/>
          <w:lang w:eastAsia="pt-PT" w:bidi="pt-PT"/>
        </w:rPr>
      </w:pPr>
      <w:r w:rsidRPr="009A539C">
        <w:rPr>
          <w:rFonts w:ascii="Calibri" w:eastAsia="Arial" w:hAnsi="Calibri" w:cs="Calibri"/>
          <w:sz w:val="23"/>
          <w:szCs w:val="23"/>
          <w:lang w:eastAsia="pt-PT" w:bidi="pt-PT"/>
        </w:rPr>
        <w:t xml:space="preserve">A globalidade das referências aos conteúdos da formação são, assim, conformes ao art.133º do CT: </w:t>
      </w:r>
      <w:r w:rsidRPr="009A539C">
        <w:rPr>
          <w:rFonts w:ascii="Calibri" w:eastAsia="Calibri" w:hAnsi="Calibri" w:cs="Calibri"/>
          <w:sz w:val="23"/>
          <w:szCs w:val="23"/>
        </w:rPr>
        <w:t xml:space="preserve">qualificações em </w:t>
      </w:r>
      <w:r w:rsidRPr="009A539C">
        <w:rPr>
          <w:rFonts w:ascii="Calibri" w:eastAsia="Arial" w:hAnsi="Calibri" w:cs="Calibri"/>
          <w:sz w:val="23"/>
          <w:szCs w:val="23"/>
          <w:lang w:eastAsia="pt-PT" w:bidi="pt-PT"/>
        </w:rPr>
        <w:t>tecnologias de informação e comunicação (TIC)</w:t>
      </w:r>
      <w:r w:rsidRPr="009A539C">
        <w:rPr>
          <w:rFonts w:ascii="Calibri" w:eastAsia="Calibri" w:hAnsi="Calibri"/>
          <w:sz w:val="23"/>
          <w:szCs w:val="23"/>
          <w:vertAlign w:val="superscript"/>
        </w:rPr>
        <w:footnoteReference w:id="478"/>
      </w:r>
      <w:r w:rsidRPr="009A539C">
        <w:rPr>
          <w:rFonts w:ascii="Calibri" w:eastAsia="Calibri" w:hAnsi="Calibri"/>
          <w:sz w:val="23"/>
          <w:szCs w:val="23"/>
        </w:rPr>
        <w:t>, áreas tecnológicas</w:t>
      </w:r>
      <w:r w:rsidRPr="009A539C">
        <w:rPr>
          <w:rFonts w:ascii="Calibri" w:eastAsia="Calibri" w:hAnsi="Calibri"/>
          <w:sz w:val="23"/>
          <w:szCs w:val="23"/>
          <w:vertAlign w:val="superscript"/>
        </w:rPr>
        <w:footnoteReference w:id="479"/>
      </w:r>
      <w:r w:rsidRPr="009A539C">
        <w:rPr>
          <w:rFonts w:ascii="Calibri" w:eastAsia="Arial" w:hAnsi="Calibri" w:cs="Calibri"/>
          <w:sz w:val="23"/>
          <w:szCs w:val="23"/>
          <w:lang w:eastAsia="pt-PT" w:bidi="pt-PT"/>
        </w:rPr>
        <w:t xml:space="preserve">, línguas </w:t>
      </w:r>
      <w:r w:rsidRPr="009A539C">
        <w:rPr>
          <w:rFonts w:eastAsia="Arial" w:cstheme="minorHAnsi"/>
          <w:lang w:eastAsia="pt-PT" w:bidi="pt-PT"/>
        </w:rPr>
        <w:t>estrangeiras</w:t>
      </w:r>
      <w:r w:rsidRPr="009A539C">
        <w:rPr>
          <w:rFonts w:eastAsia="Calibri" w:cstheme="minorHAnsi"/>
          <w:vertAlign w:val="superscript"/>
        </w:rPr>
        <w:footnoteReference w:id="480"/>
      </w:r>
      <w:r w:rsidRPr="009A539C">
        <w:rPr>
          <w:rFonts w:eastAsia="Arial" w:cstheme="minorHAnsi"/>
          <w:lang w:eastAsia="pt-PT" w:bidi="pt-PT"/>
        </w:rPr>
        <w:t>, segurança e saúde no trabalho</w:t>
      </w:r>
      <w:r w:rsidRPr="009A539C">
        <w:rPr>
          <w:rFonts w:eastAsia="Arial" w:cstheme="minorHAnsi"/>
          <w:vertAlign w:val="superscript"/>
          <w:lang w:eastAsia="pt-PT" w:bidi="pt-PT"/>
        </w:rPr>
        <w:footnoteReference w:id="481"/>
      </w:r>
      <w:r w:rsidRPr="009A539C">
        <w:rPr>
          <w:rFonts w:eastAsia="Arial" w:cstheme="minorHAnsi"/>
          <w:lang w:eastAsia="pt-PT" w:bidi="pt-PT"/>
        </w:rPr>
        <w:t xml:space="preserve"> ou que incida em conteúdos de natureza científico-didática com ligação a matéria curricular lecionada</w:t>
      </w:r>
      <w:r w:rsidRPr="009A539C">
        <w:rPr>
          <w:rStyle w:val="Refdenotaderodap"/>
          <w:rFonts w:eastAsia="Arial" w:cstheme="minorHAnsi"/>
          <w:lang w:eastAsia="pt-PT" w:bidi="pt-PT"/>
        </w:rPr>
        <w:footnoteReference w:id="482"/>
      </w:r>
      <w:r w:rsidRPr="009A539C">
        <w:rPr>
          <w:rFonts w:eastAsia="Arial" w:cstheme="minorHAnsi"/>
          <w:lang w:eastAsia="pt-PT" w:bidi="pt-PT"/>
        </w:rPr>
        <w:t>; ou por iniciativa do trabalhador ter correspondência com a sua atividade</w:t>
      </w:r>
      <w:r w:rsidRPr="009A539C">
        <w:rPr>
          <w:rStyle w:val="Refdenotaderodap"/>
          <w:rFonts w:eastAsia="Arial" w:cstheme="minorHAnsi"/>
          <w:lang w:eastAsia="pt-PT" w:bidi="pt-PT"/>
        </w:rPr>
        <w:footnoteReference w:id="483"/>
      </w:r>
      <w:r w:rsidRPr="009A539C">
        <w:rPr>
          <w:rFonts w:eastAsia="Arial" w:cstheme="minorHAnsi"/>
          <w:lang w:eastAsia="pt-PT" w:bidi="pt-PT"/>
        </w:rPr>
        <w:t xml:space="preserve">. Algumas convenções fazem alusão à </w:t>
      </w:r>
      <w:r w:rsidRPr="009A539C">
        <w:rPr>
          <w:rFonts w:eastAsia="Calibri" w:cstheme="minorHAnsi"/>
        </w:rPr>
        <w:t>frequência de processo</w:t>
      </w:r>
      <w:r w:rsidRPr="009A539C">
        <w:rPr>
          <w:rFonts w:eastAsia="Calibri" w:cstheme="minorHAnsi"/>
          <w:bCs/>
        </w:rPr>
        <w:t xml:space="preserve"> de Reconhecimento, Validação e Certificação de Competências</w:t>
      </w:r>
      <w:r w:rsidRPr="009A539C">
        <w:rPr>
          <w:rFonts w:eastAsia="Calibri" w:cstheme="minorHAnsi"/>
        </w:rPr>
        <w:t xml:space="preserve"> (RVCC) (previsto no art. 131º, n.4, CT</w:t>
      </w:r>
      <w:r w:rsidRPr="009A539C">
        <w:rPr>
          <w:rFonts w:eastAsia="Calibri" w:cstheme="minorHAnsi"/>
          <w:vertAlign w:val="superscript"/>
        </w:rPr>
        <w:t xml:space="preserve"> </w:t>
      </w:r>
      <w:r w:rsidRPr="009A539C">
        <w:rPr>
          <w:rFonts w:eastAsia="Calibri" w:cstheme="minorHAnsi"/>
          <w:vertAlign w:val="superscript"/>
        </w:rPr>
        <w:footnoteReference w:id="484"/>
      </w:r>
      <w:r w:rsidRPr="009A539C">
        <w:rPr>
          <w:rFonts w:eastAsia="Calibri" w:cstheme="minorHAnsi"/>
          <w:vertAlign w:val="superscript"/>
        </w:rPr>
        <w:t xml:space="preserve"> </w:t>
      </w:r>
      <w:r w:rsidRPr="009A539C">
        <w:rPr>
          <w:rFonts w:eastAsia="Calibri" w:cstheme="minorHAnsi"/>
        </w:rPr>
        <w:t>).</w:t>
      </w:r>
    </w:p>
    <w:p w14:paraId="4C5CEBAE" w14:textId="77777777" w:rsidR="004C204B" w:rsidRPr="009A539C" w:rsidRDefault="004C204B" w:rsidP="00A95C56">
      <w:pPr>
        <w:widowControl w:val="0"/>
        <w:numPr>
          <w:ilvl w:val="0"/>
          <w:numId w:val="13"/>
        </w:numPr>
        <w:autoSpaceDE w:val="0"/>
        <w:autoSpaceDN w:val="0"/>
        <w:spacing w:before="240" w:after="0" w:line="360" w:lineRule="auto"/>
        <w:ind w:left="0" w:right="-1" w:firstLine="425"/>
        <w:jc w:val="both"/>
        <w:rPr>
          <w:rFonts w:eastAsia="Calibri" w:cstheme="minorHAnsi"/>
        </w:rPr>
      </w:pPr>
      <w:r w:rsidRPr="009A539C">
        <w:rPr>
          <w:rFonts w:eastAsia="Arial" w:cstheme="minorHAnsi"/>
          <w:lang w:eastAsia="pt-PT" w:bidi="pt-PT"/>
        </w:rPr>
        <w:t xml:space="preserve">A relevância da formação profissional na progressão profissional reflete-se de diferentes maneiras. Pode admitir-se, enquanto princípio geral </w:t>
      </w:r>
      <w:r w:rsidRPr="009A539C">
        <w:rPr>
          <w:rFonts w:eastAsia="Calibri" w:cstheme="minorHAnsi"/>
        </w:rPr>
        <w:t>de valorização da qualificação profissional para futura progressão na carreira profissional</w:t>
      </w:r>
      <w:r w:rsidRPr="009A539C">
        <w:rPr>
          <w:rFonts w:eastAsia="Calibri" w:cstheme="minorHAnsi"/>
          <w:vertAlign w:val="superscript"/>
        </w:rPr>
        <w:footnoteReference w:id="485"/>
      </w:r>
      <w:r w:rsidRPr="009A539C">
        <w:rPr>
          <w:rFonts w:eastAsia="Calibri" w:cstheme="minorHAnsi"/>
        </w:rPr>
        <w:t xml:space="preserve">; </w:t>
      </w:r>
      <w:r w:rsidR="00D85F0F" w:rsidRPr="009A539C">
        <w:rPr>
          <w:rFonts w:eastAsia="Calibri" w:cstheme="minorHAnsi"/>
        </w:rPr>
        <w:t xml:space="preserve">constituir fator preferencial </w:t>
      </w:r>
      <w:r w:rsidRPr="009A539C">
        <w:rPr>
          <w:rFonts w:eastAsia="Calibri" w:cstheme="minorHAnsi"/>
        </w:rPr>
        <w:t>no preenchimento de vagas, quando há mais de um candidato na empresa</w:t>
      </w:r>
      <w:r w:rsidRPr="009A539C">
        <w:rPr>
          <w:rFonts w:eastAsia="Calibri" w:cstheme="minorHAnsi"/>
          <w:b/>
          <w:vertAlign w:val="superscript"/>
        </w:rPr>
        <w:footnoteReference w:id="486"/>
      </w:r>
      <w:r w:rsidR="00D85F0F" w:rsidRPr="009A539C">
        <w:rPr>
          <w:rFonts w:eastAsia="Calibri" w:cstheme="minorHAnsi"/>
        </w:rPr>
        <w:t xml:space="preserve">; ou, de uma forma mais </w:t>
      </w:r>
      <w:r w:rsidRPr="009A539C">
        <w:rPr>
          <w:rFonts w:eastAsia="Calibri" w:cstheme="minorHAnsi"/>
        </w:rPr>
        <w:t>direta, traduzir-se num acréscimo salarial na sequência da obtenção de certificado de aptidão profissional, pela frequência de formação profissional com aproveitamento</w:t>
      </w:r>
      <w:r w:rsidRPr="009A539C">
        <w:rPr>
          <w:rFonts w:eastAsia="Calibri" w:cstheme="minorHAnsi"/>
          <w:vertAlign w:val="superscript"/>
        </w:rPr>
        <w:footnoteReference w:id="487"/>
      </w:r>
      <w:r w:rsidRPr="009A539C">
        <w:rPr>
          <w:rFonts w:eastAsia="Calibri" w:cstheme="minorHAnsi"/>
        </w:rPr>
        <w:t>.</w:t>
      </w:r>
    </w:p>
    <w:p w14:paraId="23CA5A97" w14:textId="77777777" w:rsidR="004C204B" w:rsidRPr="009A539C" w:rsidRDefault="004C204B" w:rsidP="00B90788">
      <w:pPr>
        <w:tabs>
          <w:tab w:val="left" w:pos="709"/>
        </w:tabs>
        <w:spacing w:line="360" w:lineRule="auto"/>
        <w:ind w:left="709" w:right="-1" w:hanging="284"/>
        <w:jc w:val="both"/>
        <w:rPr>
          <w:rFonts w:eastAsia="Calibri" w:cstheme="minorHAnsi"/>
        </w:rPr>
      </w:pPr>
    </w:p>
    <w:p w14:paraId="2502074F" w14:textId="77777777" w:rsidR="004C204B" w:rsidRPr="009A539C" w:rsidRDefault="004C204B" w:rsidP="00B90788">
      <w:pPr>
        <w:widowControl w:val="0"/>
        <w:tabs>
          <w:tab w:val="left" w:pos="851"/>
        </w:tabs>
        <w:autoSpaceDE w:val="0"/>
        <w:autoSpaceDN w:val="0"/>
        <w:spacing w:line="360" w:lineRule="auto"/>
        <w:ind w:right="-1" w:firstLine="426"/>
        <w:jc w:val="both"/>
        <w:rPr>
          <w:rFonts w:ascii="Calibri" w:eastAsia="Arial" w:hAnsi="Calibri" w:cs="Calibri"/>
          <w:sz w:val="23"/>
          <w:szCs w:val="23"/>
          <w:lang w:eastAsia="pt-PT" w:bidi="pt-PT"/>
        </w:rPr>
      </w:pPr>
      <w:r w:rsidRPr="009A539C">
        <w:rPr>
          <w:rFonts w:eastAsia="Calibri" w:cstheme="minorHAnsi"/>
        </w:rPr>
        <w:t>Por outro lado, também em 2019 se encontram instrumentos convencionais que perspetivam a formação como condição necessária para permitir reconversões</w:t>
      </w:r>
      <w:r w:rsidRPr="009A539C">
        <w:rPr>
          <w:rStyle w:val="Refdenotaderodap"/>
          <w:rFonts w:eastAsia="Calibri" w:cstheme="minorHAnsi"/>
        </w:rPr>
        <w:footnoteReference w:id="488"/>
      </w:r>
      <w:r w:rsidRPr="009A539C">
        <w:rPr>
          <w:rFonts w:eastAsia="Calibri" w:cstheme="minorHAnsi"/>
        </w:rPr>
        <w:t>, por condições</w:t>
      </w:r>
      <w:r w:rsidRPr="009A539C">
        <w:rPr>
          <w:rFonts w:ascii="Calibri" w:eastAsia="Calibri" w:hAnsi="Calibri" w:cs="Calibri"/>
        </w:rPr>
        <w:t xml:space="preserve"> de saúde, que imponham limitações no exercício da função</w:t>
      </w:r>
      <w:r w:rsidRPr="009A539C">
        <w:rPr>
          <w:rFonts w:ascii="Calibri" w:eastAsia="Calibri" w:hAnsi="Calibri" w:cs="Calibri"/>
          <w:vertAlign w:val="superscript"/>
        </w:rPr>
        <w:footnoteReference w:id="489"/>
      </w:r>
      <w:r w:rsidRPr="009A539C">
        <w:rPr>
          <w:rFonts w:ascii="Calibri" w:eastAsia="Calibri" w:hAnsi="Calibri" w:cs="Calibri"/>
        </w:rPr>
        <w:t>, por adaptação às novas tecnologias</w:t>
      </w:r>
      <w:r w:rsidRPr="009A539C">
        <w:rPr>
          <w:rFonts w:ascii="Calibri" w:eastAsia="Calibri" w:hAnsi="Calibri" w:cs="Calibri"/>
          <w:vertAlign w:val="superscript"/>
        </w:rPr>
        <w:footnoteReference w:id="490"/>
      </w:r>
      <w:r w:rsidRPr="009A539C">
        <w:rPr>
          <w:rFonts w:ascii="Calibri" w:eastAsia="Calibri" w:hAnsi="Calibri" w:cs="Calibri"/>
        </w:rPr>
        <w:t>,</w:t>
      </w:r>
      <w:r w:rsidRPr="009A539C">
        <w:rPr>
          <w:rFonts w:ascii="Calibri" w:eastAsia="Calibri" w:hAnsi="Calibri" w:cs="Calibri"/>
          <w:sz w:val="23"/>
          <w:szCs w:val="23"/>
        </w:rPr>
        <w:t xml:space="preserve"> em caso de mobilidade funcional </w:t>
      </w:r>
      <w:r w:rsidRPr="009A539C">
        <w:rPr>
          <w:rFonts w:ascii="Calibri" w:eastAsia="Arial" w:hAnsi="Calibri" w:cs="Calibri"/>
          <w:sz w:val="23"/>
          <w:szCs w:val="23"/>
          <w:vertAlign w:val="superscript"/>
          <w:lang w:eastAsia="pt-PT" w:bidi="pt-PT"/>
        </w:rPr>
        <w:footnoteReference w:id="491"/>
      </w:r>
      <w:r w:rsidRPr="009A539C">
        <w:rPr>
          <w:rFonts w:ascii="Calibri" w:eastAsia="Calibri" w:hAnsi="Calibri" w:cs="Calibri"/>
          <w:sz w:val="23"/>
          <w:szCs w:val="23"/>
        </w:rPr>
        <w:t xml:space="preserve"> e, ainda, em situações de extinção de posto de trabalho</w:t>
      </w:r>
      <w:r w:rsidRPr="009A539C">
        <w:rPr>
          <w:rStyle w:val="Refdenotaderodap"/>
          <w:rFonts w:ascii="Calibri" w:eastAsia="Calibri" w:hAnsi="Calibri" w:cs="Calibri"/>
          <w:sz w:val="23"/>
          <w:szCs w:val="23"/>
        </w:rPr>
        <w:footnoteReference w:id="492"/>
      </w:r>
      <w:r w:rsidRPr="009A539C">
        <w:rPr>
          <w:rFonts w:ascii="Calibri" w:eastAsia="Arial" w:hAnsi="Calibri" w:cs="Calibri"/>
          <w:sz w:val="23"/>
          <w:szCs w:val="23"/>
          <w:lang w:eastAsia="pt-PT" w:bidi="pt-PT"/>
        </w:rPr>
        <w:t xml:space="preserve">. </w:t>
      </w:r>
    </w:p>
    <w:p w14:paraId="59DF1ADE" w14:textId="77777777" w:rsidR="004C204B" w:rsidRPr="009A539C" w:rsidRDefault="004C204B" w:rsidP="00B90788">
      <w:pPr>
        <w:widowControl w:val="0"/>
        <w:tabs>
          <w:tab w:val="left" w:pos="851"/>
        </w:tabs>
        <w:autoSpaceDE w:val="0"/>
        <w:autoSpaceDN w:val="0"/>
        <w:spacing w:line="360" w:lineRule="auto"/>
        <w:ind w:right="-1" w:firstLine="426"/>
        <w:jc w:val="both"/>
        <w:rPr>
          <w:rFonts w:eastAsia="Calibri" w:cstheme="minorHAnsi"/>
        </w:rPr>
      </w:pPr>
      <w:r w:rsidRPr="009A539C">
        <w:rPr>
          <w:rFonts w:eastAsia="Calibri" w:cstheme="minorHAnsi"/>
        </w:rPr>
        <w:t>Persiste, também, a inclusão nos textos convencionais de regras que relacionam avaliação do desempenho e formação profissional, na ponderação atribuída a esta no juízo de avaliação sobre o trabalhador</w:t>
      </w:r>
      <w:r w:rsidRPr="009A539C">
        <w:rPr>
          <w:rFonts w:eastAsia="Calibri" w:cstheme="minorHAnsi"/>
          <w:vertAlign w:val="superscript"/>
        </w:rPr>
        <w:footnoteReference w:id="493"/>
      </w:r>
      <w:r w:rsidRPr="009A539C">
        <w:rPr>
          <w:rFonts w:eastAsia="Calibri" w:cstheme="minorHAnsi"/>
        </w:rPr>
        <w:t>.</w:t>
      </w:r>
    </w:p>
    <w:p w14:paraId="5F16A730" w14:textId="77777777" w:rsidR="004C204B" w:rsidRPr="009A539C" w:rsidRDefault="00D85F0F" w:rsidP="00A95C56">
      <w:pPr>
        <w:widowControl w:val="0"/>
        <w:numPr>
          <w:ilvl w:val="0"/>
          <w:numId w:val="13"/>
        </w:numPr>
        <w:autoSpaceDE w:val="0"/>
        <w:autoSpaceDN w:val="0"/>
        <w:spacing w:before="240" w:after="0" w:line="360" w:lineRule="auto"/>
        <w:ind w:left="0" w:right="-1" w:firstLine="425"/>
        <w:jc w:val="both"/>
        <w:rPr>
          <w:rFonts w:eastAsia="Calibri" w:cstheme="minorHAnsi"/>
        </w:rPr>
      </w:pPr>
      <w:r w:rsidRPr="009A539C">
        <w:rPr>
          <w:rFonts w:eastAsia="Calibri" w:cstheme="minorHAnsi"/>
        </w:rPr>
        <w:t xml:space="preserve"> </w:t>
      </w:r>
      <w:r w:rsidR="004C204B" w:rsidRPr="009A539C">
        <w:rPr>
          <w:rFonts w:eastAsia="Calibri" w:cstheme="minorHAnsi"/>
        </w:rPr>
        <w:t xml:space="preserve">Igualmente à </w:t>
      </w:r>
      <w:r w:rsidRPr="009A539C">
        <w:rPr>
          <w:rFonts w:eastAsia="Calibri" w:cstheme="minorHAnsi"/>
        </w:rPr>
        <w:t xml:space="preserve">semelhança dos anos anteriores, </w:t>
      </w:r>
      <w:r w:rsidR="004C204B" w:rsidRPr="009A539C">
        <w:rPr>
          <w:rFonts w:eastAsia="Calibri" w:cstheme="minorHAnsi"/>
        </w:rPr>
        <w:t>assinala-se o impacto da formação profissional na gestão dos tempos de trabalho, através do estabelecimento de parâmetros para a formação a desenvolver em função da sua inclusão ou não no tempo de trabalho.</w:t>
      </w:r>
    </w:p>
    <w:p w14:paraId="0318D5E6" w14:textId="77777777" w:rsidR="004C204B" w:rsidRPr="009A539C" w:rsidRDefault="004C204B" w:rsidP="00B90788">
      <w:pPr>
        <w:widowControl w:val="0"/>
        <w:tabs>
          <w:tab w:val="left" w:pos="851"/>
        </w:tabs>
        <w:autoSpaceDE w:val="0"/>
        <w:autoSpaceDN w:val="0"/>
        <w:spacing w:line="360" w:lineRule="auto"/>
        <w:ind w:right="-1" w:firstLine="426"/>
        <w:jc w:val="both"/>
        <w:rPr>
          <w:rFonts w:eastAsia="Calibri" w:cstheme="minorHAnsi"/>
        </w:rPr>
      </w:pPr>
      <w:r w:rsidRPr="009A539C">
        <w:rPr>
          <w:rFonts w:eastAsia="Calibri" w:cstheme="minorHAnsi"/>
        </w:rPr>
        <w:t>É corrente prever-se que a formação deve ocorrer durante o horário de trabalho</w:t>
      </w:r>
      <w:r w:rsidRPr="009A539C">
        <w:rPr>
          <w:rFonts w:eastAsia="Calibri" w:cstheme="minorHAnsi"/>
          <w:vertAlign w:val="superscript"/>
        </w:rPr>
        <w:footnoteReference w:id="494"/>
      </w:r>
      <w:r w:rsidRPr="009A539C">
        <w:rPr>
          <w:rFonts w:eastAsia="Calibri" w:cstheme="minorHAnsi"/>
        </w:rPr>
        <w:t>. Assim se verifica quando a formação é promovida pelo empregador</w:t>
      </w:r>
      <w:r w:rsidRPr="009A539C">
        <w:rPr>
          <w:rStyle w:val="Refdenotaderodap"/>
          <w:rFonts w:eastAsia="Calibri" w:cstheme="minorHAnsi"/>
        </w:rPr>
        <w:footnoteReference w:id="495"/>
      </w:r>
      <w:r w:rsidRPr="009A539C">
        <w:rPr>
          <w:rFonts w:eastAsia="Calibri" w:cstheme="minorHAnsi"/>
        </w:rPr>
        <w:t>, regra também aplicável em grande parte das situações em que a formação é da iniciativa do trabalhador, no âmbito do crédito de horas. Nestas circunstâncias é considerado como tempo de trabalho, retribuído nos mesmos termos e contando como tempo de serviço</w:t>
      </w:r>
      <w:r w:rsidRPr="009A539C">
        <w:rPr>
          <w:rStyle w:val="Refdenotaderodap"/>
          <w:rFonts w:eastAsia="Calibri" w:cstheme="minorHAnsi"/>
        </w:rPr>
        <w:footnoteReference w:id="496"/>
      </w:r>
      <w:r w:rsidRPr="009A539C">
        <w:rPr>
          <w:rFonts w:eastAsia="Calibri" w:cstheme="minorHAnsi"/>
        </w:rPr>
        <w:t>.</w:t>
      </w:r>
    </w:p>
    <w:p w14:paraId="6AD29CE3" w14:textId="77777777" w:rsidR="004C204B" w:rsidRPr="009A539C" w:rsidRDefault="004C204B" w:rsidP="00B90788">
      <w:pPr>
        <w:widowControl w:val="0"/>
        <w:tabs>
          <w:tab w:val="left" w:pos="851"/>
        </w:tabs>
        <w:autoSpaceDE w:val="0"/>
        <w:autoSpaceDN w:val="0"/>
        <w:spacing w:line="360" w:lineRule="auto"/>
        <w:ind w:right="-1" w:firstLine="426"/>
        <w:jc w:val="both"/>
        <w:rPr>
          <w:rFonts w:eastAsia="Calibri" w:cstheme="minorHAnsi"/>
        </w:rPr>
      </w:pPr>
      <w:r w:rsidRPr="009A539C">
        <w:rPr>
          <w:rFonts w:eastAsia="Calibri" w:cstheme="minorHAnsi"/>
        </w:rPr>
        <w:t>Na formação ministrada fora do horário de trabalho, há diversas situações: por exemplo, podem ser estabelecidas, caso a caso, as condições de pagamento das horas que excedam os limites do PNT</w:t>
      </w:r>
      <w:r w:rsidRPr="009A539C">
        <w:rPr>
          <w:rFonts w:eastAsia="Calibri" w:cstheme="minorHAnsi"/>
          <w:vertAlign w:val="superscript"/>
        </w:rPr>
        <w:footnoteReference w:id="497"/>
      </w:r>
      <w:r w:rsidRPr="009A539C">
        <w:rPr>
          <w:rFonts w:eastAsia="Calibri" w:cstheme="minorHAnsi"/>
        </w:rPr>
        <w:t>.</w:t>
      </w:r>
    </w:p>
    <w:p w14:paraId="2CD9A37C" w14:textId="77777777" w:rsidR="004C204B" w:rsidRPr="009A539C" w:rsidRDefault="004C204B" w:rsidP="00A95C56">
      <w:pPr>
        <w:widowControl w:val="0"/>
        <w:numPr>
          <w:ilvl w:val="0"/>
          <w:numId w:val="13"/>
        </w:numPr>
        <w:autoSpaceDE w:val="0"/>
        <w:autoSpaceDN w:val="0"/>
        <w:spacing w:before="240" w:after="0" w:line="360" w:lineRule="auto"/>
        <w:ind w:left="0" w:right="-1" w:firstLine="425"/>
        <w:jc w:val="both"/>
        <w:rPr>
          <w:rFonts w:eastAsia="Calibri" w:cstheme="minorHAnsi"/>
        </w:rPr>
      </w:pPr>
      <w:r w:rsidRPr="009A539C">
        <w:rPr>
          <w:rFonts w:eastAsia="Calibri" w:cstheme="minorHAnsi"/>
        </w:rPr>
        <w:t>É usual os encargos com a formação profissional estarem a cargo do empregador</w:t>
      </w:r>
      <w:r w:rsidRPr="009A539C">
        <w:rPr>
          <w:rFonts w:eastAsia="Calibri" w:cstheme="minorHAnsi"/>
          <w:vertAlign w:val="superscript"/>
        </w:rPr>
        <w:footnoteReference w:id="498"/>
      </w:r>
      <w:r w:rsidRPr="009A539C">
        <w:rPr>
          <w:rFonts w:eastAsia="Calibri" w:cstheme="minorHAnsi"/>
        </w:rPr>
        <w:t xml:space="preserve">, como se mencionou relativamente à formação inicial e a propósito do desempenho de profissões regulamentadas. Tendo como pressuposto o art.131º do CT, </w:t>
      </w:r>
      <w:r w:rsidRPr="009A539C">
        <w:rPr>
          <w:rFonts w:ascii="Calibri" w:eastAsia="Calibri" w:hAnsi="Calibri"/>
          <w:sz w:val="23"/>
          <w:szCs w:val="23"/>
        </w:rPr>
        <w:t xml:space="preserve">os </w:t>
      </w:r>
      <w:r w:rsidRPr="009A539C">
        <w:rPr>
          <w:rFonts w:ascii="Calibri" w:eastAsia="Calibri" w:hAnsi="Calibri" w:cs="Calibri"/>
          <w:sz w:val="23"/>
          <w:szCs w:val="23"/>
        </w:rPr>
        <w:t xml:space="preserve">custos de deslocação, </w:t>
      </w:r>
      <w:r w:rsidRPr="009A539C">
        <w:rPr>
          <w:rFonts w:eastAsia="Calibri" w:cstheme="minorHAnsi"/>
        </w:rPr>
        <w:t xml:space="preserve">alojamento e alimentação </w:t>
      </w:r>
      <w:r w:rsidRPr="009A539C">
        <w:rPr>
          <w:rFonts w:ascii="Calibri" w:eastAsia="Calibri" w:hAnsi="Calibri" w:cs="Calibri"/>
          <w:sz w:val="23"/>
          <w:szCs w:val="23"/>
        </w:rPr>
        <w:t>para frequência de formação profissional fora do local de trabalho habitual, constituem, regularmente, um encargo do empregador</w:t>
      </w:r>
      <w:r w:rsidRPr="009A539C">
        <w:rPr>
          <w:rStyle w:val="Refdenotaderodap"/>
          <w:rFonts w:eastAsia="Calibri" w:cstheme="minorHAnsi"/>
        </w:rPr>
        <w:footnoteReference w:id="499"/>
      </w:r>
      <w:r w:rsidRPr="009A539C">
        <w:rPr>
          <w:rFonts w:ascii="Calibri" w:eastAsia="Calibri" w:hAnsi="Calibri" w:cs="Calibri"/>
          <w:sz w:val="23"/>
          <w:szCs w:val="23"/>
        </w:rPr>
        <w:t>.</w:t>
      </w:r>
    </w:p>
    <w:p w14:paraId="34618F8F" w14:textId="77777777" w:rsidR="004C204B" w:rsidRPr="009A539C" w:rsidRDefault="004C204B" w:rsidP="00B90788">
      <w:pPr>
        <w:widowControl w:val="0"/>
        <w:tabs>
          <w:tab w:val="left" w:pos="851"/>
        </w:tabs>
        <w:autoSpaceDE w:val="0"/>
        <w:autoSpaceDN w:val="0"/>
        <w:spacing w:line="360" w:lineRule="auto"/>
        <w:ind w:right="-1" w:firstLine="426"/>
        <w:jc w:val="both"/>
        <w:rPr>
          <w:rFonts w:ascii="Calibri" w:eastAsia="Calibri" w:hAnsi="Calibri"/>
          <w:sz w:val="23"/>
          <w:szCs w:val="23"/>
        </w:rPr>
      </w:pPr>
      <w:r w:rsidRPr="009A539C">
        <w:rPr>
          <w:rFonts w:eastAsia="Calibri" w:cstheme="minorHAnsi"/>
        </w:rPr>
        <w:t xml:space="preserve">Existem outras formas de o empregador apoiar os </w:t>
      </w:r>
      <w:r w:rsidRPr="009A539C">
        <w:rPr>
          <w:rFonts w:ascii="Calibri" w:eastAsia="Calibri" w:hAnsi="Calibri"/>
          <w:sz w:val="23"/>
          <w:szCs w:val="23"/>
        </w:rPr>
        <w:t>encargos decorrentes da formação profissional, por exem</w:t>
      </w:r>
      <w:r w:rsidR="005909A9" w:rsidRPr="009A539C">
        <w:rPr>
          <w:rFonts w:ascii="Calibri" w:eastAsia="Calibri" w:hAnsi="Calibri"/>
          <w:sz w:val="23"/>
          <w:szCs w:val="23"/>
        </w:rPr>
        <w:t>plo: uma convenção afeta-lhe 2%</w:t>
      </w:r>
      <w:r w:rsidRPr="009A539C">
        <w:rPr>
          <w:rFonts w:ascii="Calibri" w:eastAsia="Calibri" w:hAnsi="Calibri"/>
          <w:sz w:val="23"/>
          <w:szCs w:val="23"/>
        </w:rPr>
        <w:t xml:space="preserve"> da massa salarial</w:t>
      </w:r>
      <w:r w:rsidRPr="009A539C">
        <w:rPr>
          <w:rStyle w:val="Refdenotaderodap"/>
          <w:rFonts w:ascii="Calibri" w:eastAsia="Calibri" w:hAnsi="Calibri"/>
          <w:sz w:val="23"/>
          <w:szCs w:val="23"/>
        </w:rPr>
        <w:footnoteReference w:id="500"/>
      </w:r>
      <w:r w:rsidRPr="009A539C">
        <w:rPr>
          <w:rFonts w:ascii="Calibri" w:eastAsia="Calibri" w:hAnsi="Calibri"/>
          <w:sz w:val="23"/>
          <w:szCs w:val="23"/>
        </w:rPr>
        <w:t>.</w:t>
      </w:r>
    </w:p>
    <w:p w14:paraId="1DCD2DAE" w14:textId="77777777" w:rsidR="004C204B" w:rsidRPr="009A539C" w:rsidRDefault="004C204B" w:rsidP="00B90788">
      <w:pPr>
        <w:widowControl w:val="0"/>
        <w:tabs>
          <w:tab w:val="left" w:pos="851"/>
        </w:tabs>
        <w:autoSpaceDE w:val="0"/>
        <w:autoSpaceDN w:val="0"/>
        <w:spacing w:after="0" w:line="360" w:lineRule="auto"/>
        <w:ind w:right="-1" w:firstLine="426"/>
        <w:jc w:val="both"/>
        <w:rPr>
          <w:rFonts w:eastAsia="Arial" w:cstheme="minorHAnsi"/>
          <w:lang w:eastAsia="pt-PT" w:bidi="pt-PT"/>
        </w:rPr>
      </w:pPr>
      <w:r w:rsidRPr="009A539C">
        <w:rPr>
          <w:rFonts w:eastAsia="Calibri" w:cstheme="minorHAnsi"/>
        </w:rPr>
        <w:t xml:space="preserve">Na formação por iniciativa do trabalhador, há a possibilidade de o empregador apoiar a formação, </w:t>
      </w:r>
      <w:r w:rsidRPr="009A539C">
        <w:rPr>
          <w:rFonts w:eastAsia="Arial" w:cstheme="minorHAnsi"/>
          <w:lang w:eastAsia="pt-PT" w:bidi="pt-PT"/>
        </w:rPr>
        <w:t>desde que se compreenda no âmbito das suas funções</w:t>
      </w:r>
      <w:r w:rsidRPr="009A539C">
        <w:rPr>
          <w:rFonts w:eastAsia="Calibri" w:cstheme="minorHAnsi"/>
          <w:vertAlign w:val="superscript"/>
          <w:lang w:eastAsia="pt-PT" w:bidi="pt-PT"/>
        </w:rPr>
        <w:footnoteReference w:id="501"/>
      </w:r>
      <w:r w:rsidRPr="009A539C">
        <w:rPr>
          <w:rFonts w:eastAsia="Arial" w:cstheme="minorHAnsi"/>
          <w:lang w:eastAsia="pt-PT" w:bidi="pt-PT"/>
        </w:rPr>
        <w:t>; admite-se, noutros casos, a concessão de licença sem retribuição, em termos semelhantes à lei (art.92.ºCT), embora com ampliação dos períodos de licença admitidos</w:t>
      </w:r>
      <w:r w:rsidRPr="009A539C">
        <w:rPr>
          <w:rFonts w:eastAsia="Calibri" w:cstheme="minorHAnsi"/>
          <w:vertAlign w:val="superscript"/>
          <w:lang w:eastAsia="pt-PT" w:bidi="pt-PT"/>
        </w:rPr>
        <w:footnoteReference w:id="502"/>
      </w:r>
      <w:r w:rsidRPr="009A539C">
        <w:rPr>
          <w:rFonts w:eastAsia="Arial" w:cstheme="minorHAnsi"/>
          <w:lang w:eastAsia="pt-PT" w:bidi="pt-PT"/>
        </w:rPr>
        <w:t>.</w:t>
      </w:r>
    </w:p>
    <w:p w14:paraId="635E1FAF" w14:textId="77777777" w:rsidR="004C204B" w:rsidRPr="009A539C" w:rsidRDefault="004C204B" w:rsidP="00B90788">
      <w:pPr>
        <w:widowControl w:val="0"/>
        <w:tabs>
          <w:tab w:val="left" w:pos="851"/>
        </w:tabs>
        <w:autoSpaceDE w:val="0"/>
        <w:autoSpaceDN w:val="0"/>
        <w:spacing w:after="0" w:line="360" w:lineRule="auto"/>
        <w:ind w:right="-1"/>
        <w:jc w:val="both"/>
        <w:rPr>
          <w:rFonts w:eastAsia="Arial" w:cstheme="minorHAnsi"/>
          <w:lang w:eastAsia="pt-PT" w:bidi="pt-PT"/>
        </w:rPr>
      </w:pPr>
      <w:r w:rsidRPr="009A539C">
        <w:rPr>
          <w:rFonts w:eastAsia="Arial" w:cstheme="minorHAnsi"/>
          <w:lang w:eastAsia="pt-PT" w:bidi="pt-PT"/>
        </w:rPr>
        <w:t xml:space="preserve">Há ainda soluções mais inovadoras face ao desenho legal, concedendo benefícios como: </w:t>
      </w:r>
    </w:p>
    <w:p w14:paraId="2CF2749C" w14:textId="462A380A" w:rsidR="004C204B" w:rsidRPr="009A539C" w:rsidRDefault="004C204B" w:rsidP="00A95C56">
      <w:pPr>
        <w:pStyle w:val="PargrafodaLista"/>
        <w:widowControl w:val="0"/>
        <w:numPr>
          <w:ilvl w:val="0"/>
          <w:numId w:val="14"/>
        </w:numPr>
        <w:tabs>
          <w:tab w:val="left" w:pos="851"/>
        </w:tabs>
        <w:autoSpaceDE w:val="0"/>
        <w:autoSpaceDN w:val="0"/>
        <w:spacing w:after="0" w:line="360" w:lineRule="auto"/>
        <w:ind w:right="-1"/>
        <w:contextualSpacing w:val="0"/>
        <w:jc w:val="both"/>
        <w:rPr>
          <w:rFonts w:eastAsia="Calibri" w:cstheme="minorHAnsi"/>
        </w:rPr>
      </w:pPr>
      <w:r w:rsidRPr="009A539C">
        <w:rPr>
          <w:rFonts w:eastAsia="Calibri" w:cstheme="minorHAnsi"/>
        </w:rPr>
        <w:t xml:space="preserve">a majoração de 0,5% do salário base aos trabalhadores que frequentem </w:t>
      </w:r>
      <w:r w:rsidR="000B2826" w:rsidRPr="009A539C">
        <w:rPr>
          <w:rFonts w:eastAsia="Calibri" w:cstheme="minorHAnsi"/>
        </w:rPr>
        <w:t xml:space="preserve">formação </w:t>
      </w:r>
      <w:r w:rsidRPr="009A539C">
        <w:rPr>
          <w:rFonts w:eastAsia="Calibri" w:cstheme="minorHAnsi"/>
        </w:rPr>
        <w:t xml:space="preserve">pós-laboral de duração superior a 20horas </w:t>
      </w:r>
      <w:r w:rsidRPr="009A539C">
        <w:rPr>
          <w:rStyle w:val="Refdenotaderodap"/>
          <w:rFonts w:eastAsia="Calibri" w:cstheme="minorHAnsi"/>
        </w:rPr>
        <w:footnoteReference w:id="503"/>
      </w:r>
      <w:r w:rsidRPr="009A539C">
        <w:rPr>
          <w:rFonts w:eastAsia="Calibri" w:cstheme="minorHAnsi"/>
        </w:rPr>
        <w:t>;</w:t>
      </w:r>
    </w:p>
    <w:p w14:paraId="6C705E0F" w14:textId="77777777" w:rsidR="004C204B" w:rsidRPr="009A539C" w:rsidRDefault="004C204B" w:rsidP="00A95C56">
      <w:pPr>
        <w:pStyle w:val="PargrafodaLista"/>
        <w:numPr>
          <w:ilvl w:val="0"/>
          <w:numId w:val="14"/>
        </w:numPr>
        <w:spacing w:after="0" w:line="360" w:lineRule="auto"/>
        <w:ind w:right="-1"/>
        <w:contextualSpacing w:val="0"/>
        <w:jc w:val="both"/>
        <w:rPr>
          <w:rFonts w:eastAsia="Calibri" w:cstheme="minorHAnsi"/>
        </w:rPr>
      </w:pPr>
      <w:r w:rsidRPr="009A539C">
        <w:rPr>
          <w:rFonts w:eastAsia="Calibri" w:cstheme="minorHAnsi"/>
        </w:rPr>
        <w:t xml:space="preserve"> </w:t>
      </w:r>
      <w:r w:rsidR="005909A9" w:rsidRPr="009A539C">
        <w:rPr>
          <w:rFonts w:eastAsia="Calibri" w:cstheme="minorHAnsi"/>
        </w:rPr>
        <w:t xml:space="preserve">licença </w:t>
      </w:r>
      <w:r w:rsidRPr="009A539C">
        <w:rPr>
          <w:rFonts w:eastAsia="Calibri" w:cstheme="minorHAnsi"/>
        </w:rPr>
        <w:t>de curta duração, atribuída por acordo com o empregador, sem prejuízo da retribuição e demais regalias, que abranja parte ou a totalidade do período diário ou semanal de trabalho, cuja duração será imputada em 50 % no número mínimo de horas de formação exigidas por  lei</w:t>
      </w:r>
      <w:r w:rsidRPr="009A539C">
        <w:rPr>
          <w:vertAlign w:val="superscript"/>
        </w:rPr>
        <w:footnoteReference w:id="504"/>
      </w:r>
      <w:r w:rsidRPr="009A539C">
        <w:rPr>
          <w:rFonts w:eastAsia="Calibri" w:cstheme="minorHAnsi"/>
        </w:rPr>
        <w:t>.</w:t>
      </w:r>
    </w:p>
    <w:p w14:paraId="2DD55A0A" w14:textId="4D10ED73" w:rsidR="004C204B" w:rsidRPr="009A539C" w:rsidRDefault="005909A9" w:rsidP="00A95C56">
      <w:pPr>
        <w:widowControl w:val="0"/>
        <w:numPr>
          <w:ilvl w:val="0"/>
          <w:numId w:val="13"/>
        </w:numPr>
        <w:tabs>
          <w:tab w:val="left" w:pos="851"/>
        </w:tabs>
        <w:autoSpaceDE w:val="0"/>
        <w:autoSpaceDN w:val="0"/>
        <w:spacing w:before="240" w:after="0" w:line="360" w:lineRule="auto"/>
        <w:ind w:left="0" w:right="-1" w:firstLine="426"/>
        <w:jc w:val="both"/>
        <w:rPr>
          <w:rFonts w:eastAsia="Arial" w:cstheme="minorHAnsi"/>
          <w:lang w:eastAsia="pt-PT" w:bidi="pt-PT"/>
        </w:rPr>
      </w:pPr>
      <w:r w:rsidRPr="009A539C">
        <w:rPr>
          <w:rFonts w:eastAsia="Arial" w:cstheme="minorHAnsi"/>
          <w:lang w:eastAsia="pt-PT" w:bidi="pt-PT"/>
        </w:rPr>
        <w:t xml:space="preserve"> </w:t>
      </w:r>
      <w:r w:rsidR="004C204B" w:rsidRPr="009A539C">
        <w:rPr>
          <w:rFonts w:eastAsia="Arial" w:cstheme="minorHAnsi"/>
          <w:lang w:eastAsia="pt-PT" w:bidi="pt-PT"/>
        </w:rPr>
        <w:t>Quando a formação é suportada pelo empregador, e os custos de formação são avultados, é usual a previsão da obrigação de permanência do trabalhador, por período não inferior a 1 ano, 3 anos</w:t>
      </w:r>
      <w:r w:rsidR="004C204B" w:rsidRPr="009A539C">
        <w:rPr>
          <w:rStyle w:val="Refdenotaderodap"/>
          <w:rFonts w:eastAsia="Arial" w:cstheme="minorHAnsi"/>
          <w:lang w:eastAsia="pt-PT" w:bidi="pt-PT"/>
        </w:rPr>
        <w:footnoteReference w:id="505"/>
      </w:r>
      <w:r w:rsidR="004C204B" w:rsidRPr="009A539C">
        <w:rPr>
          <w:rFonts w:eastAsia="Arial" w:cstheme="minorHAnsi"/>
          <w:lang w:eastAsia="pt-PT" w:bidi="pt-PT"/>
        </w:rPr>
        <w:t>, 5 anos</w:t>
      </w:r>
      <w:r w:rsidR="004C204B" w:rsidRPr="009A539C">
        <w:rPr>
          <w:rStyle w:val="Refdenotaderodap"/>
          <w:rFonts w:eastAsia="Arial" w:cstheme="minorHAnsi"/>
          <w:lang w:eastAsia="pt-PT" w:bidi="pt-PT"/>
        </w:rPr>
        <w:footnoteReference w:id="506"/>
      </w:r>
      <w:r w:rsidR="004C204B" w:rsidRPr="009A539C">
        <w:rPr>
          <w:rFonts w:eastAsia="Arial" w:cstheme="minorHAnsi"/>
          <w:lang w:eastAsia="pt-PT" w:bidi="pt-PT"/>
        </w:rPr>
        <w:t xml:space="preserve"> ou no período de validade do título </w:t>
      </w:r>
      <w:r w:rsidR="004C204B" w:rsidRPr="009A539C">
        <w:rPr>
          <w:rStyle w:val="Refdenotaderodap"/>
          <w:rFonts w:eastAsia="Arial" w:cstheme="minorHAnsi"/>
          <w:lang w:eastAsia="pt-PT" w:bidi="pt-PT"/>
        </w:rPr>
        <w:footnoteReference w:id="507"/>
      </w:r>
      <w:r w:rsidR="000B2826" w:rsidRPr="009A539C">
        <w:rPr>
          <w:rFonts w:eastAsia="Arial" w:cstheme="minorHAnsi"/>
          <w:lang w:eastAsia="pt-PT" w:bidi="pt-PT"/>
        </w:rPr>
        <w:t xml:space="preserve">, </w:t>
      </w:r>
      <w:r w:rsidR="004C204B" w:rsidRPr="009A539C">
        <w:rPr>
          <w:rFonts w:eastAsia="Arial" w:cstheme="minorHAnsi"/>
          <w:lang w:eastAsia="pt-PT" w:bidi="pt-PT"/>
        </w:rPr>
        <w:t xml:space="preserve"> contados a partir da data de conclusão dessa formação. Em caso de incumprimento, o trabalhador obriga-se a reembolsar o empregador das despesas suportadas</w:t>
      </w:r>
      <w:r w:rsidR="004C204B" w:rsidRPr="009A539C">
        <w:rPr>
          <w:rFonts w:eastAsia="Arial" w:cstheme="minorHAnsi"/>
          <w:vertAlign w:val="superscript"/>
          <w:lang w:eastAsia="pt-PT" w:bidi="pt-PT"/>
        </w:rPr>
        <w:footnoteReference w:id="508"/>
      </w:r>
      <w:r w:rsidR="004C204B" w:rsidRPr="009A539C">
        <w:rPr>
          <w:rFonts w:eastAsia="Arial" w:cstheme="minorHAnsi"/>
          <w:lang w:eastAsia="pt-PT" w:bidi="pt-PT"/>
        </w:rPr>
        <w:t xml:space="preserve">. </w:t>
      </w:r>
    </w:p>
    <w:p w14:paraId="6CEBFD62" w14:textId="77777777" w:rsidR="004C204B" w:rsidRPr="009A539C" w:rsidRDefault="004C204B" w:rsidP="00A95C56">
      <w:pPr>
        <w:widowControl w:val="0"/>
        <w:numPr>
          <w:ilvl w:val="0"/>
          <w:numId w:val="13"/>
        </w:numPr>
        <w:tabs>
          <w:tab w:val="left" w:pos="851"/>
        </w:tabs>
        <w:autoSpaceDE w:val="0"/>
        <w:autoSpaceDN w:val="0"/>
        <w:spacing w:before="240" w:after="0" w:line="360" w:lineRule="auto"/>
        <w:ind w:left="0" w:right="-1" w:firstLine="426"/>
        <w:jc w:val="both"/>
        <w:rPr>
          <w:rFonts w:eastAsia="Arial" w:cstheme="minorHAnsi"/>
          <w:lang w:eastAsia="pt-PT" w:bidi="pt-PT"/>
        </w:rPr>
      </w:pPr>
      <w:r w:rsidRPr="009A539C">
        <w:rPr>
          <w:rFonts w:eastAsia="Calibri" w:cstheme="minorHAnsi"/>
        </w:rPr>
        <w:t>As projeções do princípio da igualdade e não discriminação no que respeita ao acesso à formação, nomeadamente, quanto a trabalhadores com capacidade de trabalho reduzida, resultante da idade, doença ou acidente</w:t>
      </w:r>
      <w:r w:rsidRPr="009A539C">
        <w:rPr>
          <w:rFonts w:eastAsia="Calibri" w:cstheme="minorHAnsi"/>
          <w:vertAlign w:val="superscript"/>
        </w:rPr>
        <w:footnoteReference w:id="509"/>
      </w:r>
      <w:r w:rsidRPr="009A539C">
        <w:rPr>
          <w:rFonts w:eastAsia="Calibri" w:cstheme="minorHAnsi"/>
        </w:rPr>
        <w:t>, serão desenvolvidas no ponto 4.4.7.</w:t>
      </w:r>
    </w:p>
    <w:p w14:paraId="34648AF1" w14:textId="77777777" w:rsidR="004C204B" w:rsidRPr="009A539C" w:rsidRDefault="004C204B" w:rsidP="00B90788">
      <w:pPr>
        <w:spacing w:line="360" w:lineRule="auto"/>
        <w:ind w:right="-1"/>
        <w:rPr>
          <w:rFonts w:ascii="Calibri" w:hAnsi="Calibri" w:cs="Calibri"/>
        </w:rPr>
      </w:pPr>
    </w:p>
    <w:p w14:paraId="10332096" w14:textId="77777777" w:rsidR="0068379F" w:rsidRPr="009A539C" w:rsidRDefault="0068379F" w:rsidP="00B90788">
      <w:pPr>
        <w:spacing w:line="360" w:lineRule="auto"/>
        <w:ind w:right="-1"/>
        <w:rPr>
          <w:rFonts w:ascii="Calibri" w:hAnsi="Calibri" w:cs="Calibri"/>
        </w:rPr>
      </w:pPr>
    </w:p>
    <w:p w14:paraId="1475D696" w14:textId="4F2BE8FA" w:rsidR="00604AF9" w:rsidRPr="009A539C" w:rsidRDefault="00604AF9" w:rsidP="00AF188D">
      <w:pPr>
        <w:pStyle w:val="PargrafodaLista"/>
        <w:numPr>
          <w:ilvl w:val="3"/>
          <w:numId w:val="50"/>
        </w:numPr>
        <w:spacing w:before="240" w:line="360" w:lineRule="auto"/>
        <w:ind w:left="850"/>
        <w:jc w:val="both"/>
        <w:outlineLvl w:val="3"/>
        <w:rPr>
          <w:rFonts w:ascii="Calibri" w:hAnsi="Calibri" w:cs="Calibri"/>
        </w:rPr>
      </w:pPr>
      <w:bookmarkStart w:id="728" w:name="_Toc45535727"/>
      <w:r w:rsidRPr="009A539C">
        <w:rPr>
          <w:rFonts w:ascii="Calibri" w:hAnsi="Calibri" w:cs="Calibri"/>
        </w:rPr>
        <w:t>Trabalhadores-estudantes</w:t>
      </w:r>
      <w:bookmarkEnd w:id="728"/>
      <w:r w:rsidR="00C95644" w:rsidRPr="009A539C">
        <w:rPr>
          <w:rFonts w:ascii="Calibri" w:hAnsi="Calibri" w:cs="Calibri"/>
        </w:rPr>
        <w:t xml:space="preserve"> </w:t>
      </w:r>
      <w:r w:rsidR="00DF12FC" w:rsidRPr="009A539C">
        <w:rPr>
          <w:rFonts w:ascii="Calibri" w:hAnsi="Calibri" w:cs="Calibri"/>
        </w:rPr>
        <w:t xml:space="preserve"> </w:t>
      </w:r>
    </w:p>
    <w:p w14:paraId="07B605E6" w14:textId="19FA4524" w:rsidR="004C204B" w:rsidRPr="009A539C" w:rsidRDefault="004C204B" w:rsidP="00A95C56">
      <w:pPr>
        <w:widowControl w:val="0"/>
        <w:numPr>
          <w:ilvl w:val="0"/>
          <w:numId w:val="15"/>
        </w:numPr>
        <w:tabs>
          <w:tab w:val="left" w:pos="851"/>
        </w:tabs>
        <w:autoSpaceDE w:val="0"/>
        <w:autoSpaceDN w:val="0"/>
        <w:spacing w:before="240" w:after="0" w:line="360" w:lineRule="auto"/>
        <w:ind w:left="0" w:right="-1" w:firstLine="425"/>
        <w:jc w:val="both"/>
        <w:rPr>
          <w:rFonts w:eastAsia="Arial" w:cstheme="minorHAnsi"/>
          <w:lang w:eastAsia="pt-PT" w:bidi="pt-PT"/>
        </w:rPr>
      </w:pPr>
      <w:r w:rsidRPr="009A539C">
        <w:rPr>
          <w:rFonts w:eastAsia="Arial" w:cstheme="minorHAnsi"/>
          <w:lang w:eastAsia="pt-PT" w:bidi="pt-PT"/>
        </w:rPr>
        <w:t xml:space="preserve">A disciplina convencional relacionada com o estatuto do trabalhador-estudante </w:t>
      </w:r>
      <w:r w:rsidR="000B2826" w:rsidRPr="009A539C">
        <w:rPr>
          <w:rFonts w:eastAsia="Arial" w:cstheme="minorHAnsi"/>
          <w:lang w:eastAsia="pt-PT" w:bidi="pt-PT"/>
        </w:rPr>
        <w:t>preserva</w:t>
      </w:r>
      <w:r w:rsidRPr="009A539C">
        <w:rPr>
          <w:rFonts w:eastAsia="Arial" w:cstheme="minorHAnsi"/>
          <w:lang w:eastAsia="pt-PT" w:bidi="pt-PT"/>
        </w:rPr>
        <w:t xml:space="preserve">, em 2019, algumas soluções complementares ao regime legal, muitas delas articuladas com </w:t>
      </w:r>
      <w:r w:rsidR="00C578C5" w:rsidRPr="009A539C">
        <w:rPr>
          <w:rFonts w:eastAsia="Arial" w:cstheme="minorHAnsi"/>
          <w:lang w:eastAsia="pt-PT" w:bidi="pt-PT"/>
        </w:rPr>
        <w:t>as disposições</w:t>
      </w:r>
      <w:r w:rsidR="0040111D" w:rsidRPr="009A539C">
        <w:rPr>
          <w:rFonts w:eastAsia="Arial" w:cstheme="minorHAnsi"/>
          <w:lang w:eastAsia="pt-PT" w:bidi="pt-PT"/>
        </w:rPr>
        <w:t xml:space="preserve"> </w:t>
      </w:r>
      <w:r w:rsidR="005D5E92" w:rsidRPr="009A539C">
        <w:rPr>
          <w:rFonts w:eastAsia="Arial" w:cstheme="minorHAnsi"/>
          <w:lang w:eastAsia="pt-PT" w:bidi="pt-PT"/>
        </w:rPr>
        <w:t>da</w:t>
      </w:r>
      <w:r w:rsidRPr="009A539C">
        <w:rPr>
          <w:rFonts w:eastAsia="Arial" w:cstheme="minorHAnsi"/>
          <w:lang w:eastAsia="pt-PT" w:bidi="pt-PT"/>
        </w:rPr>
        <w:t xml:space="preserve"> formação profissional, </w:t>
      </w:r>
      <w:r w:rsidR="0040111D" w:rsidRPr="009A539C">
        <w:rPr>
          <w:rFonts w:eastAsia="Arial" w:cstheme="minorHAnsi"/>
          <w:i/>
          <w:lang w:eastAsia="pt-PT" w:bidi="pt-PT"/>
        </w:rPr>
        <w:t>máxime,</w:t>
      </w:r>
      <w:r w:rsidRPr="009A539C">
        <w:rPr>
          <w:rFonts w:eastAsia="Arial" w:cstheme="minorHAnsi"/>
          <w:lang w:eastAsia="pt-PT" w:bidi="pt-PT"/>
        </w:rPr>
        <w:t xml:space="preserve"> a formação por iniciativa do trabalhador. </w:t>
      </w:r>
    </w:p>
    <w:p w14:paraId="6D0CEE04" w14:textId="77777777" w:rsidR="004C204B" w:rsidRPr="009A539C" w:rsidRDefault="004C204B" w:rsidP="00A95C56">
      <w:pPr>
        <w:widowControl w:val="0"/>
        <w:numPr>
          <w:ilvl w:val="0"/>
          <w:numId w:val="15"/>
        </w:numPr>
        <w:tabs>
          <w:tab w:val="left" w:pos="851"/>
        </w:tabs>
        <w:autoSpaceDE w:val="0"/>
        <w:autoSpaceDN w:val="0"/>
        <w:spacing w:before="240" w:after="0" w:line="360" w:lineRule="auto"/>
        <w:ind w:left="0" w:right="-1" w:firstLine="425"/>
        <w:jc w:val="both"/>
        <w:rPr>
          <w:rFonts w:ascii="Calibri" w:eastAsia="Arial" w:hAnsi="Calibri" w:cs="Calibri"/>
          <w:sz w:val="23"/>
          <w:szCs w:val="23"/>
          <w:lang w:eastAsia="pt-PT" w:bidi="pt-PT"/>
        </w:rPr>
      </w:pPr>
      <w:r w:rsidRPr="009A539C">
        <w:rPr>
          <w:rFonts w:eastAsia="Arial" w:cstheme="minorHAnsi"/>
          <w:lang w:eastAsia="pt-PT" w:bidi="pt-PT"/>
        </w:rPr>
        <w:t>Como habitualmente, as soluções convencionais tendem a incidir sobre a flexibilização dos tempos de trabalho, promovendo a conciliação dos percursos académicos</w:t>
      </w:r>
      <w:r w:rsidRPr="009A539C">
        <w:rPr>
          <w:rFonts w:ascii="Calibri" w:eastAsia="Arial" w:hAnsi="Calibri" w:cs="Calibri"/>
          <w:lang w:eastAsia="pt-PT" w:bidi="pt-PT"/>
        </w:rPr>
        <w:t xml:space="preserve"> com a prestação d</w:t>
      </w:r>
      <w:r w:rsidR="005909A9" w:rsidRPr="009A539C">
        <w:rPr>
          <w:rFonts w:ascii="Calibri" w:eastAsia="Arial" w:hAnsi="Calibri" w:cs="Calibri"/>
          <w:lang w:eastAsia="pt-PT" w:bidi="pt-PT"/>
        </w:rPr>
        <w:t>e</w:t>
      </w:r>
      <w:r w:rsidRPr="009A539C">
        <w:rPr>
          <w:rFonts w:ascii="Calibri" w:eastAsia="Arial" w:hAnsi="Calibri" w:cs="Calibri"/>
          <w:sz w:val="23"/>
          <w:szCs w:val="23"/>
          <w:lang w:eastAsia="pt-PT" w:bidi="pt-PT"/>
        </w:rPr>
        <w:t xml:space="preserve"> atividade do trabalhador-estudante. Entre as medidas relacionadas com a organização do </w:t>
      </w:r>
      <w:r w:rsidRPr="009A539C">
        <w:rPr>
          <w:rFonts w:eastAsia="Arial" w:cstheme="minorHAnsi"/>
          <w:lang w:eastAsia="pt-PT" w:bidi="pt-PT"/>
        </w:rPr>
        <w:t>tempo de trabalho mantém-se a presença das seguintes soluções:</w:t>
      </w:r>
    </w:p>
    <w:p w14:paraId="241408C4" w14:textId="77777777" w:rsidR="004C204B" w:rsidRPr="009A539C" w:rsidRDefault="004C204B" w:rsidP="00A95C56">
      <w:pPr>
        <w:numPr>
          <w:ilvl w:val="0"/>
          <w:numId w:val="16"/>
        </w:numPr>
        <w:spacing w:after="0" w:line="360" w:lineRule="auto"/>
        <w:ind w:right="-1" w:hanging="294"/>
        <w:contextualSpacing/>
        <w:jc w:val="both"/>
        <w:rPr>
          <w:rFonts w:eastAsia="Calibri" w:cstheme="minorHAnsi"/>
        </w:rPr>
      </w:pPr>
      <w:r w:rsidRPr="009A539C">
        <w:rPr>
          <w:rFonts w:eastAsia="Calibri" w:cstheme="minorHAnsi"/>
        </w:rPr>
        <w:t>a possibilidade de definição de outros horários específicos no âmbito do estatuto de trabalhador-estudante</w:t>
      </w:r>
      <w:r w:rsidRPr="009A539C">
        <w:rPr>
          <w:rFonts w:eastAsia="Calibri" w:cstheme="minorHAnsi"/>
          <w:vertAlign w:val="superscript"/>
        </w:rPr>
        <w:footnoteReference w:id="510"/>
      </w:r>
      <w:r w:rsidRPr="009A539C">
        <w:rPr>
          <w:rFonts w:eastAsia="Calibri" w:cstheme="minorHAnsi"/>
        </w:rPr>
        <w:t xml:space="preserve"> ou a redução de horário até ao máximo de 120H ano, sem perda de quaisquer regalias</w:t>
      </w:r>
      <w:r w:rsidRPr="009A539C">
        <w:rPr>
          <w:rFonts w:eastAsia="Calibri" w:cstheme="minorHAnsi"/>
          <w:vertAlign w:val="superscript"/>
        </w:rPr>
        <w:footnoteReference w:id="511"/>
      </w:r>
      <w:r w:rsidRPr="009A539C">
        <w:rPr>
          <w:rFonts w:eastAsia="Calibri" w:cstheme="minorHAnsi"/>
        </w:rPr>
        <w:t>;</w:t>
      </w:r>
    </w:p>
    <w:p w14:paraId="2FA0FDAD" w14:textId="77777777" w:rsidR="004C204B" w:rsidRPr="009A539C" w:rsidRDefault="004C204B" w:rsidP="00A95C56">
      <w:pPr>
        <w:numPr>
          <w:ilvl w:val="0"/>
          <w:numId w:val="16"/>
        </w:numPr>
        <w:spacing w:after="0" w:line="360" w:lineRule="auto"/>
        <w:ind w:right="-1" w:hanging="294"/>
        <w:contextualSpacing/>
        <w:jc w:val="both"/>
        <w:rPr>
          <w:rFonts w:eastAsia="Calibri" w:cstheme="minorHAnsi"/>
        </w:rPr>
      </w:pPr>
      <w:r w:rsidRPr="009A539C">
        <w:rPr>
          <w:rFonts w:eastAsia="Calibri" w:cstheme="minorHAnsi"/>
        </w:rPr>
        <w:t>a possibilidade de concessão de flexibilidade de horário</w:t>
      </w:r>
      <w:r w:rsidRPr="009A539C">
        <w:rPr>
          <w:rStyle w:val="Refdenotaderodap"/>
          <w:rFonts w:eastAsia="Calibri" w:cstheme="minorHAnsi"/>
        </w:rPr>
        <w:footnoteReference w:id="512"/>
      </w:r>
      <w:r w:rsidRPr="009A539C">
        <w:rPr>
          <w:rFonts w:eastAsia="Calibri" w:cstheme="minorHAnsi"/>
        </w:rPr>
        <w:t>;</w:t>
      </w:r>
    </w:p>
    <w:p w14:paraId="4E30B1B6" w14:textId="77777777" w:rsidR="004C204B" w:rsidRPr="009A539C" w:rsidRDefault="004C204B" w:rsidP="00A95C56">
      <w:pPr>
        <w:numPr>
          <w:ilvl w:val="0"/>
          <w:numId w:val="16"/>
        </w:numPr>
        <w:spacing w:after="0" w:line="360" w:lineRule="auto"/>
        <w:ind w:right="-1" w:hanging="294"/>
        <w:contextualSpacing/>
        <w:jc w:val="both"/>
        <w:rPr>
          <w:rFonts w:eastAsia="Calibri" w:cstheme="minorHAnsi"/>
        </w:rPr>
      </w:pPr>
      <w:r w:rsidRPr="009A539C">
        <w:rPr>
          <w:rFonts w:eastAsia="Calibri" w:cstheme="minorHAnsi"/>
        </w:rPr>
        <w:t>a concessão de dispensa de tempo de trabalho no âmbito do reconhecimento de processos de reconhecimento, validação e certificação de competências</w:t>
      </w:r>
      <w:r w:rsidRPr="009A539C">
        <w:rPr>
          <w:rFonts w:eastAsia="Calibri" w:cstheme="minorHAnsi"/>
          <w:vertAlign w:val="superscript"/>
        </w:rPr>
        <w:footnoteReference w:id="513"/>
      </w:r>
      <w:r w:rsidRPr="009A539C">
        <w:rPr>
          <w:rFonts w:eastAsia="Calibri" w:cstheme="minorHAnsi"/>
        </w:rPr>
        <w:t xml:space="preserve">;  </w:t>
      </w:r>
    </w:p>
    <w:p w14:paraId="3D1E611E" w14:textId="33BC8A46" w:rsidR="004C204B" w:rsidRPr="009A539C" w:rsidRDefault="004C204B" w:rsidP="00A95C56">
      <w:pPr>
        <w:numPr>
          <w:ilvl w:val="0"/>
          <w:numId w:val="16"/>
        </w:numPr>
        <w:spacing w:after="0" w:line="360" w:lineRule="auto"/>
        <w:ind w:right="-1" w:hanging="294"/>
        <w:contextualSpacing/>
        <w:jc w:val="both"/>
        <w:rPr>
          <w:rFonts w:eastAsia="Calibri" w:cstheme="minorHAnsi"/>
          <w:strike/>
        </w:rPr>
      </w:pPr>
      <w:r w:rsidRPr="009A539C">
        <w:rPr>
          <w:rFonts w:eastAsia="Calibri" w:cstheme="minorHAnsi"/>
        </w:rPr>
        <w:t>a concessão de dispensa, para frequência de aulas,</w:t>
      </w:r>
      <w:r w:rsidRPr="009A539C">
        <w:rPr>
          <w:rFonts w:eastAsia="Calibri" w:cstheme="minorHAnsi"/>
          <w:vertAlign w:val="superscript"/>
        </w:rPr>
        <w:t xml:space="preserve"> </w:t>
      </w:r>
      <w:r w:rsidRPr="009A539C">
        <w:rPr>
          <w:rFonts w:eastAsia="Calibri" w:cstheme="minorHAnsi"/>
        </w:rPr>
        <w:t>de uma hora diária, entre três a seis horas semanais, consoante a carga horária letiva</w:t>
      </w:r>
      <w:r w:rsidRPr="009A539C">
        <w:rPr>
          <w:rFonts w:eastAsia="Calibri" w:cstheme="minorHAnsi"/>
          <w:vertAlign w:val="superscript"/>
        </w:rPr>
        <w:footnoteReference w:id="514"/>
      </w:r>
      <w:r w:rsidRPr="009A539C">
        <w:rPr>
          <w:rFonts w:eastAsia="Calibri" w:cstheme="minorHAnsi"/>
        </w:rPr>
        <w:t xml:space="preserve"> ou de três dias por mês</w:t>
      </w:r>
      <w:r w:rsidRPr="009A539C">
        <w:rPr>
          <w:rStyle w:val="Refdenotaderodap"/>
          <w:rFonts w:eastAsia="Calibri" w:cstheme="minorHAnsi"/>
        </w:rPr>
        <w:footnoteReference w:id="515"/>
      </w:r>
      <w:r w:rsidRPr="009A539C">
        <w:rPr>
          <w:rFonts w:eastAsia="Calibri" w:cstheme="minorHAnsi"/>
        </w:rPr>
        <w:t xml:space="preserve">; </w:t>
      </w:r>
      <w:r w:rsidR="00280820" w:rsidRPr="009A539C">
        <w:rPr>
          <w:rFonts w:eastAsia="Calibri" w:cstheme="minorHAnsi"/>
        </w:rPr>
        <w:t>assim como</w:t>
      </w:r>
      <w:r w:rsidRPr="009A539C">
        <w:rPr>
          <w:rFonts w:eastAsia="Calibri" w:cstheme="minorHAnsi"/>
        </w:rPr>
        <w:t xml:space="preserve"> dispensa até dois dias para prestação de prova </w:t>
      </w:r>
      <w:r w:rsidR="00280820" w:rsidRPr="009A539C">
        <w:rPr>
          <w:rFonts w:eastAsia="Calibri" w:cstheme="minorHAnsi"/>
        </w:rPr>
        <w:t>de avaliação</w:t>
      </w:r>
      <w:r w:rsidRPr="009A539C">
        <w:rPr>
          <w:rFonts w:eastAsia="Calibri" w:cstheme="minorHAnsi"/>
          <w:vertAlign w:val="superscript"/>
        </w:rPr>
        <w:footnoteReference w:id="516"/>
      </w:r>
      <w:r w:rsidRPr="009A539C">
        <w:rPr>
          <w:rFonts w:eastAsia="Calibri" w:cstheme="minorHAnsi"/>
        </w:rPr>
        <w:t>;</w:t>
      </w:r>
    </w:p>
    <w:p w14:paraId="5180991C" w14:textId="77777777" w:rsidR="004C204B" w:rsidRPr="009A539C" w:rsidRDefault="004C204B" w:rsidP="00A95C56">
      <w:pPr>
        <w:numPr>
          <w:ilvl w:val="0"/>
          <w:numId w:val="16"/>
        </w:numPr>
        <w:spacing w:after="0" w:line="360" w:lineRule="auto"/>
        <w:ind w:right="-1" w:hanging="294"/>
        <w:contextualSpacing/>
        <w:jc w:val="both"/>
        <w:rPr>
          <w:rFonts w:eastAsia="Calibri" w:cstheme="minorHAnsi"/>
          <w:strike/>
        </w:rPr>
      </w:pPr>
      <w:r w:rsidRPr="009A539C">
        <w:rPr>
          <w:rFonts w:eastAsia="Calibri" w:cstheme="minorHAnsi"/>
        </w:rPr>
        <w:t xml:space="preserve">facilitação na </w:t>
      </w:r>
      <w:r w:rsidRPr="009A539C">
        <w:rPr>
          <w:rFonts w:eastAsia="Calibri" w:cstheme="minorHAnsi"/>
          <w:i/>
        </w:rPr>
        <w:t>dispensa</w:t>
      </w:r>
      <w:r w:rsidRPr="009A539C">
        <w:rPr>
          <w:rFonts w:eastAsia="Calibri" w:cstheme="minorHAnsi"/>
        </w:rPr>
        <w:t xml:space="preserve"> de prestação de trabalho em regime de turnos, adaptabilidade, banco de horas ou horário concentrado, quando coincida com o horário letivo </w:t>
      </w:r>
      <w:r w:rsidRPr="009A539C">
        <w:rPr>
          <w:rFonts w:eastAsia="Calibri" w:cstheme="minorHAnsi"/>
          <w:vertAlign w:val="superscript"/>
        </w:rPr>
        <w:footnoteReference w:id="517"/>
      </w:r>
      <w:r w:rsidRPr="009A539C">
        <w:rPr>
          <w:rFonts w:eastAsia="Calibri" w:cstheme="minorHAnsi"/>
        </w:rPr>
        <w:t xml:space="preserve"> ou de prolongamento de horário, em geral</w:t>
      </w:r>
      <w:r w:rsidRPr="009A539C">
        <w:rPr>
          <w:rFonts w:eastAsia="Calibri" w:cstheme="minorHAnsi"/>
          <w:vertAlign w:val="superscript"/>
        </w:rPr>
        <w:footnoteReference w:id="518"/>
      </w:r>
      <w:r w:rsidRPr="009A539C">
        <w:rPr>
          <w:rFonts w:eastAsia="Calibri" w:cstheme="minorHAnsi"/>
        </w:rPr>
        <w:t>;</w:t>
      </w:r>
    </w:p>
    <w:p w14:paraId="4D7E9F83" w14:textId="77777777" w:rsidR="004C204B" w:rsidRPr="009A539C" w:rsidRDefault="004C204B" w:rsidP="00A95C56">
      <w:pPr>
        <w:numPr>
          <w:ilvl w:val="0"/>
          <w:numId w:val="16"/>
        </w:numPr>
        <w:spacing w:after="0" w:line="360" w:lineRule="auto"/>
        <w:ind w:right="-1" w:hanging="294"/>
        <w:contextualSpacing/>
        <w:jc w:val="both"/>
        <w:rPr>
          <w:rFonts w:eastAsia="Calibri" w:cstheme="minorHAnsi"/>
        </w:rPr>
      </w:pPr>
      <w:r w:rsidRPr="009A539C">
        <w:rPr>
          <w:rFonts w:eastAsia="Calibri" w:cstheme="minorHAnsi"/>
        </w:rPr>
        <w:t>o gozo de férias, interpoladas ou não, em época à escolha do trabalhador, desde que estas visem a preparação e efetivação de provas escolares</w:t>
      </w:r>
      <w:r w:rsidRPr="009A539C">
        <w:rPr>
          <w:rFonts w:eastAsia="Calibri" w:cstheme="minorHAnsi"/>
          <w:vertAlign w:val="superscript"/>
        </w:rPr>
        <w:footnoteReference w:id="519"/>
      </w:r>
      <w:r w:rsidRPr="009A539C">
        <w:rPr>
          <w:rFonts w:eastAsia="Calibri" w:cstheme="minorHAnsi"/>
        </w:rPr>
        <w:t xml:space="preserve">; </w:t>
      </w:r>
    </w:p>
    <w:p w14:paraId="0DBA445A" w14:textId="77777777" w:rsidR="004C204B" w:rsidRPr="009A539C" w:rsidRDefault="004C204B" w:rsidP="00A95C56">
      <w:pPr>
        <w:numPr>
          <w:ilvl w:val="0"/>
          <w:numId w:val="16"/>
        </w:numPr>
        <w:spacing w:after="0" w:line="360" w:lineRule="auto"/>
        <w:ind w:right="-1" w:hanging="294"/>
        <w:contextualSpacing/>
        <w:jc w:val="both"/>
        <w:rPr>
          <w:rFonts w:eastAsia="Calibri" w:cstheme="minorHAnsi"/>
        </w:rPr>
      </w:pPr>
      <w:r w:rsidRPr="009A539C">
        <w:rPr>
          <w:rFonts w:eastAsia="Calibri" w:cstheme="minorHAnsi"/>
        </w:rPr>
        <w:t>o gozo de licença anual sem retribuição, mas sem perda de qualquer outra regalia, até 15 dias úteis</w:t>
      </w:r>
      <w:r w:rsidRPr="009A539C">
        <w:rPr>
          <w:rFonts w:eastAsia="Calibri" w:cstheme="minorHAnsi"/>
          <w:vertAlign w:val="superscript"/>
        </w:rPr>
        <w:footnoteReference w:id="520"/>
      </w:r>
      <w:r w:rsidRPr="009A539C">
        <w:rPr>
          <w:rFonts w:eastAsia="Calibri" w:cstheme="minorHAnsi"/>
        </w:rPr>
        <w:t>.</w:t>
      </w:r>
    </w:p>
    <w:p w14:paraId="3DDCE96B" w14:textId="77777777" w:rsidR="00BB3AC3" w:rsidRPr="009A539C" w:rsidRDefault="00BB3AC3" w:rsidP="00B90788">
      <w:pPr>
        <w:spacing w:after="0" w:line="360" w:lineRule="auto"/>
        <w:ind w:left="720" w:right="-1"/>
        <w:contextualSpacing/>
        <w:jc w:val="both"/>
        <w:rPr>
          <w:rFonts w:eastAsia="Calibri" w:cstheme="minorHAnsi"/>
        </w:rPr>
      </w:pPr>
    </w:p>
    <w:p w14:paraId="5EF3749A" w14:textId="098D295D" w:rsidR="004C204B" w:rsidRPr="009A539C" w:rsidRDefault="004C204B" w:rsidP="00A95C56">
      <w:pPr>
        <w:widowControl w:val="0"/>
        <w:numPr>
          <w:ilvl w:val="0"/>
          <w:numId w:val="15"/>
        </w:numPr>
        <w:tabs>
          <w:tab w:val="left" w:pos="851"/>
        </w:tabs>
        <w:autoSpaceDE w:val="0"/>
        <w:autoSpaceDN w:val="0"/>
        <w:spacing w:before="240" w:after="0" w:line="360" w:lineRule="auto"/>
        <w:ind w:left="0" w:right="-1" w:firstLine="425"/>
        <w:jc w:val="both"/>
        <w:rPr>
          <w:rFonts w:eastAsia="Arial" w:cstheme="minorHAnsi"/>
          <w:strike/>
          <w:lang w:eastAsia="pt-PT" w:bidi="pt-PT"/>
        </w:rPr>
      </w:pPr>
      <w:r w:rsidRPr="009A539C">
        <w:rPr>
          <w:rFonts w:eastAsia="Arial" w:cstheme="minorHAnsi"/>
          <w:lang w:eastAsia="pt-PT" w:bidi="pt-PT"/>
        </w:rPr>
        <w:t>Em conexão com as regras em matéria de formação profissional, mas com conteúdos distintos, encontramos previsões convencionais sobre o financiamento dos estudos, prevendo o pagamento de 50% do valor das propinas de formação do ensino superior (público), desde que a empresa reconheça interesse nessa qualificação</w:t>
      </w:r>
      <w:r w:rsidRPr="009A539C">
        <w:rPr>
          <w:rStyle w:val="Refdenotaderodap"/>
          <w:rFonts w:eastAsia="Arial" w:cstheme="minorHAnsi"/>
          <w:lang w:eastAsia="pt-PT" w:bidi="pt-PT"/>
        </w:rPr>
        <w:footnoteReference w:id="521"/>
      </w:r>
      <w:r w:rsidRPr="009A539C">
        <w:rPr>
          <w:rFonts w:eastAsia="Arial" w:cstheme="minorHAnsi"/>
          <w:lang w:eastAsia="pt-PT" w:bidi="pt-PT"/>
        </w:rPr>
        <w:t xml:space="preserve">. Noutras situações, prevê-se </w:t>
      </w:r>
      <w:r w:rsidR="00280820" w:rsidRPr="009A539C">
        <w:rPr>
          <w:rFonts w:eastAsia="Arial" w:cstheme="minorHAnsi"/>
          <w:lang w:eastAsia="pt-PT" w:bidi="pt-PT"/>
        </w:rPr>
        <w:t xml:space="preserve">a contribuição da </w:t>
      </w:r>
      <w:r w:rsidRPr="009A539C">
        <w:rPr>
          <w:rFonts w:eastAsia="Arial" w:cstheme="minorHAnsi"/>
          <w:lang w:eastAsia="pt-PT" w:bidi="pt-PT"/>
        </w:rPr>
        <w:t xml:space="preserve">empresa </w:t>
      </w:r>
      <w:r w:rsidR="00280820" w:rsidRPr="009A539C">
        <w:rPr>
          <w:rFonts w:eastAsia="Arial" w:cstheme="minorHAnsi"/>
          <w:lang w:eastAsia="pt-PT" w:bidi="pt-PT"/>
        </w:rPr>
        <w:t>n</w:t>
      </w:r>
      <w:r w:rsidRPr="009A539C">
        <w:rPr>
          <w:rFonts w:eastAsia="Arial" w:cstheme="minorHAnsi"/>
          <w:lang w:eastAsia="pt-PT" w:bidi="pt-PT"/>
        </w:rPr>
        <w:t>as despesas com aquisição dos livros escolares dos seus trabalhadores estudantes, desde que seja apresentada anualmente uma evidência relativa ao aproveitamento escolar do beneficiário</w:t>
      </w:r>
      <w:r w:rsidRPr="009A539C">
        <w:rPr>
          <w:rFonts w:eastAsia="Arial" w:cstheme="minorHAnsi"/>
          <w:vertAlign w:val="superscript"/>
          <w:lang w:eastAsia="pt-PT" w:bidi="pt-PT"/>
        </w:rPr>
        <w:footnoteReference w:id="522"/>
      </w:r>
      <w:r w:rsidRPr="009A539C">
        <w:rPr>
          <w:rFonts w:eastAsia="Arial" w:cstheme="minorHAnsi"/>
          <w:lang w:eastAsia="pt-PT" w:bidi="pt-PT"/>
        </w:rPr>
        <w:t xml:space="preserve"> e, noutro caso, para frequência de escolaridade obrigatória</w:t>
      </w:r>
      <w:r w:rsidRPr="009A539C">
        <w:rPr>
          <w:rStyle w:val="Refdenotaderodap"/>
          <w:rFonts w:eastAsia="Arial" w:cstheme="minorHAnsi"/>
          <w:lang w:eastAsia="pt-PT" w:bidi="pt-PT"/>
        </w:rPr>
        <w:footnoteReference w:id="523"/>
      </w:r>
      <w:r w:rsidRPr="009A539C">
        <w:rPr>
          <w:rFonts w:eastAsia="Arial" w:cstheme="minorHAnsi"/>
          <w:lang w:eastAsia="pt-PT" w:bidi="pt-PT"/>
        </w:rPr>
        <w:t>.</w:t>
      </w:r>
    </w:p>
    <w:p w14:paraId="3CCD23C5" w14:textId="77777777" w:rsidR="004C204B" w:rsidRPr="009A539C" w:rsidRDefault="004C204B" w:rsidP="00A95C56">
      <w:pPr>
        <w:widowControl w:val="0"/>
        <w:numPr>
          <w:ilvl w:val="0"/>
          <w:numId w:val="15"/>
        </w:numPr>
        <w:tabs>
          <w:tab w:val="left" w:pos="851"/>
        </w:tabs>
        <w:autoSpaceDE w:val="0"/>
        <w:autoSpaceDN w:val="0"/>
        <w:spacing w:before="240" w:after="0" w:line="360" w:lineRule="auto"/>
        <w:ind w:left="0" w:right="-1" w:firstLine="425"/>
        <w:jc w:val="both"/>
        <w:rPr>
          <w:rFonts w:eastAsia="Arial" w:cstheme="minorHAnsi"/>
          <w:lang w:eastAsia="pt-PT" w:bidi="pt-PT"/>
        </w:rPr>
      </w:pPr>
      <w:r w:rsidRPr="009A539C">
        <w:rPr>
          <w:rFonts w:eastAsia="Arial" w:cstheme="minorHAnsi"/>
          <w:lang w:eastAsia="pt-PT" w:bidi="pt-PT"/>
        </w:rPr>
        <w:t>Também em linha com as regras sobre formação profissional, valoriza-se a aquisição de novos conhecimentos e competências profissionais, podendo o trabalhador ter preferência, em igualdade de condições, no preenchimento de cargos para os quais se ache habilitado em virtude das qualificações adquiridas</w:t>
      </w:r>
      <w:r w:rsidRPr="009A539C">
        <w:rPr>
          <w:rFonts w:eastAsia="Arial" w:cstheme="minorHAnsi"/>
          <w:vertAlign w:val="superscript"/>
          <w:lang w:eastAsia="pt-PT" w:bidi="pt-PT"/>
        </w:rPr>
        <w:footnoteReference w:id="524"/>
      </w:r>
      <w:r w:rsidRPr="009A539C">
        <w:rPr>
          <w:rFonts w:eastAsia="Arial" w:cstheme="minorHAnsi"/>
          <w:lang w:eastAsia="pt-PT" w:bidi="pt-PT"/>
        </w:rPr>
        <w:t>.</w:t>
      </w:r>
    </w:p>
    <w:p w14:paraId="0CF32E74" w14:textId="40572CA2" w:rsidR="004C204B" w:rsidRPr="009A539C" w:rsidRDefault="00485D16" w:rsidP="00A95C56">
      <w:pPr>
        <w:widowControl w:val="0"/>
        <w:numPr>
          <w:ilvl w:val="0"/>
          <w:numId w:val="15"/>
        </w:numPr>
        <w:tabs>
          <w:tab w:val="left" w:pos="851"/>
        </w:tabs>
        <w:autoSpaceDE w:val="0"/>
        <w:autoSpaceDN w:val="0"/>
        <w:spacing w:before="240" w:after="0" w:line="360" w:lineRule="auto"/>
        <w:ind w:left="0" w:right="-1" w:firstLine="425"/>
        <w:jc w:val="both"/>
        <w:rPr>
          <w:rFonts w:eastAsia="Calibri" w:cstheme="minorHAnsi"/>
        </w:rPr>
      </w:pPr>
      <w:r w:rsidRPr="009A539C">
        <w:rPr>
          <w:rFonts w:eastAsia="Arial" w:cstheme="minorHAnsi"/>
          <w:lang w:eastAsia="pt-PT" w:bidi="pt-PT"/>
        </w:rPr>
        <w:t>Na contrapartida exigida ao trabalhador, e</w:t>
      </w:r>
      <w:r w:rsidR="00280820" w:rsidRPr="009A539C">
        <w:rPr>
          <w:rFonts w:eastAsia="Arial" w:cstheme="minorHAnsi"/>
          <w:lang w:eastAsia="pt-PT" w:bidi="pt-PT"/>
        </w:rPr>
        <w:t>ncontram-se</w:t>
      </w:r>
      <w:r w:rsidR="00805963" w:rsidRPr="009A539C">
        <w:rPr>
          <w:rFonts w:eastAsia="Arial" w:cstheme="minorHAnsi"/>
          <w:lang w:eastAsia="pt-PT" w:bidi="pt-PT"/>
        </w:rPr>
        <w:t xml:space="preserve"> as habituais</w:t>
      </w:r>
      <w:r w:rsidR="00280820" w:rsidRPr="009A539C">
        <w:rPr>
          <w:rFonts w:eastAsia="Arial" w:cstheme="minorHAnsi"/>
          <w:lang w:eastAsia="pt-PT" w:bidi="pt-PT"/>
        </w:rPr>
        <w:t xml:space="preserve"> referências à</w:t>
      </w:r>
      <w:r w:rsidR="004C204B" w:rsidRPr="009A539C">
        <w:rPr>
          <w:rFonts w:eastAsia="Arial" w:cstheme="minorHAnsi"/>
          <w:lang w:eastAsia="pt-PT" w:bidi="pt-PT"/>
        </w:rPr>
        <w:t xml:space="preserve"> cessação das regalias </w:t>
      </w:r>
      <w:r w:rsidR="00280820" w:rsidRPr="009A539C">
        <w:rPr>
          <w:rFonts w:eastAsia="Arial" w:cstheme="minorHAnsi"/>
          <w:lang w:eastAsia="pt-PT" w:bidi="pt-PT"/>
        </w:rPr>
        <w:t xml:space="preserve">acima indicadas, </w:t>
      </w:r>
      <w:r w:rsidRPr="009A539C">
        <w:rPr>
          <w:rFonts w:eastAsia="Arial" w:cstheme="minorHAnsi"/>
          <w:lang w:eastAsia="pt-PT" w:bidi="pt-PT"/>
        </w:rPr>
        <w:t>no caso de n</w:t>
      </w:r>
      <w:r w:rsidR="005605B8" w:rsidRPr="009A539C">
        <w:rPr>
          <w:rFonts w:eastAsia="Arial" w:cstheme="minorHAnsi"/>
          <w:lang w:eastAsia="pt-PT" w:bidi="pt-PT"/>
        </w:rPr>
        <w:t>ão se verificar</w:t>
      </w:r>
      <w:r w:rsidR="004C204B" w:rsidRPr="009A539C">
        <w:rPr>
          <w:rFonts w:eastAsia="Arial" w:cstheme="minorHAnsi"/>
          <w:lang w:eastAsia="pt-PT" w:bidi="pt-PT"/>
        </w:rPr>
        <w:t xml:space="preserve"> aproveitamento escolar</w:t>
      </w:r>
      <w:r w:rsidR="004C204B" w:rsidRPr="009A539C">
        <w:rPr>
          <w:rFonts w:eastAsia="Arial" w:cstheme="minorHAnsi"/>
          <w:vertAlign w:val="superscript"/>
          <w:lang w:eastAsia="pt-PT" w:bidi="pt-PT"/>
        </w:rPr>
        <w:footnoteReference w:id="525"/>
      </w:r>
      <w:r w:rsidR="004C204B" w:rsidRPr="009A539C">
        <w:rPr>
          <w:rFonts w:eastAsia="Arial" w:cstheme="minorHAnsi"/>
          <w:lang w:eastAsia="pt-PT" w:bidi="pt-PT"/>
        </w:rPr>
        <w:t xml:space="preserve"> (mas essa consequência não se aplica quando a falta de aproveitamento resulte de causa não imputável ao trabalhador</w:t>
      </w:r>
      <w:r w:rsidR="004C204B" w:rsidRPr="009A539C">
        <w:rPr>
          <w:rFonts w:eastAsia="Arial" w:cstheme="minorHAnsi"/>
          <w:vertAlign w:val="superscript"/>
          <w:lang w:eastAsia="pt-PT" w:bidi="pt-PT"/>
        </w:rPr>
        <w:footnoteReference w:id="526"/>
      </w:r>
      <w:r w:rsidR="004C204B" w:rsidRPr="009A539C">
        <w:rPr>
          <w:rFonts w:eastAsia="Arial" w:cstheme="minorHAnsi"/>
          <w:lang w:eastAsia="pt-PT" w:bidi="pt-PT"/>
        </w:rPr>
        <w:t>)</w:t>
      </w:r>
      <w:r w:rsidRPr="009A539C">
        <w:rPr>
          <w:rFonts w:eastAsia="Arial" w:cstheme="minorHAnsi"/>
          <w:lang w:eastAsia="pt-PT" w:bidi="pt-PT"/>
        </w:rPr>
        <w:t xml:space="preserve">, bem como a </w:t>
      </w:r>
      <w:r w:rsidR="004C204B" w:rsidRPr="009A539C">
        <w:rPr>
          <w:rFonts w:eastAsia="Calibri" w:cstheme="minorHAnsi"/>
        </w:rPr>
        <w:t xml:space="preserve">obrigação de </w:t>
      </w:r>
      <w:r w:rsidR="004C204B" w:rsidRPr="009A539C">
        <w:rPr>
          <w:rFonts w:ascii="Calibri" w:eastAsia="Calibri" w:hAnsi="Calibri" w:cs="Calibri"/>
          <w:sz w:val="23"/>
          <w:szCs w:val="23"/>
        </w:rPr>
        <w:t>comprovação da assiduidade</w:t>
      </w:r>
      <w:r w:rsidR="004C204B" w:rsidRPr="009A539C">
        <w:rPr>
          <w:rFonts w:ascii="Calibri" w:eastAsia="Calibri" w:hAnsi="Calibri" w:cs="Calibri"/>
          <w:sz w:val="23"/>
          <w:szCs w:val="23"/>
          <w:vertAlign w:val="superscript"/>
        </w:rPr>
        <w:footnoteReference w:id="527"/>
      </w:r>
      <w:r w:rsidR="004C204B" w:rsidRPr="009A539C">
        <w:rPr>
          <w:rFonts w:ascii="Calibri" w:eastAsia="Calibri" w:hAnsi="Calibri" w:cs="Calibri"/>
          <w:sz w:val="23"/>
          <w:szCs w:val="23"/>
        </w:rPr>
        <w:t xml:space="preserve">. </w:t>
      </w:r>
    </w:p>
    <w:p w14:paraId="6849CD30" w14:textId="77777777" w:rsidR="00604AF9" w:rsidRPr="009A539C" w:rsidRDefault="00604AF9" w:rsidP="00B90788">
      <w:pPr>
        <w:pStyle w:val="PargrafodaLista"/>
        <w:spacing w:line="360" w:lineRule="auto"/>
        <w:ind w:left="2843" w:right="-1"/>
        <w:rPr>
          <w:rFonts w:ascii="Calibri" w:hAnsi="Calibri" w:cs="Calibri"/>
        </w:rPr>
      </w:pPr>
    </w:p>
    <w:p w14:paraId="72519B5A" w14:textId="77777777" w:rsidR="00D7522C" w:rsidRPr="009A539C" w:rsidRDefault="00D7522C" w:rsidP="00B90788">
      <w:pPr>
        <w:ind w:right="-1"/>
        <w:rPr>
          <w:rFonts w:ascii="Calibri" w:hAnsi="Calibri" w:cs="Calibri"/>
        </w:rPr>
      </w:pPr>
      <w:r w:rsidRPr="009A539C">
        <w:rPr>
          <w:rFonts w:ascii="Calibri" w:hAnsi="Calibri" w:cs="Calibri"/>
        </w:rPr>
        <w:br w:type="page"/>
      </w:r>
    </w:p>
    <w:p w14:paraId="3FC1C1A2" w14:textId="77777777" w:rsidR="00D7522C" w:rsidRPr="009A539C" w:rsidRDefault="00D7522C" w:rsidP="00B90788">
      <w:pPr>
        <w:pStyle w:val="PargrafodaLista"/>
        <w:spacing w:line="360" w:lineRule="auto"/>
        <w:ind w:left="2843" w:right="-1"/>
        <w:rPr>
          <w:rFonts w:ascii="Calibri" w:hAnsi="Calibri" w:cs="Calibri"/>
        </w:rPr>
      </w:pPr>
    </w:p>
    <w:p w14:paraId="7AF939E0" w14:textId="127831C6" w:rsidR="00BE45EF" w:rsidRPr="009A539C" w:rsidRDefault="00604AF9" w:rsidP="00AF188D">
      <w:pPr>
        <w:pStyle w:val="PargrafodaLista"/>
        <w:numPr>
          <w:ilvl w:val="2"/>
          <w:numId w:val="50"/>
        </w:numPr>
        <w:spacing w:line="360" w:lineRule="auto"/>
        <w:ind w:left="851" w:right="-1"/>
        <w:outlineLvl w:val="2"/>
        <w:rPr>
          <w:rFonts w:ascii="Calibri" w:hAnsi="Calibri" w:cs="Calibri"/>
          <w:b/>
          <w:sz w:val="24"/>
          <w:szCs w:val="24"/>
        </w:rPr>
      </w:pPr>
      <w:bookmarkStart w:id="729" w:name="_Toc45535728"/>
      <w:r w:rsidRPr="009A539C">
        <w:rPr>
          <w:rFonts w:ascii="Calibri" w:hAnsi="Calibri" w:cs="Calibri"/>
          <w:b/>
          <w:sz w:val="24"/>
          <w:szCs w:val="24"/>
        </w:rPr>
        <w:t>O princípio da igualdade nas relações laborais (2019)</w:t>
      </w:r>
      <w:bookmarkEnd w:id="729"/>
    </w:p>
    <w:p w14:paraId="281A370C" w14:textId="77777777" w:rsidR="00BE45EF" w:rsidRPr="009A539C" w:rsidRDefault="00BE45EF" w:rsidP="00BE45EF">
      <w:pPr>
        <w:pStyle w:val="PargrafodaLista"/>
        <w:spacing w:line="360" w:lineRule="auto"/>
        <w:ind w:left="851" w:right="-1"/>
        <w:outlineLvl w:val="2"/>
        <w:rPr>
          <w:rFonts w:ascii="Calibri" w:hAnsi="Calibri" w:cs="Calibri"/>
          <w:b/>
          <w:sz w:val="24"/>
          <w:szCs w:val="24"/>
        </w:rPr>
      </w:pPr>
    </w:p>
    <w:p w14:paraId="17C7773B" w14:textId="77777777" w:rsidR="003A7DF9" w:rsidRPr="009A539C" w:rsidRDefault="003A7DF9" w:rsidP="00F364BB">
      <w:pPr>
        <w:pStyle w:val="PargrafodaLista"/>
        <w:numPr>
          <w:ilvl w:val="2"/>
          <w:numId w:val="1"/>
        </w:numPr>
        <w:spacing w:line="360" w:lineRule="auto"/>
        <w:ind w:right="-1"/>
        <w:outlineLvl w:val="3"/>
        <w:rPr>
          <w:rFonts w:ascii="Calibri" w:hAnsi="Calibri" w:cs="Calibri"/>
          <w:vanish/>
        </w:rPr>
      </w:pPr>
      <w:bookmarkStart w:id="730" w:name="_Toc44606728"/>
      <w:bookmarkStart w:id="731" w:name="_Toc44606842"/>
      <w:bookmarkStart w:id="732" w:name="_Toc44606957"/>
      <w:bookmarkStart w:id="733" w:name="_Toc44607071"/>
      <w:bookmarkStart w:id="734" w:name="_Toc44607182"/>
      <w:bookmarkStart w:id="735" w:name="_Toc44607554"/>
      <w:bookmarkStart w:id="736" w:name="_Toc44607831"/>
      <w:bookmarkStart w:id="737" w:name="_Toc44607918"/>
      <w:bookmarkStart w:id="738" w:name="_Toc44608241"/>
      <w:bookmarkStart w:id="739" w:name="_Toc44608322"/>
      <w:bookmarkStart w:id="740" w:name="_Toc44608444"/>
      <w:bookmarkStart w:id="741" w:name="_Toc44608518"/>
      <w:bookmarkStart w:id="742" w:name="_Toc44608592"/>
      <w:bookmarkStart w:id="743" w:name="_Toc44609679"/>
      <w:bookmarkStart w:id="744" w:name="_Toc45535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p w14:paraId="1377872F" w14:textId="79E2DA28" w:rsidR="00604AF9" w:rsidRPr="009A539C" w:rsidRDefault="003A7DF9" w:rsidP="00AF188D">
      <w:pPr>
        <w:pStyle w:val="PargrafodaLista"/>
        <w:numPr>
          <w:ilvl w:val="3"/>
          <w:numId w:val="50"/>
        </w:numPr>
        <w:spacing w:before="240" w:line="360" w:lineRule="auto"/>
        <w:ind w:left="850"/>
        <w:jc w:val="both"/>
        <w:outlineLvl w:val="3"/>
        <w:rPr>
          <w:rFonts w:ascii="Calibri" w:hAnsi="Calibri" w:cs="Calibri"/>
        </w:rPr>
      </w:pPr>
      <w:r w:rsidRPr="009A539C">
        <w:rPr>
          <w:rFonts w:ascii="Calibri" w:hAnsi="Calibri" w:cs="Calibri"/>
        </w:rPr>
        <w:t xml:space="preserve"> </w:t>
      </w:r>
      <w:bookmarkStart w:id="745" w:name="_Toc45535730"/>
      <w:r w:rsidR="00604AF9" w:rsidRPr="009A539C">
        <w:rPr>
          <w:rFonts w:ascii="Calibri" w:hAnsi="Calibri" w:cs="Calibri"/>
        </w:rPr>
        <w:t>Nota prévia</w:t>
      </w:r>
      <w:bookmarkEnd w:id="745"/>
    </w:p>
    <w:p w14:paraId="2A020485" w14:textId="77777777" w:rsidR="00AF188D" w:rsidRPr="009A539C" w:rsidRDefault="00AF188D" w:rsidP="00AF188D">
      <w:pPr>
        <w:pStyle w:val="PargrafodaLista"/>
        <w:spacing w:before="240" w:line="360" w:lineRule="auto"/>
        <w:ind w:left="850"/>
        <w:jc w:val="both"/>
        <w:outlineLvl w:val="3"/>
        <w:rPr>
          <w:rFonts w:ascii="Calibri" w:hAnsi="Calibri" w:cs="Calibri"/>
        </w:rPr>
      </w:pPr>
    </w:p>
    <w:p w14:paraId="6B89CF18" w14:textId="77777777" w:rsidR="003A2FD6" w:rsidRPr="009A539C" w:rsidRDefault="003A2FD6" w:rsidP="00922B44">
      <w:pPr>
        <w:pStyle w:val="PargrafodaLista"/>
        <w:numPr>
          <w:ilvl w:val="0"/>
          <w:numId w:val="78"/>
        </w:numPr>
        <w:spacing w:line="360" w:lineRule="auto"/>
        <w:ind w:left="0" w:firstLine="360"/>
        <w:jc w:val="both"/>
        <w:rPr>
          <w:rFonts w:ascii="Calibri" w:hAnsi="Calibri" w:cs="Calibri"/>
        </w:rPr>
      </w:pPr>
      <w:bookmarkStart w:id="746" w:name="_Toc42511781"/>
      <w:bookmarkStart w:id="747" w:name="_Toc42514545"/>
      <w:r w:rsidRPr="009A539C">
        <w:rPr>
          <w:rFonts w:ascii="Calibri" w:hAnsi="Calibri" w:cs="Calibri"/>
          <w:bCs/>
        </w:rPr>
        <w:t xml:space="preserve">Relativamente ao princípio da igualdade nas relações laborais, retoma-se </w:t>
      </w:r>
      <w:r w:rsidRPr="009A539C">
        <w:rPr>
          <w:rFonts w:ascii="Calibri" w:hAnsi="Calibri" w:cs="Calibri"/>
        </w:rPr>
        <w:t>a estrutura de análise dos relatórios precedentes, desenvolvida a partir de três tópicos encontrados nas convenções coletivas:</w:t>
      </w:r>
      <w:bookmarkEnd w:id="746"/>
      <w:bookmarkEnd w:id="747"/>
      <w:r w:rsidRPr="009A539C">
        <w:rPr>
          <w:rFonts w:ascii="Calibri" w:hAnsi="Calibri" w:cs="Calibri"/>
        </w:rPr>
        <w:t xml:space="preserve"> </w:t>
      </w:r>
    </w:p>
    <w:p w14:paraId="20DAAE54" w14:textId="77777777" w:rsidR="003A2FD6" w:rsidRPr="009A539C" w:rsidRDefault="003A2FD6" w:rsidP="00922B44">
      <w:pPr>
        <w:pStyle w:val="PargrafodaLista"/>
        <w:numPr>
          <w:ilvl w:val="0"/>
          <w:numId w:val="79"/>
        </w:numPr>
        <w:spacing w:line="360" w:lineRule="auto"/>
        <w:jc w:val="both"/>
        <w:rPr>
          <w:rFonts w:ascii="Calibri" w:hAnsi="Calibri" w:cs="Calibri"/>
        </w:rPr>
      </w:pPr>
      <w:bookmarkStart w:id="748" w:name="_Toc42511782"/>
      <w:bookmarkStart w:id="749" w:name="_Toc42514546"/>
      <w:r w:rsidRPr="009A539C">
        <w:rPr>
          <w:rFonts w:ascii="Calibri" w:hAnsi="Calibri" w:cs="Calibri"/>
        </w:rPr>
        <w:t>assédio moral [arts. 29ª e 127ª, n. º1, als. k) e l], do CT, entre outros];</w:t>
      </w:r>
      <w:bookmarkEnd w:id="748"/>
      <w:bookmarkEnd w:id="749"/>
    </w:p>
    <w:p w14:paraId="005E817F" w14:textId="77777777" w:rsidR="003A2FD6" w:rsidRPr="009A539C" w:rsidRDefault="003A2FD6" w:rsidP="00922B44">
      <w:pPr>
        <w:pStyle w:val="PargrafodaLista"/>
        <w:numPr>
          <w:ilvl w:val="0"/>
          <w:numId w:val="79"/>
        </w:numPr>
        <w:spacing w:line="360" w:lineRule="auto"/>
        <w:jc w:val="both"/>
        <w:rPr>
          <w:rFonts w:ascii="Calibri" w:hAnsi="Calibri" w:cs="Calibri"/>
        </w:rPr>
      </w:pPr>
      <w:bookmarkStart w:id="750" w:name="_Toc42511783"/>
      <w:bookmarkStart w:id="751" w:name="_Toc42514547"/>
      <w:r w:rsidRPr="009A539C">
        <w:rPr>
          <w:rFonts w:ascii="Calibri" w:hAnsi="Calibri" w:cs="Calibri"/>
        </w:rPr>
        <w:t>conciliação entre a vida familiar e profissional (arts 33.º e ss do CT);</w:t>
      </w:r>
      <w:bookmarkEnd w:id="750"/>
      <w:bookmarkEnd w:id="751"/>
    </w:p>
    <w:p w14:paraId="449A825C" w14:textId="77777777" w:rsidR="003A2FD6" w:rsidRPr="009A539C" w:rsidRDefault="003A2FD6" w:rsidP="00922B44">
      <w:pPr>
        <w:pStyle w:val="PargrafodaLista"/>
        <w:numPr>
          <w:ilvl w:val="0"/>
          <w:numId w:val="79"/>
        </w:numPr>
        <w:spacing w:line="360" w:lineRule="auto"/>
        <w:jc w:val="both"/>
        <w:rPr>
          <w:rFonts w:ascii="Calibri" w:hAnsi="Calibri" w:cs="Calibri"/>
        </w:rPr>
      </w:pPr>
      <w:bookmarkStart w:id="752" w:name="_Toc42511784"/>
      <w:bookmarkStart w:id="753" w:name="_Toc42514548"/>
      <w:r w:rsidRPr="009A539C">
        <w:rPr>
          <w:rFonts w:ascii="Calibri" w:hAnsi="Calibri" w:cs="Calibri"/>
        </w:rPr>
        <w:t>igualdade de condições de trabalho em geral, em particular a igualdade de género e as medidas de discriminação positiva para trabalhadores portadores de deficiência (arts 23.º e ss. e 85º. e ss. do CT).</w:t>
      </w:r>
      <w:bookmarkEnd w:id="752"/>
      <w:bookmarkEnd w:id="753"/>
    </w:p>
    <w:p w14:paraId="54547E00" w14:textId="2A743557" w:rsidR="003A2FD6" w:rsidRPr="009A539C" w:rsidRDefault="003A2FD6" w:rsidP="00AF188D">
      <w:pPr>
        <w:spacing w:line="360" w:lineRule="auto"/>
        <w:jc w:val="both"/>
        <w:rPr>
          <w:rFonts w:ascii="Calibri" w:hAnsi="Calibri" w:cs="Calibri"/>
        </w:rPr>
      </w:pPr>
      <w:bookmarkStart w:id="754" w:name="_Toc42511785"/>
      <w:bookmarkStart w:id="755" w:name="_Toc42514549"/>
      <w:r w:rsidRPr="009A539C">
        <w:rPr>
          <w:rFonts w:ascii="Calibri" w:hAnsi="Calibri" w:cs="Calibri"/>
          <w:bCs/>
        </w:rPr>
        <w:t xml:space="preserve">Recorde-se que o </w:t>
      </w:r>
      <w:r w:rsidRPr="009A539C">
        <w:rPr>
          <w:rFonts w:ascii="Calibri" w:hAnsi="Calibri" w:cs="Calibri"/>
        </w:rPr>
        <w:t>princípio da igualdade e não discriminação - ancorado na Constituição, através do princípio geral consagrado no art.13.º CRP e com projeções no domínio laboral (entre outros, arts. 59.º, 63ª, 67º e 68.º CRP) - é desenvolvido na legislação laboral a qual, em 2019, foi revitalizada com a publicação da Lei 90/2019, de 4 de setembro</w:t>
      </w:r>
      <w:r w:rsidRPr="009A539C">
        <w:rPr>
          <w:vertAlign w:val="superscript"/>
        </w:rPr>
        <w:footnoteReference w:id="528"/>
      </w:r>
      <w:r w:rsidRPr="009A539C">
        <w:rPr>
          <w:rFonts w:ascii="Calibri" w:hAnsi="Calibri" w:cs="Calibri"/>
        </w:rPr>
        <w:t>.</w:t>
      </w:r>
      <w:bookmarkEnd w:id="754"/>
      <w:bookmarkEnd w:id="755"/>
      <w:r w:rsidRPr="009A539C">
        <w:rPr>
          <w:rFonts w:ascii="Calibri" w:hAnsi="Calibri" w:cs="Calibri"/>
        </w:rPr>
        <w:t xml:space="preserve">   </w:t>
      </w:r>
    </w:p>
    <w:p w14:paraId="4872B99D" w14:textId="77777777" w:rsidR="003A2FD6" w:rsidRPr="009A539C" w:rsidRDefault="003A2FD6" w:rsidP="00922B44">
      <w:pPr>
        <w:pStyle w:val="PargrafodaLista"/>
        <w:numPr>
          <w:ilvl w:val="0"/>
          <w:numId w:val="78"/>
        </w:numPr>
        <w:spacing w:line="360" w:lineRule="auto"/>
        <w:ind w:left="0" w:firstLine="360"/>
        <w:jc w:val="both"/>
        <w:rPr>
          <w:rFonts w:ascii="Calibri" w:hAnsi="Calibri" w:cs="Calibri"/>
        </w:rPr>
      </w:pPr>
      <w:bookmarkStart w:id="756" w:name="_Toc42511786"/>
      <w:bookmarkStart w:id="757" w:name="_Toc42514550"/>
      <w:r w:rsidRPr="009A539C">
        <w:rPr>
          <w:rFonts w:ascii="Calibri" w:hAnsi="Calibri" w:cs="Calibri"/>
        </w:rPr>
        <w:t>Passa-se de seguida à análise das convenções coletivas de 2019, pelo prisma da igualdade nas relações laborais.</w:t>
      </w:r>
      <w:bookmarkEnd w:id="756"/>
      <w:bookmarkEnd w:id="757"/>
    </w:p>
    <w:p w14:paraId="7447A049" w14:textId="77777777" w:rsidR="0066030F" w:rsidRPr="009A539C" w:rsidRDefault="003A2FD6" w:rsidP="00AF188D">
      <w:pPr>
        <w:spacing w:line="360" w:lineRule="auto"/>
        <w:jc w:val="both"/>
        <w:rPr>
          <w:rFonts w:ascii="Calibri" w:hAnsi="Calibri" w:cs="Calibri"/>
          <w:bCs/>
        </w:rPr>
      </w:pPr>
      <w:bookmarkStart w:id="758" w:name="_Toc42511787"/>
      <w:bookmarkStart w:id="759" w:name="_Toc42514551"/>
      <w:r w:rsidRPr="009A539C">
        <w:rPr>
          <w:rFonts w:ascii="Calibri" w:hAnsi="Calibri" w:cs="Calibri"/>
          <w:bCs/>
        </w:rPr>
        <w:t>No relatório anterior</w:t>
      </w:r>
      <w:r w:rsidRPr="009A539C">
        <w:rPr>
          <w:rFonts w:ascii="Calibri" w:hAnsi="Calibri" w:cs="Calibri"/>
          <w:bCs/>
          <w:vertAlign w:val="superscript"/>
        </w:rPr>
        <w:footnoteReference w:id="529"/>
      </w:r>
      <w:r w:rsidRPr="009A539C">
        <w:rPr>
          <w:rFonts w:ascii="Calibri" w:hAnsi="Calibri" w:cs="Calibri"/>
          <w:bCs/>
        </w:rPr>
        <w:t xml:space="preserve"> evidenciou-se o crescimento sustentado  destas três vertentes a partir de 2016, o qual prossegue  em 2019, conforme  ilustrado no quadro seguinte.  No plano dos conteúdos, a densificação operada nas convenções espelha, em larga medida, as sucessivas alterações legislativas ocorridas neste domínio, na medida em que, as mais das vezes, as convenções reproduzem a legislação em vigor, em cada momento</w:t>
      </w:r>
      <w:r w:rsidRPr="009A539C">
        <w:rPr>
          <w:rFonts w:ascii="Calibri" w:hAnsi="Calibri" w:cs="Calibri"/>
          <w:vertAlign w:val="superscript"/>
        </w:rPr>
        <w:footnoteReference w:id="530"/>
      </w:r>
      <w:r w:rsidRPr="009A539C">
        <w:rPr>
          <w:rFonts w:ascii="Calibri" w:hAnsi="Calibri" w:cs="Calibri"/>
          <w:bCs/>
        </w:rPr>
        <w:t>.</w:t>
      </w:r>
      <w:bookmarkEnd w:id="758"/>
      <w:bookmarkEnd w:id="759"/>
    </w:p>
    <w:p w14:paraId="0E0B18A1" w14:textId="77777777" w:rsidR="00C4600E" w:rsidRPr="009A539C" w:rsidRDefault="00C4600E" w:rsidP="001E792A">
      <w:pPr>
        <w:rPr>
          <w:rFonts w:ascii="Calibri" w:hAnsi="Calibri" w:cs="Calibri"/>
          <w:bCs/>
        </w:rPr>
      </w:pPr>
    </w:p>
    <w:p w14:paraId="3D172305" w14:textId="77777777" w:rsidR="00343774" w:rsidRPr="009A539C" w:rsidRDefault="00343774" w:rsidP="001E792A">
      <w:pPr>
        <w:rPr>
          <w:rFonts w:ascii="Calibri" w:hAnsi="Calibri" w:cs="Calibri"/>
          <w:bCs/>
        </w:rPr>
      </w:pPr>
    </w:p>
    <w:p w14:paraId="3BA74112" w14:textId="77777777" w:rsidR="00343774" w:rsidRPr="009A539C" w:rsidRDefault="00343774" w:rsidP="001E792A">
      <w:pPr>
        <w:rPr>
          <w:rFonts w:ascii="Calibri" w:hAnsi="Calibri" w:cs="Calibri"/>
          <w:bCs/>
        </w:rPr>
      </w:pPr>
    </w:p>
    <w:p w14:paraId="1A78299B" w14:textId="77777777" w:rsidR="00343774" w:rsidRPr="009A539C" w:rsidRDefault="00343774" w:rsidP="001E792A">
      <w:pPr>
        <w:rPr>
          <w:rFonts w:ascii="Calibri" w:hAnsi="Calibri" w:cs="Calibri"/>
          <w:bCs/>
        </w:rPr>
      </w:pPr>
    </w:p>
    <w:p w14:paraId="5ABC951B" w14:textId="3AEFD44B" w:rsidR="003A2FD6" w:rsidRPr="009A539C" w:rsidRDefault="00785B2A" w:rsidP="00343774">
      <w:pPr>
        <w:pStyle w:val="Legenda"/>
        <w:jc w:val="center"/>
        <w:rPr>
          <w:rFonts w:ascii="Calibri" w:hAnsi="Calibri" w:cs="Calibri"/>
          <w:b w:val="0"/>
          <w:bCs w:val="0"/>
          <w:color w:val="0070C0"/>
        </w:rPr>
      </w:pPr>
      <w:bookmarkStart w:id="760" w:name="_Toc15655002"/>
      <w:bookmarkStart w:id="761" w:name="_Toc42511788"/>
      <w:bookmarkStart w:id="762" w:name="_Toc42514552"/>
      <w:bookmarkStart w:id="763" w:name="_Toc45716686"/>
      <w:r w:rsidRPr="009A539C">
        <w:t xml:space="preserve">Quadro </w:t>
      </w:r>
      <w:fldSimple w:instr=" SEQ Quadro \* ARABIC ">
        <w:r w:rsidR="00D821DE">
          <w:rPr>
            <w:noProof/>
          </w:rPr>
          <w:t>65</w:t>
        </w:r>
      </w:fldSimple>
      <w:r w:rsidR="003A2FD6" w:rsidRPr="009A539C">
        <w:rPr>
          <w:rFonts w:ascii="Calibri" w:hAnsi="Calibri" w:cs="Calibri"/>
          <w:b w:val="0"/>
          <w:bCs w:val="0"/>
          <w:color w:val="0070C0"/>
        </w:rPr>
        <w:t xml:space="preserve"> - Igualdade e não discriminação e parentalidade (2019-2018)</w:t>
      </w:r>
      <w:bookmarkEnd w:id="760"/>
      <w:bookmarkEnd w:id="761"/>
      <w:bookmarkEnd w:id="762"/>
      <w:bookmarkEnd w:id="763"/>
    </w:p>
    <w:p w14:paraId="7E5782B9" w14:textId="1EA7D909" w:rsidR="00070842" w:rsidRPr="009A539C" w:rsidRDefault="00070842" w:rsidP="001E792A">
      <w:pPr>
        <w:jc w:val="center"/>
        <w:rPr>
          <w:rFonts w:ascii="Calibri" w:hAnsi="Calibri" w:cs="Calibri"/>
          <w:b/>
          <w:bCs/>
          <w:color w:val="0070C0"/>
        </w:rPr>
      </w:pPr>
      <w:r w:rsidRPr="009A539C">
        <w:rPr>
          <w:noProof/>
          <w:lang w:eastAsia="pt-PT"/>
        </w:rPr>
        <w:drawing>
          <wp:inline distT="0" distB="0" distL="0" distR="0" wp14:anchorId="60BD8D1B" wp14:editId="32A74EA3">
            <wp:extent cx="6081623" cy="1763304"/>
            <wp:effectExtent l="0" t="0" r="0" b="8890"/>
            <wp:docPr id="1211" name="Imagem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81743" cy="1763339"/>
                    </a:xfrm>
                    <a:prstGeom prst="rect">
                      <a:avLst/>
                    </a:prstGeom>
                    <a:noFill/>
                    <a:ln>
                      <a:noFill/>
                    </a:ln>
                  </pic:spPr>
                </pic:pic>
              </a:graphicData>
            </a:graphic>
          </wp:inline>
        </w:drawing>
      </w:r>
    </w:p>
    <w:p w14:paraId="7E3EEDB6" w14:textId="77777777" w:rsidR="00070842" w:rsidRPr="009A539C" w:rsidRDefault="00070842" w:rsidP="001E792A">
      <w:pPr>
        <w:rPr>
          <w:rFonts w:ascii="Calibri" w:hAnsi="Calibri" w:cs="Calibri"/>
          <w:b/>
          <w:bCs/>
          <w:color w:val="0070C0"/>
        </w:rPr>
      </w:pPr>
    </w:p>
    <w:p w14:paraId="6C282829" w14:textId="77777777" w:rsidR="00604AF9" w:rsidRPr="009A539C" w:rsidRDefault="00604AF9" w:rsidP="00AF188D">
      <w:pPr>
        <w:pStyle w:val="PargrafodaLista"/>
        <w:numPr>
          <w:ilvl w:val="3"/>
          <w:numId w:val="50"/>
        </w:numPr>
        <w:spacing w:before="240" w:line="360" w:lineRule="auto"/>
        <w:ind w:left="850"/>
        <w:jc w:val="both"/>
        <w:outlineLvl w:val="3"/>
        <w:rPr>
          <w:rFonts w:ascii="Calibri" w:hAnsi="Calibri" w:cs="Calibri"/>
        </w:rPr>
      </w:pPr>
      <w:bookmarkStart w:id="764" w:name="_Toc45535731"/>
      <w:r w:rsidRPr="009A539C">
        <w:rPr>
          <w:rFonts w:ascii="Calibri" w:hAnsi="Calibri" w:cs="Calibri"/>
        </w:rPr>
        <w:t>Assédio Moral</w:t>
      </w:r>
      <w:bookmarkEnd w:id="764"/>
    </w:p>
    <w:p w14:paraId="5B99975E" w14:textId="77777777" w:rsidR="003A2FD6" w:rsidRPr="009A539C" w:rsidRDefault="003A2FD6" w:rsidP="00A95C56">
      <w:pPr>
        <w:numPr>
          <w:ilvl w:val="0"/>
          <w:numId w:val="26"/>
        </w:numPr>
        <w:spacing w:before="240" w:after="0" w:line="360" w:lineRule="auto"/>
        <w:ind w:left="0" w:right="-1" w:firstLine="425"/>
        <w:jc w:val="both"/>
        <w:rPr>
          <w:rFonts w:eastAsia="Calibri"/>
        </w:rPr>
      </w:pPr>
      <w:r w:rsidRPr="009A539C">
        <w:rPr>
          <w:rFonts w:eastAsia="Calibri"/>
        </w:rPr>
        <w:t xml:space="preserve">O Código do Trabalho regula a proibição do assédio na subsecção dedicada à igualdade e não discriminação [art. 29.º, e com reflexos no art. 127.º, 1, als. </w:t>
      </w:r>
      <w:r w:rsidRPr="009A539C">
        <w:rPr>
          <w:rFonts w:eastAsia="Calibri"/>
          <w:i/>
        </w:rPr>
        <w:t>k</w:t>
      </w:r>
      <w:r w:rsidRPr="009A539C">
        <w:rPr>
          <w:rFonts w:eastAsia="Calibri"/>
        </w:rPr>
        <w:t xml:space="preserve">) e </w:t>
      </w:r>
      <w:r w:rsidRPr="009A539C">
        <w:rPr>
          <w:rFonts w:eastAsia="Calibri"/>
          <w:i/>
        </w:rPr>
        <w:t>l</w:t>
      </w:r>
      <w:r w:rsidRPr="009A539C">
        <w:rPr>
          <w:rFonts w:eastAsia="Calibri"/>
        </w:rPr>
        <w:t xml:space="preserve">); art. 283.º, 8 e 9 art. 331.º, 2, al. </w:t>
      </w:r>
      <w:r w:rsidRPr="009A539C">
        <w:rPr>
          <w:rFonts w:eastAsia="Calibri"/>
          <w:i/>
        </w:rPr>
        <w:t>b</w:t>
      </w:r>
      <w:r w:rsidRPr="009A539C">
        <w:rPr>
          <w:rFonts w:eastAsia="Calibri"/>
        </w:rPr>
        <w:t xml:space="preserve">) e art. 394.º, 2, al. </w:t>
      </w:r>
      <w:r w:rsidRPr="009A539C">
        <w:rPr>
          <w:rFonts w:eastAsia="Calibri"/>
          <w:i/>
        </w:rPr>
        <w:t>f</w:t>
      </w:r>
      <w:r w:rsidRPr="009A539C">
        <w:rPr>
          <w:rFonts w:eastAsia="Calibri"/>
        </w:rPr>
        <w:t>), CT</w:t>
      </w:r>
      <w:r w:rsidRPr="009A539C">
        <w:rPr>
          <w:rFonts w:eastAsia="Calibri"/>
          <w:vertAlign w:val="superscript"/>
        </w:rPr>
        <w:footnoteReference w:id="531"/>
      </w:r>
      <w:r w:rsidR="0068379F" w:rsidRPr="009A539C">
        <w:rPr>
          <w:rFonts w:eastAsia="Calibri"/>
        </w:rPr>
        <w:t xml:space="preserve">]. </w:t>
      </w:r>
      <w:r w:rsidRPr="009A539C">
        <w:rPr>
          <w:rFonts w:eastAsia="Calibri"/>
        </w:rPr>
        <w:t xml:space="preserve">Em 2019, encontramos 11 convenções coletivas que tratam o tema, o que traduz um ligeiro aumento relativamente ao ano anterior (em 2018, existiram 9, em 2017 existiram 5). </w:t>
      </w:r>
    </w:p>
    <w:p w14:paraId="2E50CF56" w14:textId="77777777" w:rsidR="003A2FD6" w:rsidRPr="009A539C" w:rsidRDefault="003A2FD6" w:rsidP="00A95C56">
      <w:pPr>
        <w:numPr>
          <w:ilvl w:val="0"/>
          <w:numId w:val="26"/>
        </w:numPr>
        <w:spacing w:before="240" w:after="0" w:line="360" w:lineRule="auto"/>
        <w:ind w:left="0" w:right="-1" w:firstLine="425"/>
        <w:jc w:val="both"/>
        <w:rPr>
          <w:rFonts w:eastAsia="Calibri"/>
        </w:rPr>
      </w:pPr>
      <w:r w:rsidRPr="009A539C">
        <w:rPr>
          <w:rFonts w:eastAsia="Calibri"/>
        </w:rPr>
        <w:t>No quadro seguinte estão representados: 9 AE, dos quais três são instrumentos paralelos, e 2 CC. Existem 4 re</w:t>
      </w:r>
      <w:r w:rsidR="00BE4EA5" w:rsidRPr="009A539C">
        <w:rPr>
          <w:rFonts w:eastAsia="Calibri"/>
        </w:rPr>
        <w:t xml:space="preserve">visões globais, três das quais reproduzem </w:t>
      </w:r>
      <w:r w:rsidRPr="009A539C">
        <w:rPr>
          <w:rFonts w:eastAsia="Calibri"/>
        </w:rPr>
        <w:t>a versão anterior da convenção</w:t>
      </w:r>
      <w:r w:rsidRPr="009A539C">
        <w:rPr>
          <w:rStyle w:val="Refdenotaderodap"/>
          <w:rFonts w:eastAsia="Calibri"/>
        </w:rPr>
        <w:footnoteReference w:id="532"/>
      </w:r>
      <w:r w:rsidR="00BE4EA5" w:rsidRPr="009A539C">
        <w:rPr>
          <w:rFonts w:eastAsia="Calibri"/>
        </w:rPr>
        <w:t xml:space="preserve">. Os restantes conteúdos </w:t>
      </w:r>
      <w:r w:rsidRPr="009A539C">
        <w:rPr>
          <w:rFonts w:eastAsia="Calibri"/>
        </w:rPr>
        <w:t xml:space="preserve">são inovadores, 1 altera o recorte do regime plasmado na versão anterior da convenção </w:t>
      </w:r>
      <w:r w:rsidRPr="009A539C">
        <w:rPr>
          <w:rStyle w:val="Refdenotaderodap"/>
          <w:rFonts w:eastAsia="Calibri"/>
        </w:rPr>
        <w:footnoteReference w:id="533"/>
      </w:r>
      <w:r w:rsidRPr="009A539C">
        <w:rPr>
          <w:rFonts w:eastAsia="Calibri"/>
        </w:rPr>
        <w:t xml:space="preserve"> e  as demais são  primeiras convenções .</w:t>
      </w:r>
      <w:r w:rsidRPr="009A539C">
        <w:rPr>
          <w:rFonts w:eastAsia="Calibri"/>
          <w:sz w:val="23"/>
          <w:szCs w:val="23"/>
        </w:rPr>
        <w:t xml:space="preserve"> </w:t>
      </w:r>
      <w:r w:rsidRPr="009A539C">
        <w:rPr>
          <w:rFonts w:eastAsia="Calibri"/>
        </w:rPr>
        <w:t>Na perspetiva qualitativa sistematizam-se aqui os principais tópicos versados nas convenções, embora com níveis de aprofundamento variáveis</w:t>
      </w:r>
      <w:r w:rsidRPr="009A539C">
        <w:rPr>
          <w:rFonts w:eastAsia="Calibri"/>
          <w:vertAlign w:val="superscript"/>
        </w:rPr>
        <w:footnoteReference w:id="534"/>
      </w:r>
      <w:r w:rsidRPr="009A539C">
        <w:rPr>
          <w:rFonts w:eastAsia="Calibri"/>
        </w:rPr>
        <w:t>. Em todas as situações a matéria é definida como um dever do empregador e, por outro lado, continua a encontrar-se a previsão de códigos de boa conduta</w:t>
      </w:r>
      <w:r w:rsidRPr="009A539C">
        <w:rPr>
          <w:rStyle w:val="Refdenotaderodap"/>
          <w:rFonts w:eastAsia="Calibri"/>
        </w:rPr>
        <w:footnoteReference w:id="535"/>
      </w:r>
      <w:r w:rsidRPr="009A539C">
        <w:rPr>
          <w:rFonts w:eastAsia="Calibri"/>
        </w:rPr>
        <w:t xml:space="preserve">. No geral, as convenções acabam por reproduzir, de forma mais ou menos desenvolvida, o quadro legal. De qualquer modo, a sua referência no texto da convenção não deixa de ser um sinal da relevância que os outorgantes reconhecem ao tema </w:t>
      </w:r>
      <w:r w:rsidRPr="009A539C">
        <w:rPr>
          <w:rStyle w:val="Refdenotaderodap"/>
          <w:rFonts w:eastAsia="Calibri"/>
        </w:rPr>
        <w:footnoteReference w:id="536"/>
      </w:r>
      <w:r w:rsidRPr="009A539C">
        <w:rPr>
          <w:rFonts w:eastAsia="Calibri"/>
        </w:rPr>
        <w:t>.</w:t>
      </w:r>
    </w:p>
    <w:p w14:paraId="6D2ED614" w14:textId="77777777" w:rsidR="00BE4EA5" w:rsidRPr="009A539C" w:rsidRDefault="00BE4EA5" w:rsidP="00AF188D">
      <w:pPr>
        <w:spacing w:before="240" w:line="360" w:lineRule="auto"/>
        <w:ind w:right="-1"/>
        <w:jc w:val="both"/>
        <w:rPr>
          <w:rFonts w:eastAsia="Calibri"/>
          <w:color w:val="0070C0"/>
        </w:rPr>
      </w:pPr>
    </w:p>
    <w:p w14:paraId="38D7B42D" w14:textId="1D96A400" w:rsidR="003A2FD6" w:rsidRPr="001A1E81" w:rsidRDefault="00785B2A" w:rsidP="00343774">
      <w:pPr>
        <w:pStyle w:val="Legenda"/>
        <w:jc w:val="center"/>
        <w:rPr>
          <w:b w:val="0"/>
          <w:noProof/>
          <w:lang w:eastAsia="pt-PT"/>
        </w:rPr>
      </w:pPr>
      <w:bookmarkStart w:id="765" w:name="_Toc15655003"/>
      <w:bookmarkStart w:id="766" w:name="_Toc45716687"/>
      <w:r w:rsidRPr="001A1E81">
        <w:rPr>
          <w:b w:val="0"/>
        </w:rPr>
        <w:t xml:space="preserve">Quadro </w:t>
      </w:r>
      <w:r w:rsidR="00942C57" w:rsidRPr="001A1E81">
        <w:rPr>
          <w:b w:val="0"/>
        </w:rPr>
        <w:fldChar w:fldCharType="begin"/>
      </w:r>
      <w:r w:rsidR="00942C57" w:rsidRPr="001A1E81">
        <w:rPr>
          <w:b w:val="0"/>
        </w:rPr>
        <w:instrText xml:space="preserve"> SEQ Quadro \* ARABIC </w:instrText>
      </w:r>
      <w:r w:rsidR="00942C57" w:rsidRPr="001A1E81">
        <w:rPr>
          <w:b w:val="0"/>
        </w:rPr>
        <w:fldChar w:fldCharType="separate"/>
      </w:r>
      <w:r w:rsidR="00D821DE" w:rsidRPr="001A1E81">
        <w:rPr>
          <w:b w:val="0"/>
          <w:noProof/>
        </w:rPr>
        <w:t>66</w:t>
      </w:r>
      <w:r w:rsidR="00942C57" w:rsidRPr="001A1E81">
        <w:rPr>
          <w:b w:val="0"/>
          <w:noProof/>
        </w:rPr>
        <w:fldChar w:fldCharType="end"/>
      </w:r>
      <w:r w:rsidR="003A2FD6" w:rsidRPr="001A1E81">
        <w:rPr>
          <w:b w:val="0"/>
          <w:sz w:val="22"/>
          <w:szCs w:val="22"/>
        </w:rPr>
        <w:t xml:space="preserve"> - Igualdade e não discriminação - assédio moral (2019)</w:t>
      </w:r>
      <w:bookmarkEnd w:id="765"/>
      <w:bookmarkEnd w:id="766"/>
    </w:p>
    <w:p w14:paraId="46280660" w14:textId="77777777" w:rsidR="003A2FD6" w:rsidRPr="009A539C" w:rsidRDefault="003A2FD6" w:rsidP="00B90788">
      <w:pPr>
        <w:pStyle w:val="Legenda"/>
        <w:ind w:right="-1"/>
        <w:jc w:val="center"/>
        <w:rPr>
          <w:rStyle w:val="ListLabel4"/>
          <w:i/>
          <w:sz w:val="24"/>
          <w:szCs w:val="24"/>
        </w:rPr>
      </w:pPr>
      <w:r w:rsidRPr="009A539C">
        <w:rPr>
          <w:noProof/>
          <w:lang w:eastAsia="pt-PT"/>
        </w:rPr>
        <w:drawing>
          <wp:inline distT="0" distB="0" distL="0" distR="0" wp14:anchorId="65F5D590" wp14:editId="230EDD2A">
            <wp:extent cx="5274259" cy="5286904"/>
            <wp:effectExtent l="0" t="0" r="317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275649" cy="5288298"/>
                    </a:xfrm>
                    <a:prstGeom prst="rect">
                      <a:avLst/>
                    </a:prstGeom>
                    <a:noFill/>
                    <a:ln>
                      <a:noFill/>
                    </a:ln>
                  </pic:spPr>
                </pic:pic>
              </a:graphicData>
            </a:graphic>
          </wp:inline>
        </w:drawing>
      </w:r>
    </w:p>
    <w:p w14:paraId="08897D86" w14:textId="77777777" w:rsidR="003A2FD6" w:rsidRPr="009A539C" w:rsidRDefault="003A2FD6" w:rsidP="00B90788">
      <w:pPr>
        <w:ind w:right="-1"/>
      </w:pPr>
    </w:p>
    <w:p w14:paraId="3DEDD222" w14:textId="77777777" w:rsidR="008B6C1B" w:rsidRPr="009A539C" w:rsidRDefault="008B6C1B" w:rsidP="00B90788">
      <w:pPr>
        <w:ind w:right="-1"/>
      </w:pPr>
    </w:p>
    <w:p w14:paraId="371E4887" w14:textId="77777777" w:rsidR="00343774" w:rsidRPr="009A539C" w:rsidRDefault="00343774" w:rsidP="00B90788">
      <w:pPr>
        <w:ind w:right="-1"/>
      </w:pPr>
    </w:p>
    <w:p w14:paraId="1FD1232F" w14:textId="77777777" w:rsidR="00343774" w:rsidRPr="009A539C" w:rsidRDefault="00343774" w:rsidP="00B90788">
      <w:pPr>
        <w:ind w:right="-1"/>
      </w:pPr>
    </w:p>
    <w:p w14:paraId="353F8822" w14:textId="77777777" w:rsidR="00343774" w:rsidRPr="009A539C" w:rsidRDefault="00343774" w:rsidP="00B90788">
      <w:pPr>
        <w:ind w:right="-1"/>
      </w:pPr>
    </w:p>
    <w:p w14:paraId="615653D2" w14:textId="77777777" w:rsidR="00343774" w:rsidRPr="009A539C" w:rsidRDefault="00343774" w:rsidP="00B90788">
      <w:pPr>
        <w:ind w:right="-1"/>
      </w:pPr>
    </w:p>
    <w:p w14:paraId="47DA8677" w14:textId="77777777" w:rsidR="00343774" w:rsidRPr="009A539C" w:rsidRDefault="00343774" w:rsidP="00B90788">
      <w:pPr>
        <w:ind w:right="-1"/>
      </w:pPr>
    </w:p>
    <w:p w14:paraId="256561A4" w14:textId="77777777" w:rsidR="00343774" w:rsidRPr="009A539C" w:rsidRDefault="00343774" w:rsidP="00B90788">
      <w:pPr>
        <w:ind w:right="-1"/>
      </w:pPr>
    </w:p>
    <w:p w14:paraId="3D5FA553" w14:textId="77777777" w:rsidR="00343774" w:rsidRPr="009A539C" w:rsidRDefault="00343774" w:rsidP="00B90788">
      <w:pPr>
        <w:ind w:right="-1"/>
      </w:pPr>
    </w:p>
    <w:p w14:paraId="20E2EC12" w14:textId="77777777" w:rsidR="00604AF9" w:rsidRPr="009A539C" w:rsidRDefault="00604AF9" w:rsidP="00AF188D">
      <w:pPr>
        <w:pStyle w:val="PargrafodaLista"/>
        <w:numPr>
          <w:ilvl w:val="3"/>
          <w:numId w:val="50"/>
        </w:numPr>
        <w:spacing w:before="240" w:line="360" w:lineRule="auto"/>
        <w:ind w:left="850"/>
        <w:jc w:val="both"/>
        <w:outlineLvl w:val="3"/>
        <w:rPr>
          <w:rFonts w:ascii="Calibri" w:hAnsi="Calibri" w:cs="Calibri"/>
        </w:rPr>
      </w:pPr>
      <w:bookmarkStart w:id="767" w:name="_Toc45535732"/>
      <w:r w:rsidRPr="009A539C">
        <w:rPr>
          <w:rFonts w:ascii="Calibri" w:hAnsi="Calibri" w:cs="Calibri"/>
        </w:rPr>
        <w:t>Conciliação entre a vida familiar e profissional</w:t>
      </w:r>
      <w:bookmarkEnd w:id="767"/>
    </w:p>
    <w:p w14:paraId="078B739E" w14:textId="77777777" w:rsidR="00AF188D" w:rsidRPr="009A539C" w:rsidRDefault="00AF188D" w:rsidP="00AF188D">
      <w:pPr>
        <w:pStyle w:val="PargrafodaLista"/>
        <w:spacing w:before="240" w:line="360" w:lineRule="auto"/>
        <w:ind w:left="850"/>
        <w:jc w:val="both"/>
        <w:outlineLvl w:val="3"/>
        <w:rPr>
          <w:rFonts w:ascii="Calibri" w:hAnsi="Calibri" w:cs="Calibri"/>
        </w:rPr>
      </w:pPr>
    </w:p>
    <w:p w14:paraId="3C8738B8" w14:textId="77777777" w:rsidR="003A2FD6" w:rsidRPr="009A539C" w:rsidRDefault="003A2FD6" w:rsidP="00AF188D">
      <w:pPr>
        <w:pStyle w:val="PargrafodaLista"/>
        <w:numPr>
          <w:ilvl w:val="0"/>
          <w:numId w:val="65"/>
        </w:numPr>
        <w:spacing w:line="360" w:lineRule="auto"/>
        <w:ind w:left="0" w:firstLine="426"/>
        <w:jc w:val="both"/>
        <w:rPr>
          <w:rFonts w:ascii="Calibri" w:hAnsi="Calibri" w:cs="Calibri"/>
        </w:rPr>
      </w:pPr>
      <w:bookmarkStart w:id="768" w:name="_Toc42511792"/>
      <w:bookmarkStart w:id="769" w:name="_Toc42514556"/>
      <w:r w:rsidRPr="009A539C">
        <w:rPr>
          <w:rFonts w:ascii="Calibri" w:hAnsi="Calibri" w:cs="Calibri"/>
        </w:rPr>
        <w:t>No tópico relativo à conciliação da vida familiar e profissional [que corresponde também a um princípio constitucional – art. 59.º, 1, b), da CRP] continua encontrar-se disposições convencionais sobre as duas vertentes, já acompanhadas nos relatórios anteriores:</w:t>
      </w:r>
      <w:bookmarkEnd w:id="768"/>
      <w:bookmarkEnd w:id="769"/>
    </w:p>
    <w:p w14:paraId="2A97BDF1" w14:textId="434F0941" w:rsidR="003A2FD6" w:rsidRPr="009A539C" w:rsidRDefault="003A2FD6" w:rsidP="00922B44">
      <w:pPr>
        <w:pStyle w:val="PargrafodaLista"/>
        <w:numPr>
          <w:ilvl w:val="0"/>
          <w:numId w:val="75"/>
        </w:numPr>
        <w:spacing w:line="360" w:lineRule="auto"/>
        <w:ind w:left="993" w:hanging="284"/>
        <w:jc w:val="both"/>
        <w:rPr>
          <w:rFonts w:ascii="Calibri" w:hAnsi="Calibri" w:cs="Calibri"/>
        </w:rPr>
      </w:pPr>
      <w:bookmarkStart w:id="770" w:name="_Toc42511793"/>
      <w:bookmarkStart w:id="771" w:name="_Toc42514557"/>
      <w:r w:rsidRPr="009A539C">
        <w:rPr>
          <w:rFonts w:ascii="Calibri" w:hAnsi="Calibri" w:cs="Calibri"/>
        </w:rPr>
        <w:t>a tutela da parentalidade e da maternidade, considerando, para este efeito, duas disposições do Código do Trabalho: a articulação do regime da parentalidade com o regime de proteção social (art. 34.º do CT) e o catálogo de direitos do trabalhador consagrados no art. 35.º do CT, que acolhe um conjunto de licenças e dispensas permitidas para o exercício da paternidade, assim como a possibilidade de modulação da organização dos tempos de trabalho;</w:t>
      </w:r>
      <w:bookmarkEnd w:id="770"/>
      <w:bookmarkEnd w:id="771"/>
    </w:p>
    <w:p w14:paraId="1A5E8AE3" w14:textId="68A3AAD1" w:rsidR="003A2FD6" w:rsidRPr="009A539C" w:rsidRDefault="003A2FD6" w:rsidP="00922B44">
      <w:pPr>
        <w:pStyle w:val="PargrafodaLista"/>
        <w:numPr>
          <w:ilvl w:val="0"/>
          <w:numId w:val="75"/>
        </w:numPr>
        <w:spacing w:line="360" w:lineRule="auto"/>
        <w:ind w:left="993" w:hanging="284"/>
        <w:jc w:val="both"/>
        <w:rPr>
          <w:rFonts w:ascii="Calibri" w:hAnsi="Calibri" w:cs="Calibri"/>
        </w:rPr>
      </w:pPr>
      <w:bookmarkStart w:id="772" w:name="_Toc42511794"/>
      <w:bookmarkStart w:id="773" w:name="_Toc42514558"/>
      <w:r w:rsidRPr="009A539C">
        <w:rPr>
          <w:rFonts w:ascii="Calibri" w:hAnsi="Calibri" w:cs="Calibri"/>
        </w:rPr>
        <w:t>a tutela da conciliação associada ao binómio tempo de trabalho/tempo de não trabalho.</w:t>
      </w:r>
      <w:bookmarkEnd w:id="772"/>
      <w:bookmarkEnd w:id="773"/>
      <w:r w:rsidRPr="009A539C">
        <w:rPr>
          <w:rFonts w:ascii="Calibri" w:hAnsi="Calibri" w:cs="Calibri"/>
        </w:rPr>
        <w:t xml:space="preserve"> </w:t>
      </w:r>
    </w:p>
    <w:p w14:paraId="1C23D014" w14:textId="77777777" w:rsidR="001E792A" w:rsidRPr="009A539C" w:rsidRDefault="001E792A" w:rsidP="001E792A">
      <w:pPr>
        <w:ind w:left="709"/>
        <w:rPr>
          <w:rFonts w:ascii="Calibri" w:hAnsi="Calibri" w:cs="Calibri"/>
        </w:rPr>
      </w:pPr>
    </w:p>
    <w:p w14:paraId="3802F31E" w14:textId="77777777" w:rsidR="003A2FD6" w:rsidRPr="009A539C" w:rsidRDefault="003A2FD6" w:rsidP="00AF188D">
      <w:pPr>
        <w:pStyle w:val="PargrafodaLista"/>
        <w:numPr>
          <w:ilvl w:val="0"/>
          <w:numId w:val="65"/>
        </w:numPr>
        <w:spacing w:line="360" w:lineRule="auto"/>
        <w:ind w:left="0" w:firstLine="426"/>
        <w:jc w:val="both"/>
        <w:rPr>
          <w:rFonts w:ascii="Calibri" w:hAnsi="Calibri" w:cs="Calibri"/>
        </w:rPr>
      </w:pPr>
      <w:bookmarkStart w:id="774" w:name="_Toc42511795"/>
      <w:bookmarkStart w:id="775" w:name="_Toc42514559"/>
      <w:r w:rsidRPr="009A539C">
        <w:rPr>
          <w:rFonts w:ascii="Calibri" w:hAnsi="Calibri" w:cs="Calibri"/>
        </w:rPr>
        <w:t>Cabe recordar que à proteção da materni</w:t>
      </w:r>
      <w:r w:rsidR="00BE4EA5" w:rsidRPr="009A539C">
        <w:rPr>
          <w:rFonts w:ascii="Calibri" w:hAnsi="Calibri" w:cs="Calibri"/>
        </w:rPr>
        <w:t xml:space="preserve">dade e parentalidade se aplica um feixe de </w:t>
      </w:r>
      <w:r w:rsidRPr="009A539C">
        <w:rPr>
          <w:rFonts w:ascii="Calibri" w:hAnsi="Calibri" w:cs="Calibri"/>
        </w:rPr>
        <w:t>normas constantes da legislação laboral que, por sua vez, se articula com o sistema de segurança social, pois esta matéria constitui uma das eventualidades protegidas pelo sistema de segurança social</w:t>
      </w:r>
      <w:r w:rsidRPr="009A539C">
        <w:rPr>
          <w:vertAlign w:val="superscript"/>
        </w:rPr>
        <w:footnoteReference w:id="537"/>
      </w:r>
      <w:r w:rsidRPr="009A539C">
        <w:rPr>
          <w:rFonts w:ascii="Calibri" w:hAnsi="Calibri" w:cs="Calibri"/>
        </w:rPr>
        <w:t xml:space="preserve">. Assim, o Código do Trabalho (art.34.º CT) remete a proteção social da </w:t>
      </w:r>
      <w:r w:rsidR="00BE4EA5" w:rsidRPr="009A539C">
        <w:rPr>
          <w:rFonts w:ascii="Calibri" w:hAnsi="Calibri" w:cs="Calibri"/>
        </w:rPr>
        <w:t xml:space="preserve">maternidade e paternidade para </w:t>
      </w:r>
      <w:r w:rsidRPr="009A539C">
        <w:rPr>
          <w:rFonts w:ascii="Calibri" w:hAnsi="Calibri" w:cs="Calibri"/>
        </w:rPr>
        <w:t xml:space="preserve">legislação específica </w:t>
      </w:r>
      <w:r w:rsidRPr="009A539C">
        <w:rPr>
          <w:vertAlign w:val="superscript"/>
        </w:rPr>
        <w:footnoteReference w:id="538"/>
      </w:r>
      <w:r w:rsidRPr="009A539C">
        <w:rPr>
          <w:rFonts w:ascii="Calibri" w:hAnsi="Calibri" w:cs="Calibri"/>
        </w:rPr>
        <w:t>.</w:t>
      </w:r>
      <w:bookmarkEnd w:id="774"/>
      <w:bookmarkEnd w:id="775"/>
      <w:r w:rsidRPr="009A539C">
        <w:rPr>
          <w:rFonts w:ascii="Calibri" w:hAnsi="Calibri" w:cs="Calibri"/>
        </w:rPr>
        <w:t xml:space="preserve">  </w:t>
      </w:r>
    </w:p>
    <w:p w14:paraId="643598C4" w14:textId="77777777" w:rsidR="003A2FD6" w:rsidRPr="009A539C" w:rsidRDefault="003A2FD6" w:rsidP="00AF188D">
      <w:pPr>
        <w:pStyle w:val="PargrafodaLista"/>
        <w:spacing w:line="360" w:lineRule="auto"/>
        <w:ind w:left="0" w:firstLine="426"/>
        <w:jc w:val="both"/>
        <w:rPr>
          <w:rFonts w:ascii="Calibri" w:hAnsi="Calibri" w:cs="Calibri"/>
        </w:rPr>
      </w:pPr>
      <w:bookmarkStart w:id="776" w:name="_Toc42511796"/>
      <w:bookmarkStart w:id="777" w:name="_Toc42514560"/>
      <w:r w:rsidRPr="009A539C">
        <w:rPr>
          <w:rFonts w:ascii="Calibri" w:hAnsi="Calibri" w:cs="Calibri"/>
        </w:rPr>
        <w:t>Para além das licenças, o catálogo de direitos dos trabalhadores, sistematizado no Código do Trabalho (art. 35.º e arts. 36.º a 65º CT) contempla também as dispensas e faltas, assim como os regimes de flexibilização do tempo de trabalho.</w:t>
      </w:r>
      <w:bookmarkEnd w:id="776"/>
      <w:bookmarkEnd w:id="777"/>
    </w:p>
    <w:p w14:paraId="7732935B" w14:textId="77777777" w:rsidR="003A2FD6" w:rsidRPr="009A539C" w:rsidRDefault="003A2FD6" w:rsidP="00AF188D">
      <w:pPr>
        <w:spacing w:line="360" w:lineRule="auto"/>
        <w:ind w:firstLine="426"/>
        <w:jc w:val="both"/>
        <w:rPr>
          <w:rFonts w:ascii="Calibri" w:hAnsi="Calibri" w:cs="Calibri"/>
        </w:rPr>
      </w:pPr>
      <w:bookmarkStart w:id="778" w:name="_Toc42511797"/>
      <w:bookmarkStart w:id="779" w:name="_Toc42514561"/>
      <w:r w:rsidRPr="009A539C">
        <w:rPr>
          <w:rFonts w:ascii="Calibri" w:hAnsi="Calibri" w:cs="Calibri"/>
        </w:rPr>
        <w:t>Na mesma linha, as convenções dedicam, por vezes, um capítulo ou cláusula específicos para descrever o conjunto de licenças e dispensas de que beneficia o exercício do direito de parentalidade</w:t>
      </w:r>
      <w:r w:rsidRPr="009A539C">
        <w:rPr>
          <w:rFonts w:ascii="Calibri" w:hAnsi="Calibri" w:cs="Calibri"/>
          <w:vertAlign w:val="superscript"/>
        </w:rPr>
        <w:footnoteReference w:id="539"/>
      </w:r>
      <w:r w:rsidRPr="009A539C">
        <w:rPr>
          <w:rFonts w:ascii="Calibri" w:hAnsi="Calibri" w:cs="Calibri"/>
        </w:rPr>
        <w:t>. Em 2019, é comum encontrar-se a referência  à licença  parental exclusiva do pai, de acordo com redação do  art.43.º, CT, prévia à lei 90/2019, de 4 de setembro -  isto é 15 de gozo de licença obrigatória - , associada, por vezes, a um período adicional de 10 dias</w:t>
      </w:r>
      <w:r w:rsidRPr="009A539C">
        <w:rPr>
          <w:rFonts w:ascii="Calibri" w:hAnsi="Calibri" w:cs="Calibri"/>
          <w:vertAlign w:val="superscript"/>
        </w:rPr>
        <w:footnoteReference w:id="540"/>
      </w:r>
      <w:r w:rsidRPr="009A539C">
        <w:rPr>
          <w:rFonts w:ascii="Calibri" w:hAnsi="Calibri" w:cs="Calibri"/>
        </w:rPr>
        <w:t>. Também no elenco de faltas justificadas e remuneradas, tal qual definido na lei, esclarece-se que são computadas para todos os efeitos como tempo de serviço e nele figuram faltas dadas pelos progenitores e pelos avós. Neste domínio, é habitual encontrar-se a mera reprodução dos preceitos legais</w:t>
      </w:r>
      <w:r w:rsidRPr="009A539C">
        <w:rPr>
          <w:rFonts w:ascii="Calibri" w:hAnsi="Calibri" w:cs="Calibri"/>
          <w:vertAlign w:val="superscript"/>
        </w:rPr>
        <w:footnoteReference w:id="541"/>
      </w:r>
      <w:r w:rsidRPr="009A539C">
        <w:rPr>
          <w:rFonts w:ascii="Calibri" w:hAnsi="Calibri" w:cs="Calibri"/>
        </w:rPr>
        <w:t xml:space="preserve"> ou a simples remissão para a lei</w:t>
      </w:r>
      <w:r w:rsidRPr="009A539C">
        <w:rPr>
          <w:rFonts w:ascii="Calibri" w:hAnsi="Calibri" w:cs="Calibri"/>
          <w:vertAlign w:val="superscript"/>
        </w:rPr>
        <w:footnoteReference w:id="542"/>
      </w:r>
      <w:r w:rsidR="00BE4EA5" w:rsidRPr="009A539C">
        <w:rPr>
          <w:rFonts w:ascii="Calibri" w:hAnsi="Calibri" w:cs="Calibri"/>
        </w:rPr>
        <w:t xml:space="preserve">. De modo diferente, </w:t>
      </w:r>
      <w:r w:rsidRPr="009A539C">
        <w:rPr>
          <w:rFonts w:ascii="Calibri" w:hAnsi="Calibri" w:cs="Calibri"/>
        </w:rPr>
        <w:t>as convenções</w:t>
      </w:r>
      <w:r w:rsidR="00BE4EA5" w:rsidRPr="009A539C">
        <w:rPr>
          <w:rFonts w:ascii="Calibri" w:hAnsi="Calibri" w:cs="Calibri"/>
        </w:rPr>
        <w:t xml:space="preserve"> de transporte aéreo continuam </w:t>
      </w:r>
      <w:r w:rsidRPr="009A539C">
        <w:rPr>
          <w:rFonts w:ascii="Calibri" w:hAnsi="Calibri" w:cs="Calibri"/>
        </w:rPr>
        <w:t>a adaptar as regras legais à concreta orga</w:t>
      </w:r>
      <w:r w:rsidR="0068379F" w:rsidRPr="009A539C">
        <w:rPr>
          <w:rFonts w:ascii="Calibri" w:hAnsi="Calibri" w:cs="Calibri"/>
        </w:rPr>
        <w:t xml:space="preserve">nização do trabalho da empresa </w:t>
      </w:r>
      <w:r w:rsidRPr="009A539C">
        <w:rPr>
          <w:rFonts w:ascii="Calibri" w:hAnsi="Calibri" w:cs="Calibri"/>
        </w:rPr>
        <w:t>ao estabelecer a antecedência de comunicação da gravidez e da licença de maternidade ou paternidade que envolvam a definição das escalas de serviço</w:t>
      </w:r>
      <w:r w:rsidRPr="009A539C">
        <w:rPr>
          <w:rFonts w:ascii="Calibri" w:hAnsi="Calibri" w:cs="Calibri"/>
          <w:vertAlign w:val="superscript"/>
        </w:rPr>
        <w:footnoteReference w:id="543"/>
      </w:r>
      <w:r w:rsidRPr="009A539C">
        <w:rPr>
          <w:rFonts w:ascii="Calibri" w:hAnsi="Calibri" w:cs="Calibri"/>
        </w:rPr>
        <w:t xml:space="preserve"> .</w:t>
      </w:r>
      <w:bookmarkEnd w:id="778"/>
      <w:bookmarkEnd w:id="779"/>
    </w:p>
    <w:p w14:paraId="6A4C096F" w14:textId="44218201" w:rsidR="003C6890" w:rsidRPr="009A539C" w:rsidRDefault="003A2FD6" w:rsidP="00AF188D">
      <w:pPr>
        <w:spacing w:line="360" w:lineRule="auto"/>
        <w:ind w:firstLine="426"/>
        <w:jc w:val="both"/>
        <w:rPr>
          <w:rFonts w:ascii="Calibri" w:hAnsi="Calibri" w:cs="Calibri"/>
        </w:rPr>
      </w:pPr>
      <w:r w:rsidRPr="009A539C">
        <w:rPr>
          <w:rFonts w:ascii="Calibri" w:hAnsi="Calibri" w:cs="Calibri"/>
        </w:rPr>
        <w:t xml:space="preserve">  </w:t>
      </w:r>
      <w:bookmarkStart w:id="780" w:name="_Toc42511798"/>
      <w:bookmarkStart w:id="781" w:name="_Toc42514562"/>
      <w:r w:rsidRPr="009A539C">
        <w:rPr>
          <w:rFonts w:ascii="Calibri" w:hAnsi="Calibri" w:cs="Calibri"/>
        </w:rPr>
        <w:t>Apresenta-se</w:t>
      </w:r>
      <w:r w:rsidR="008A594F" w:rsidRPr="009A539C">
        <w:rPr>
          <w:rFonts w:ascii="Calibri" w:hAnsi="Calibri" w:cs="Calibri"/>
        </w:rPr>
        <w:t xml:space="preserve"> no </w:t>
      </w:r>
      <w:r w:rsidR="00BE4EA5" w:rsidRPr="009A539C">
        <w:rPr>
          <w:rFonts w:ascii="Calibri" w:hAnsi="Calibri" w:cs="Calibri"/>
        </w:rPr>
        <w:t xml:space="preserve">quadro </w:t>
      </w:r>
      <w:r w:rsidR="008A594F" w:rsidRPr="009A539C">
        <w:rPr>
          <w:rFonts w:ascii="Calibri" w:hAnsi="Calibri" w:cs="Calibri"/>
        </w:rPr>
        <w:t>66-A</w:t>
      </w:r>
      <w:r w:rsidR="00BE4EA5" w:rsidRPr="009A539C">
        <w:rPr>
          <w:rFonts w:ascii="Calibri" w:hAnsi="Calibri" w:cs="Calibri"/>
        </w:rPr>
        <w:t xml:space="preserve"> a repartição </w:t>
      </w:r>
      <w:r w:rsidRPr="009A539C">
        <w:rPr>
          <w:rFonts w:ascii="Calibri" w:hAnsi="Calibri" w:cs="Calibri"/>
        </w:rPr>
        <w:t>do conjunto de convenções que versam o tópico da parenta</w:t>
      </w:r>
      <w:r w:rsidR="00BE4EA5" w:rsidRPr="009A539C">
        <w:rPr>
          <w:rFonts w:ascii="Calibri" w:hAnsi="Calibri" w:cs="Calibri"/>
        </w:rPr>
        <w:t xml:space="preserve">lidade, por subtipo, revelando </w:t>
      </w:r>
      <w:r w:rsidRPr="009A539C">
        <w:rPr>
          <w:rFonts w:ascii="Calibri" w:hAnsi="Calibri" w:cs="Calibri"/>
        </w:rPr>
        <w:t xml:space="preserve">uma distribuição bastante equilibrada.  </w:t>
      </w:r>
      <w:r w:rsidRPr="009A539C">
        <w:rPr>
          <w:rFonts w:ascii="Calibri" w:hAnsi="Calibri" w:cs="Calibri"/>
          <w:vertAlign w:val="superscript"/>
        </w:rPr>
        <w:footnoteReference w:id="544"/>
      </w:r>
      <w:bookmarkEnd w:id="780"/>
      <w:bookmarkEnd w:id="781"/>
      <w:r w:rsidRPr="009A539C">
        <w:rPr>
          <w:rFonts w:ascii="Calibri" w:hAnsi="Calibri" w:cs="Calibri"/>
        </w:rPr>
        <w:t xml:space="preserve"> </w:t>
      </w:r>
    </w:p>
    <w:p w14:paraId="0212DF70" w14:textId="6C2B35CD" w:rsidR="003A2FD6" w:rsidRPr="001A1E81" w:rsidRDefault="00A70D08" w:rsidP="001E792A">
      <w:pPr>
        <w:jc w:val="center"/>
        <w:rPr>
          <w:rFonts w:ascii="Calibri" w:hAnsi="Calibri" w:cs="Calibri"/>
          <w:bCs/>
          <w:color w:val="4F81BD" w:themeColor="accent1"/>
          <w:sz w:val="20"/>
          <w:szCs w:val="20"/>
        </w:rPr>
      </w:pPr>
      <w:bookmarkStart w:id="782" w:name="_Toc15655046"/>
      <w:bookmarkStart w:id="783" w:name="_Toc42511799"/>
      <w:bookmarkStart w:id="784" w:name="_Toc42514563"/>
      <w:r w:rsidRPr="001A1E81">
        <w:rPr>
          <w:rFonts w:ascii="Calibri" w:hAnsi="Calibri" w:cs="Calibri"/>
          <w:bCs/>
          <w:color w:val="4F81BD" w:themeColor="accent1"/>
          <w:sz w:val="20"/>
          <w:szCs w:val="20"/>
        </w:rPr>
        <w:t>Quadro 6</w:t>
      </w:r>
      <w:r w:rsidR="008B6C1B" w:rsidRPr="001A1E81">
        <w:rPr>
          <w:rFonts w:ascii="Calibri" w:hAnsi="Calibri" w:cs="Calibri"/>
          <w:bCs/>
          <w:color w:val="4F81BD" w:themeColor="accent1"/>
          <w:sz w:val="20"/>
          <w:szCs w:val="20"/>
        </w:rPr>
        <w:t>6</w:t>
      </w:r>
      <w:r w:rsidR="00892976" w:rsidRPr="001A1E81">
        <w:rPr>
          <w:rFonts w:ascii="Calibri" w:hAnsi="Calibri" w:cs="Calibri"/>
          <w:bCs/>
          <w:color w:val="4F81BD" w:themeColor="accent1"/>
          <w:sz w:val="20"/>
          <w:szCs w:val="20"/>
        </w:rPr>
        <w:t>-</w:t>
      </w:r>
      <w:r w:rsidR="006F55CA" w:rsidRPr="001A1E81">
        <w:rPr>
          <w:rFonts w:ascii="Calibri" w:hAnsi="Calibri" w:cs="Calibri"/>
          <w:bCs/>
          <w:color w:val="4F81BD" w:themeColor="accent1"/>
          <w:sz w:val="20"/>
          <w:szCs w:val="20"/>
        </w:rPr>
        <w:t>A- Parentalidade</w:t>
      </w:r>
      <w:r w:rsidR="003A2FD6" w:rsidRPr="001A1E81">
        <w:rPr>
          <w:rFonts w:ascii="Calibri" w:hAnsi="Calibri" w:cs="Calibri"/>
          <w:bCs/>
          <w:color w:val="4F81BD" w:themeColor="accent1"/>
          <w:sz w:val="20"/>
          <w:szCs w:val="20"/>
        </w:rPr>
        <w:t>, por subtipo de convecção</w:t>
      </w:r>
      <w:r w:rsidR="001267D1" w:rsidRPr="001A1E81">
        <w:rPr>
          <w:rFonts w:ascii="Calibri" w:hAnsi="Calibri" w:cs="Calibri"/>
          <w:bCs/>
          <w:color w:val="4F81BD" w:themeColor="accent1"/>
          <w:sz w:val="20"/>
          <w:szCs w:val="20"/>
        </w:rPr>
        <w:t xml:space="preserve"> </w:t>
      </w:r>
      <w:r w:rsidR="001A1E81" w:rsidRPr="001A1E81">
        <w:rPr>
          <w:rFonts w:ascii="Calibri" w:hAnsi="Calibri" w:cs="Calibri"/>
          <w:bCs/>
          <w:color w:val="4F81BD" w:themeColor="accent1"/>
          <w:sz w:val="20"/>
          <w:szCs w:val="20"/>
        </w:rPr>
        <w:t>(</w:t>
      </w:r>
      <w:r w:rsidR="001267D1" w:rsidRPr="001A1E81">
        <w:rPr>
          <w:rFonts w:ascii="Calibri" w:hAnsi="Calibri" w:cs="Calibri"/>
          <w:bCs/>
          <w:color w:val="4F81BD" w:themeColor="accent1"/>
          <w:sz w:val="20"/>
          <w:szCs w:val="20"/>
        </w:rPr>
        <w:t>2019</w:t>
      </w:r>
      <w:bookmarkEnd w:id="782"/>
      <w:bookmarkEnd w:id="783"/>
      <w:bookmarkEnd w:id="784"/>
      <w:r w:rsidR="001A1E81" w:rsidRPr="001A1E81">
        <w:rPr>
          <w:rFonts w:ascii="Calibri" w:hAnsi="Calibri" w:cs="Calibri"/>
          <w:bCs/>
          <w:color w:val="4F81BD" w:themeColor="accent1"/>
          <w:sz w:val="20"/>
          <w:szCs w:val="20"/>
        </w:rPr>
        <w:t>)</w:t>
      </w:r>
    </w:p>
    <w:p w14:paraId="291285AF" w14:textId="77777777" w:rsidR="003A2FD6" w:rsidRPr="009A539C" w:rsidRDefault="003A2FD6" w:rsidP="001E792A">
      <w:pPr>
        <w:jc w:val="center"/>
        <w:rPr>
          <w:rFonts w:ascii="Calibri" w:hAnsi="Calibri" w:cs="Calibri"/>
        </w:rPr>
      </w:pPr>
      <w:bookmarkStart w:id="785" w:name="_Toc42511800"/>
      <w:bookmarkStart w:id="786" w:name="_Toc42514564"/>
      <w:r w:rsidRPr="009A539C">
        <w:rPr>
          <w:rFonts w:ascii="Calibri" w:hAnsi="Calibri" w:cs="Calibri"/>
          <w:noProof/>
          <w:lang w:eastAsia="pt-PT"/>
        </w:rPr>
        <w:drawing>
          <wp:inline distT="0" distB="0" distL="0" distR="0" wp14:anchorId="0C4764A9" wp14:editId="29ED570D">
            <wp:extent cx="3986999" cy="158400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986999" cy="1584000"/>
                    </a:xfrm>
                    <a:prstGeom prst="rect">
                      <a:avLst/>
                    </a:prstGeom>
                    <a:noFill/>
                    <a:ln>
                      <a:noFill/>
                    </a:ln>
                  </pic:spPr>
                </pic:pic>
              </a:graphicData>
            </a:graphic>
          </wp:inline>
        </w:drawing>
      </w:r>
      <w:bookmarkEnd w:id="785"/>
      <w:bookmarkEnd w:id="786"/>
    </w:p>
    <w:p w14:paraId="469F54AE" w14:textId="77777777" w:rsidR="0066030F" w:rsidRPr="009A539C" w:rsidRDefault="0066030F" w:rsidP="001E792A">
      <w:pPr>
        <w:rPr>
          <w:rFonts w:ascii="Calibri" w:hAnsi="Calibri" w:cs="Calibri"/>
        </w:rPr>
      </w:pPr>
    </w:p>
    <w:p w14:paraId="69807A57" w14:textId="77777777" w:rsidR="003A2FD6" w:rsidRPr="009A539C" w:rsidRDefault="003A2FD6" w:rsidP="00AF188D">
      <w:pPr>
        <w:pStyle w:val="PargrafodaLista"/>
        <w:numPr>
          <w:ilvl w:val="0"/>
          <w:numId w:val="65"/>
        </w:numPr>
        <w:spacing w:line="360" w:lineRule="auto"/>
        <w:ind w:left="0" w:firstLine="426"/>
        <w:jc w:val="both"/>
        <w:rPr>
          <w:rFonts w:ascii="Calibri" w:hAnsi="Calibri" w:cs="Calibri"/>
        </w:rPr>
      </w:pPr>
      <w:bookmarkStart w:id="787" w:name="_Toc42511801"/>
      <w:bookmarkStart w:id="788" w:name="_Toc42514565"/>
      <w:r w:rsidRPr="009A539C">
        <w:rPr>
          <w:rFonts w:ascii="Calibri" w:hAnsi="Calibri" w:cs="Calibri"/>
        </w:rPr>
        <w:t>Outra das áreas cada vez mais presente respeita à gestão dos  tempos de trabalho enquanto  mecanismo de conciliação da vida familiar</w:t>
      </w:r>
      <w:r w:rsidR="007344AC" w:rsidRPr="009A539C">
        <w:rPr>
          <w:rFonts w:ascii="Calibri" w:hAnsi="Calibri" w:cs="Calibri"/>
        </w:rPr>
        <w:t xml:space="preserve">  e profissional do trabalhador</w:t>
      </w:r>
      <w:r w:rsidRPr="009A539C">
        <w:rPr>
          <w:rFonts w:ascii="Calibri" w:hAnsi="Calibri" w:cs="Calibri"/>
        </w:rPr>
        <w:t>. Sem novidade face a anos anteriores, é prática corrente as convenções reproduzirem as disposições da lei ligadas à possibilidade de adequação dos tempos de trabalho ao exercício da parentalidade e da conciliação da vida familiar. Nos textos convencionais amiúde se distingue a tutela da parentalidade da de outras dimensões da vida pessoal do trabalhador. Esta diferenciação ocorre a propósito, por exemplo, da obrigatoriedade de prestação do trabalho suplementar, no direito a férias e na organização do tempo de trabalho. Assim:</w:t>
      </w:r>
      <w:bookmarkEnd w:id="787"/>
      <w:bookmarkEnd w:id="788"/>
      <w:r w:rsidRPr="009A539C">
        <w:rPr>
          <w:rFonts w:ascii="Calibri" w:hAnsi="Calibri" w:cs="Calibri"/>
        </w:rPr>
        <w:t xml:space="preserve"> </w:t>
      </w:r>
    </w:p>
    <w:p w14:paraId="00E2415D" w14:textId="5AF6839B" w:rsidR="003A2FD6" w:rsidRPr="009A539C" w:rsidRDefault="003A2FD6" w:rsidP="00922B44">
      <w:pPr>
        <w:pStyle w:val="PargrafodaLista"/>
        <w:numPr>
          <w:ilvl w:val="0"/>
          <w:numId w:val="76"/>
        </w:numPr>
        <w:spacing w:line="360" w:lineRule="auto"/>
        <w:jc w:val="both"/>
        <w:rPr>
          <w:rFonts w:ascii="Calibri" w:hAnsi="Calibri" w:cs="Calibri"/>
        </w:rPr>
      </w:pPr>
      <w:bookmarkStart w:id="789" w:name="_Toc42511802"/>
      <w:bookmarkStart w:id="790" w:name="_Toc42514566"/>
      <w:r w:rsidRPr="009A539C">
        <w:rPr>
          <w:rFonts w:ascii="Calibri" w:hAnsi="Calibri" w:cs="Calibri"/>
        </w:rPr>
        <w:t>no trabalho suplementar, distingue-se a possibilidade de dispensa de trabalho suplementar motivada por assistência inadiável ao agregado familiar</w:t>
      </w:r>
      <w:r w:rsidRPr="009A539C">
        <w:rPr>
          <w:vertAlign w:val="superscript"/>
        </w:rPr>
        <w:footnoteReference w:id="545"/>
      </w:r>
      <w:r w:rsidRPr="009A539C">
        <w:rPr>
          <w:rFonts w:ascii="Calibri" w:hAnsi="Calibri" w:cs="Calibri"/>
        </w:rPr>
        <w:t xml:space="preserve"> da isenção de prestação de trabalho suplementar de trabalhadores ao abrigo do regime de parentalidade, nos termos da lei (art. 59.º do CT)</w:t>
      </w:r>
      <w:r w:rsidRPr="009A539C">
        <w:rPr>
          <w:vertAlign w:val="superscript"/>
        </w:rPr>
        <w:footnoteReference w:id="546"/>
      </w:r>
      <w:r w:rsidRPr="009A539C">
        <w:rPr>
          <w:rFonts w:ascii="Calibri" w:hAnsi="Calibri" w:cs="Calibri"/>
        </w:rPr>
        <w:t>;</w:t>
      </w:r>
      <w:bookmarkEnd w:id="789"/>
      <w:bookmarkEnd w:id="790"/>
    </w:p>
    <w:p w14:paraId="02F23387" w14:textId="5C34BCD0" w:rsidR="003A2FD6" w:rsidRPr="009A539C" w:rsidRDefault="003A2FD6" w:rsidP="00922B44">
      <w:pPr>
        <w:pStyle w:val="PargrafodaLista"/>
        <w:numPr>
          <w:ilvl w:val="0"/>
          <w:numId w:val="76"/>
        </w:numPr>
        <w:spacing w:line="360" w:lineRule="auto"/>
        <w:jc w:val="both"/>
        <w:rPr>
          <w:rFonts w:ascii="Calibri" w:hAnsi="Calibri" w:cs="Calibri"/>
        </w:rPr>
      </w:pPr>
      <w:bookmarkStart w:id="791" w:name="_Toc42511803"/>
      <w:bookmarkStart w:id="792" w:name="_Toc42514567"/>
      <w:r w:rsidRPr="009A539C">
        <w:rPr>
          <w:rFonts w:ascii="Calibri" w:hAnsi="Calibri" w:cs="Calibri"/>
        </w:rPr>
        <w:t>no direito a férias, é frequente encontrar dois planos igualmente relevantes na perspetiva da igualdade, mas com fundamentos e propósitos distintos, abrangendo:</w:t>
      </w:r>
      <w:bookmarkEnd w:id="791"/>
      <w:bookmarkEnd w:id="792"/>
      <w:r w:rsidRPr="009A539C">
        <w:rPr>
          <w:rFonts w:ascii="Calibri" w:hAnsi="Calibri" w:cs="Calibri"/>
        </w:rPr>
        <w:t xml:space="preserve"> </w:t>
      </w:r>
    </w:p>
    <w:p w14:paraId="20AF7200" w14:textId="77777777" w:rsidR="003A2FD6" w:rsidRPr="009A539C" w:rsidRDefault="003A2FD6" w:rsidP="00922B44">
      <w:pPr>
        <w:pStyle w:val="PargrafodaLista"/>
        <w:numPr>
          <w:ilvl w:val="0"/>
          <w:numId w:val="77"/>
        </w:numPr>
        <w:spacing w:line="360" w:lineRule="auto"/>
        <w:ind w:left="1134" w:hanging="425"/>
        <w:jc w:val="both"/>
        <w:rPr>
          <w:rFonts w:ascii="Calibri" w:hAnsi="Calibri" w:cs="Calibri"/>
        </w:rPr>
      </w:pPr>
      <w:bookmarkStart w:id="793" w:name="_Toc42511804"/>
      <w:bookmarkStart w:id="794" w:name="_Toc42514568"/>
      <w:r w:rsidRPr="009A539C">
        <w:rPr>
          <w:rFonts w:ascii="Calibri" w:hAnsi="Calibri" w:cs="Calibri"/>
        </w:rPr>
        <w:t xml:space="preserve">o direito à majoração de férias por assiduidade, em cujo âmbito não são consideradas (ou seja, não prejudicam a majoração) as faltas ou licenças por parentalidade </w:t>
      </w:r>
      <w:r w:rsidRPr="009A539C">
        <w:rPr>
          <w:vertAlign w:val="superscript"/>
        </w:rPr>
        <w:footnoteReference w:id="547"/>
      </w:r>
      <w:r w:rsidRPr="009A539C">
        <w:rPr>
          <w:rFonts w:ascii="Calibri" w:hAnsi="Calibri" w:cs="Calibri"/>
        </w:rPr>
        <w:t>;</w:t>
      </w:r>
      <w:bookmarkEnd w:id="793"/>
      <w:bookmarkEnd w:id="794"/>
      <w:r w:rsidRPr="009A539C">
        <w:rPr>
          <w:rFonts w:ascii="Calibri" w:hAnsi="Calibri" w:cs="Calibri"/>
        </w:rPr>
        <w:t xml:space="preserve"> </w:t>
      </w:r>
    </w:p>
    <w:p w14:paraId="05B53292" w14:textId="77777777" w:rsidR="003A2FD6" w:rsidRPr="009A539C" w:rsidRDefault="003A2FD6" w:rsidP="00922B44">
      <w:pPr>
        <w:pStyle w:val="PargrafodaLista"/>
        <w:numPr>
          <w:ilvl w:val="0"/>
          <w:numId w:val="77"/>
        </w:numPr>
        <w:spacing w:line="360" w:lineRule="auto"/>
        <w:ind w:left="1134" w:hanging="425"/>
        <w:jc w:val="both"/>
        <w:rPr>
          <w:rFonts w:ascii="Calibri" w:hAnsi="Calibri" w:cs="Calibri"/>
        </w:rPr>
      </w:pPr>
      <w:bookmarkStart w:id="795" w:name="_Toc42511805"/>
      <w:bookmarkStart w:id="796" w:name="_Toc42514569"/>
      <w:r w:rsidRPr="009A539C">
        <w:rPr>
          <w:rFonts w:ascii="Calibri" w:hAnsi="Calibri" w:cs="Calibri"/>
        </w:rPr>
        <w:t>a consideração, na marcação deste período, da conjugação de férias de trabalhadores do mesmo agregado familiar</w:t>
      </w:r>
      <w:r w:rsidRPr="009A539C">
        <w:rPr>
          <w:vertAlign w:val="superscript"/>
        </w:rPr>
        <w:footnoteReference w:id="548"/>
      </w:r>
      <w:r w:rsidRPr="009A539C">
        <w:rPr>
          <w:rFonts w:ascii="Calibri" w:hAnsi="Calibri" w:cs="Calibri"/>
        </w:rPr>
        <w:t>;</w:t>
      </w:r>
      <w:bookmarkEnd w:id="795"/>
      <w:bookmarkEnd w:id="796"/>
    </w:p>
    <w:p w14:paraId="1361B796" w14:textId="59C682C4" w:rsidR="003A2FD6" w:rsidRPr="009A539C" w:rsidRDefault="003A2FD6" w:rsidP="00922B44">
      <w:pPr>
        <w:pStyle w:val="PargrafodaLista"/>
        <w:numPr>
          <w:ilvl w:val="0"/>
          <w:numId w:val="76"/>
        </w:numPr>
        <w:spacing w:line="360" w:lineRule="auto"/>
        <w:jc w:val="both"/>
        <w:rPr>
          <w:rFonts w:ascii="Calibri" w:hAnsi="Calibri" w:cs="Calibri"/>
        </w:rPr>
      </w:pPr>
      <w:bookmarkStart w:id="797" w:name="_Toc42511806"/>
      <w:bookmarkStart w:id="798" w:name="_Toc42514570"/>
      <w:r w:rsidRPr="009A539C">
        <w:rPr>
          <w:rFonts w:ascii="Calibri" w:hAnsi="Calibri" w:cs="Calibri"/>
        </w:rPr>
        <w:t xml:space="preserve">na definição e organização do horário de trabalho, </w:t>
      </w:r>
      <w:r w:rsidR="00195F12" w:rsidRPr="009A539C">
        <w:rPr>
          <w:rFonts w:ascii="Calibri" w:hAnsi="Calibri" w:cs="Calibri"/>
        </w:rPr>
        <w:t>refere-se, por vezes,</w:t>
      </w:r>
      <w:r w:rsidRPr="009A539C">
        <w:rPr>
          <w:rFonts w:ascii="Calibri" w:hAnsi="Calibri" w:cs="Calibri"/>
        </w:rPr>
        <w:t xml:space="preserve"> que</w:t>
      </w:r>
      <w:r w:rsidR="00195F12" w:rsidRPr="009A539C">
        <w:rPr>
          <w:rFonts w:ascii="Calibri" w:hAnsi="Calibri" w:cs="Calibri"/>
        </w:rPr>
        <w:t>,</w:t>
      </w:r>
      <w:r w:rsidRPr="009A539C">
        <w:rPr>
          <w:rFonts w:ascii="Calibri" w:hAnsi="Calibri" w:cs="Calibri"/>
        </w:rPr>
        <w:t xml:space="preserve"> havendo trabalhadores do mesmo agregado familiar,</w:t>
      </w:r>
      <w:r w:rsidR="00195F12" w:rsidRPr="009A539C">
        <w:rPr>
          <w:rFonts w:ascii="Calibri" w:hAnsi="Calibri" w:cs="Calibri"/>
        </w:rPr>
        <w:t xml:space="preserve"> se</w:t>
      </w:r>
      <w:r w:rsidRPr="009A539C">
        <w:rPr>
          <w:rFonts w:ascii="Calibri" w:hAnsi="Calibri" w:cs="Calibri"/>
        </w:rPr>
        <w:t xml:space="preserve"> deve assegurar a prática de horários compatíveis com a vida familiar</w:t>
      </w:r>
      <w:r w:rsidRPr="009A539C">
        <w:rPr>
          <w:vertAlign w:val="superscript"/>
        </w:rPr>
        <w:footnoteReference w:id="549"/>
      </w:r>
      <w:r w:rsidRPr="009A539C">
        <w:rPr>
          <w:rFonts w:ascii="Calibri" w:hAnsi="Calibri" w:cs="Calibri"/>
        </w:rPr>
        <w:t>; (situação diferente é a redução do horário de trabalho para cuidar de filho menor portador d</w:t>
      </w:r>
      <w:r w:rsidR="0068379F" w:rsidRPr="009A539C">
        <w:rPr>
          <w:rFonts w:ascii="Calibri" w:hAnsi="Calibri" w:cs="Calibri"/>
        </w:rPr>
        <w:t xml:space="preserve">e deficiência, prevista na lei </w:t>
      </w:r>
      <w:r w:rsidRPr="009A539C">
        <w:rPr>
          <w:rFonts w:ascii="Calibri" w:hAnsi="Calibri" w:cs="Calibri"/>
        </w:rPr>
        <w:t>– art.54º do CT – e consagrada nalgumas convenções</w:t>
      </w:r>
      <w:r w:rsidRPr="009A539C">
        <w:rPr>
          <w:vertAlign w:val="superscript"/>
        </w:rPr>
        <w:footnoteReference w:id="550"/>
      </w:r>
      <w:r w:rsidRPr="009A539C">
        <w:rPr>
          <w:rFonts w:ascii="Calibri" w:hAnsi="Calibri" w:cs="Calibri"/>
        </w:rPr>
        <w:t>);</w:t>
      </w:r>
      <w:bookmarkEnd w:id="797"/>
      <w:bookmarkEnd w:id="798"/>
    </w:p>
    <w:p w14:paraId="26CCBB97" w14:textId="23E91DAF" w:rsidR="003A2FD6" w:rsidRPr="009A539C" w:rsidRDefault="00195F12" w:rsidP="00922B44">
      <w:pPr>
        <w:pStyle w:val="PargrafodaLista"/>
        <w:numPr>
          <w:ilvl w:val="0"/>
          <w:numId w:val="76"/>
        </w:numPr>
        <w:spacing w:line="360" w:lineRule="auto"/>
        <w:jc w:val="both"/>
        <w:rPr>
          <w:rFonts w:ascii="Calibri" w:hAnsi="Calibri" w:cs="Calibri"/>
        </w:rPr>
      </w:pPr>
      <w:bookmarkStart w:id="799" w:name="_Toc42511807"/>
      <w:bookmarkStart w:id="800" w:name="_Toc42514571"/>
      <w:r w:rsidRPr="009A539C">
        <w:rPr>
          <w:rFonts w:ascii="Calibri" w:hAnsi="Calibri" w:cs="Calibri"/>
        </w:rPr>
        <w:t xml:space="preserve">na previsão da </w:t>
      </w:r>
      <w:r w:rsidR="003A2FD6" w:rsidRPr="009A539C">
        <w:rPr>
          <w:rFonts w:ascii="Calibri" w:hAnsi="Calibri" w:cs="Calibri"/>
        </w:rPr>
        <w:t xml:space="preserve">organização do tempo de trabalho em adaptabilidade, </w:t>
      </w:r>
      <w:r w:rsidRPr="009A539C">
        <w:rPr>
          <w:rFonts w:ascii="Calibri" w:hAnsi="Calibri" w:cs="Calibri"/>
        </w:rPr>
        <w:t>alude-se,</w:t>
      </w:r>
      <w:r w:rsidR="003A2FD6" w:rsidRPr="009A539C">
        <w:rPr>
          <w:rFonts w:ascii="Calibri" w:hAnsi="Calibri" w:cs="Calibri"/>
        </w:rPr>
        <w:t xml:space="preserve"> nalguns casos</w:t>
      </w:r>
      <w:r w:rsidRPr="009A539C">
        <w:rPr>
          <w:rFonts w:ascii="Calibri" w:hAnsi="Calibri" w:cs="Calibri"/>
        </w:rPr>
        <w:t>,</w:t>
      </w:r>
      <w:r w:rsidR="003A2FD6" w:rsidRPr="009A539C">
        <w:rPr>
          <w:rFonts w:ascii="Calibri" w:hAnsi="Calibri" w:cs="Calibri"/>
        </w:rPr>
        <w:t xml:space="preserve"> </w:t>
      </w:r>
      <w:r w:rsidRPr="009A539C">
        <w:rPr>
          <w:rFonts w:ascii="Calibri" w:hAnsi="Calibri" w:cs="Calibri"/>
        </w:rPr>
        <w:t>à</w:t>
      </w:r>
      <w:r w:rsidR="003A2FD6" w:rsidRPr="009A539C">
        <w:rPr>
          <w:rFonts w:ascii="Calibri" w:hAnsi="Calibri" w:cs="Calibri"/>
        </w:rPr>
        <w:t xml:space="preserve"> necessidade de ponderação de organização dos horários de trabalho de trabalhadores do mesmo agregado familiar</w:t>
      </w:r>
      <w:r w:rsidR="003A2FD6" w:rsidRPr="009A539C">
        <w:rPr>
          <w:vertAlign w:val="superscript"/>
        </w:rPr>
        <w:footnoteReference w:id="551"/>
      </w:r>
      <w:r w:rsidR="003A2FD6" w:rsidRPr="009A539C">
        <w:rPr>
          <w:rFonts w:ascii="Calibri" w:hAnsi="Calibri" w:cs="Calibri"/>
        </w:rPr>
        <w:t>, que se distingue da dispensa de sujeição a este regime para mulheres grávidas ou com filhos menores (seguindo o art. 58º, 1, do CT)</w:t>
      </w:r>
      <w:r w:rsidR="003A2FD6" w:rsidRPr="009A539C">
        <w:rPr>
          <w:vertAlign w:val="superscript"/>
        </w:rPr>
        <w:footnoteReference w:id="552"/>
      </w:r>
      <w:r w:rsidR="003A2FD6" w:rsidRPr="009A539C">
        <w:rPr>
          <w:rFonts w:ascii="Calibri" w:hAnsi="Calibri" w:cs="Calibri"/>
        </w:rPr>
        <w:t>.</w:t>
      </w:r>
      <w:bookmarkEnd w:id="799"/>
      <w:bookmarkEnd w:id="800"/>
    </w:p>
    <w:p w14:paraId="174553A2" w14:textId="39A8232E" w:rsidR="003A2FD6" w:rsidRPr="009A539C" w:rsidRDefault="003A2FD6" w:rsidP="00922B44">
      <w:pPr>
        <w:pStyle w:val="PargrafodaLista"/>
        <w:numPr>
          <w:ilvl w:val="0"/>
          <w:numId w:val="76"/>
        </w:numPr>
        <w:spacing w:line="360" w:lineRule="auto"/>
        <w:jc w:val="both"/>
        <w:rPr>
          <w:rFonts w:ascii="Calibri" w:hAnsi="Calibri" w:cs="Calibri"/>
        </w:rPr>
      </w:pPr>
      <w:bookmarkStart w:id="801" w:name="_Toc42511808"/>
      <w:bookmarkStart w:id="802" w:name="_Toc42514572"/>
      <w:r w:rsidRPr="009A539C">
        <w:rPr>
          <w:rFonts w:ascii="Calibri" w:hAnsi="Calibri" w:cs="Calibri"/>
        </w:rPr>
        <w:t>Em 2019, há, ainda, convenções que optam por reproduzir</w:t>
      </w:r>
      <w:r w:rsidR="009E579D" w:rsidRPr="009A539C">
        <w:rPr>
          <w:rFonts w:ascii="Calibri" w:hAnsi="Calibri" w:cs="Calibri"/>
        </w:rPr>
        <w:t>, em disposição específica</w:t>
      </w:r>
      <w:r w:rsidR="009E579D" w:rsidRPr="009A539C">
        <w:rPr>
          <w:vertAlign w:val="superscript"/>
        </w:rPr>
        <w:footnoteReference w:id="553"/>
      </w:r>
      <w:r w:rsidR="009E579D" w:rsidRPr="009A539C">
        <w:rPr>
          <w:rFonts w:ascii="Calibri" w:hAnsi="Calibri" w:cs="Calibri"/>
        </w:rPr>
        <w:t>,</w:t>
      </w:r>
      <w:r w:rsidRPr="009A539C">
        <w:rPr>
          <w:rFonts w:ascii="Calibri" w:hAnsi="Calibri" w:cs="Calibri"/>
        </w:rPr>
        <w:t xml:space="preserve"> a dispensa legal </w:t>
      </w:r>
      <w:r w:rsidRPr="009A539C">
        <w:rPr>
          <w:rFonts w:ascii="Calibri" w:hAnsi="Calibri" w:cs="Calibri"/>
          <w:bCs/>
        </w:rPr>
        <w:t xml:space="preserve">de </w:t>
      </w:r>
      <w:r w:rsidRPr="009A539C">
        <w:rPr>
          <w:rFonts w:ascii="Calibri" w:hAnsi="Calibri" w:cs="Calibri"/>
        </w:rPr>
        <w:t>horário de trabalho</w:t>
      </w:r>
      <w:r w:rsidRPr="009A539C">
        <w:rPr>
          <w:rFonts w:ascii="Calibri" w:hAnsi="Calibri" w:cs="Calibri"/>
          <w:bCs/>
        </w:rPr>
        <w:t xml:space="preserve"> </w:t>
      </w:r>
      <w:r w:rsidRPr="009A539C">
        <w:rPr>
          <w:rFonts w:ascii="Calibri" w:hAnsi="Calibri" w:cs="Calibri"/>
        </w:rPr>
        <w:t xml:space="preserve">organizado de acordo com regime de adaptabilidade, </w:t>
      </w:r>
      <w:r w:rsidR="009E579D" w:rsidRPr="009A539C">
        <w:rPr>
          <w:rFonts w:ascii="Calibri" w:hAnsi="Calibri" w:cs="Calibri"/>
        </w:rPr>
        <w:t xml:space="preserve">banco de horas ou </w:t>
      </w:r>
      <w:r w:rsidRPr="009A539C">
        <w:rPr>
          <w:rFonts w:ascii="Calibri" w:hAnsi="Calibri" w:cs="Calibri"/>
        </w:rPr>
        <w:t>horário concentrado</w:t>
      </w:r>
      <w:r w:rsidRPr="009A539C">
        <w:rPr>
          <w:rFonts w:ascii="Calibri" w:hAnsi="Calibri" w:cs="Calibri"/>
          <w:bCs/>
        </w:rPr>
        <w:t xml:space="preserve"> de trabalhadora </w:t>
      </w:r>
      <w:r w:rsidRPr="009A539C">
        <w:rPr>
          <w:rFonts w:ascii="Calibri" w:hAnsi="Calibri" w:cs="Calibri"/>
        </w:rPr>
        <w:t>grávida, puérpera ou lactante, ou tam</w:t>
      </w:r>
      <w:r w:rsidR="009E579D" w:rsidRPr="009A539C">
        <w:rPr>
          <w:rFonts w:ascii="Calibri" w:hAnsi="Calibri" w:cs="Calibri"/>
        </w:rPr>
        <w:t>bém do pai, em caso de aleitação</w:t>
      </w:r>
      <w:r w:rsidRPr="009A539C">
        <w:rPr>
          <w:rFonts w:ascii="Calibri" w:hAnsi="Calibri" w:cs="Calibri"/>
        </w:rPr>
        <w:t>.</w:t>
      </w:r>
      <w:bookmarkEnd w:id="801"/>
      <w:bookmarkEnd w:id="802"/>
    </w:p>
    <w:p w14:paraId="2B13F590" w14:textId="77777777" w:rsidR="00B424E5" w:rsidRPr="009A539C" w:rsidRDefault="00B424E5" w:rsidP="00B424E5">
      <w:pPr>
        <w:rPr>
          <w:rFonts w:ascii="Calibri" w:hAnsi="Calibri" w:cs="Calibri"/>
        </w:rPr>
      </w:pPr>
    </w:p>
    <w:p w14:paraId="59A6196C" w14:textId="0B3A8D3E" w:rsidR="003A2FD6" w:rsidRPr="009A539C" w:rsidRDefault="003A2FD6" w:rsidP="00EF2B7F">
      <w:pPr>
        <w:pStyle w:val="PargrafodaLista"/>
        <w:numPr>
          <w:ilvl w:val="0"/>
          <w:numId w:val="65"/>
        </w:numPr>
        <w:spacing w:line="360" w:lineRule="auto"/>
        <w:ind w:left="0" w:firstLine="426"/>
        <w:jc w:val="both"/>
        <w:rPr>
          <w:rFonts w:ascii="Calibri" w:hAnsi="Calibri" w:cs="Calibri"/>
        </w:rPr>
      </w:pPr>
      <w:bookmarkStart w:id="803" w:name="_Toc42511809"/>
      <w:bookmarkStart w:id="804" w:name="_Toc42514573"/>
      <w:r w:rsidRPr="009A539C">
        <w:rPr>
          <w:rFonts w:ascii="Calibri" w:hAnsi="Calibri" w:cs="Calibri"/>
        </w:rPr>
        <w:t>A lei prevê outras dimensões da tutela da parentalidade. É o caso do direito à frequência de ações de formação e atualização profissional após um período de licença para assistência a filho ou pessoa com deficiência ou doença crónica (art. 61ª CT)</w:t>
      </w:r>
      <w:r w:rsidRPr="009A539C">
        <w:rPr>
          <w:rFonts w:ascii="Calibri" w:hAnsi="Calibri" w:cs="Calibri"/>
          <w:vertAlign w:val="superscript"/>
        </w:rPr>
        <w:footnoteReference w:id="554"/>
      </w:r>
      <w:r w:rsidRPr="009A539C">
        <w:rPr>
          <w:rFonts w:ascii="Calibri" w:hAnsi="Calibri" w:cs="Calibri"/>
        </w:rPr>
        <w:t>; das medidas de proteção da segurança e saúde no trabalho, no sentido prevenir riscos associados à prestação do trabalho de trabalhadoras grávidas, puérperas ou lactantes (art. 62.º CT)</w:t>
      </w:r>
      <w:r w:rsidRPr="009A539C">
        <w:rPr>
          <w:rFonts w:ascii="Calibri" w:hAnsi="Calibri" w:cs="Calibri"/>
          <w:vertAlign w:val="superscript"/>
        </w:rPr>
        <w:footnoteReference w:id="555"/>
      </w:r>
      <w:r w:rsidRPr="009A539C">
        <w:rPr>
          <w:rFonts w:ascii="Calibri" w:hAnsi="Calibri" w:cs="Calibri"/>
          <w:vertAlign w:val="superscript"/>
        </w:rPr>
        <w:t xml:space="preserve"> </w:t>
      </w:r>
      <w:r w:rsidRPr="009A539C">
        <w:rPr>
          <w:rFonts w:ascii="Calibri" w:hAnsi="Calibri" w:cs="Calibri"/>
        </w:rPr>
        <w:t>– que podem originar a própria dispensa da trabalhadora grávida</w:t>
      </w:r>
      <w:r w:rsidRPr="009A539C">
        <w:rPr>
          <w:rFonts w:ascii="Calibri" w:hAnsi="Calibri" w:cs="Calibri"/>
          <w:vertAlign w:val="superscript"/>
        </w:rPr>
        <w:footnoteReference w:id="556"/>
      </w:r>
      <w:r w:rsidRPr="009A539C">
        <w:rPr>
          <w:rFonts w:ascii="Calibri" w:hAnsi="Calibri" w:cs="Calibri"/>
        </w:rPr>
        <w:t xml:space="preserve"> –; assim como da dispensa da prestação de trabalho noturno</w:t>
      </w:r>
      <w:r w:rsidRPr="009A539C">
        <w:rPr>
          <w:rFonts w:ascii="Calibri" w:hAnsi="Calibri" w:cs="Calibri"/>
          <w:vertAlign w:val="superscript"/>
        </w:rPr>
        <w:footnoteReference w:id="557"/>
      </w:r>
      <w:r w:rsidRPr="009A539C">
        <w:rPr>
          <w:rFonts w:ascii="Calibri" w:hAnsi="Calibri" w:cs="Calibri"/>
        </w:rPr>
        <w:t>. A proteção da parental</w:t>
      </w:r>
      <w:r w:rsidR="0068400C" w:rsidRPr="009A539C">
        <w:rPr>
          <w:rFonts w:ascii="Calibri" w:hAnsi="Calibri" w:cs="Calibri"/>
        </w:rPr>
        <w:t xml:space="preserve"> idade também pode passar pela </w:t>
      </w:r>
      <w:r w:rsidRPr="009A539C">
        <w:rPr>
          <w:rFonts w:ascii="Calibri" w:hAnsi="Calibri" w:cs="Calibri"/>
        </w:rPr>
        <w:t>reafectação da trabalhadora</w:t>
      </w:r>
      <w:r w:rsidR="00EF2B7F" w:rsidRPr="009A539C">
        <w:rPr>
          <w:rFonts w:ascii="Calibri" w:hAnsi="Calibri" w:cs="Calibri"/>
        </w:rPr>
        <w:t xml:space="preserve"> </w:t>
      </w:r>
      <w:r w:rsidRPr="009A539C">
        <w:rPr>
          <w:rFonts w:ascii="Calibri" w:hAnsi="Calibri" w:cs="Calibri"/>
        </w:rPr>
        <w:t>a outra atividade</w:t>
      </w:r>
      <w:r w:rsidRPr="009A539C">
        <w:rPr>
          <w:rFonts w:ascii="Calibri" w:hAnsi="Calibri" w:cs="Calibri"/>
          <w:vertAlign w:val="superscript"/>
        </w:rPr>
        <w:footnoteReference w:id="558"/>
      </w:r>
      <w:r w:rsidRPr="009A539C">
        <w:rPr>
          <w:rFonts w:ascii="Calibri" w:hAnsi="Calibri" w:cs="Calibri"/>
          <w:vertAlign w:val="superscript"/>
        </w:rPr>
        <w:t xml:space="preserve"> </w:t>
      </w:r>
      <w:r w:rsidRPr="009A539C">
        <w:rPr>
          <w:rFonts w:ascii="Calibri" w:hAnsi="Calibri" w:cs="Calibri"/>
        </w:rPr>
        <w:t>.</w:t>
      </w:r>
      <w:bookmarkEnd w:id="803"/>
      <w:bookmarkEnd w:id="804"/>
      <w:r w:rsidRPr="009A539C">
        <w:rPr>
          <w:rFonts w:ascii="Calibri" w:hAnsi="Calibri" w:cs="Calibri"/>
        </w:rPr>
        <w:t xml:space="preserve">    </w:t>
      </w:r>
    </w:p>
    <w:p w14:paraId="542A22D5" w14:textId="0A4360AF" w:rsidR="003A2FD6" w:rsidRPr="009A539C" w:rsidRDefault="00195F12" w:rsidP="00EF2B7F">
      <w:pPr>
        <w:spacing w:line="360" w:lineRule="auto"/>
        <w:ind w:firstLine="426"/>
        <w:rPr>
          <w:rFonts w:ascii="Calibri" w:hAnsi="Calibri" w:cs="Calibri"/>
        </w:rPr>
      </w:pPr>
      <w:bookmarkStart w:id="805" w:name="_Toc42511810"/>
      <w:bookmarkStart w:id="806" w:name="_Toc42514574"/>
      <w:r w:rsidRPr="009A539C">
        <w:rPr>
          <w:rFonts w:ascii="Calibri" w:hAnsi="Calibri" w:cs="Calibri"/>
        </w:rPr>
        <w:t>Ainda a propósito</w:t>
      </w:r>
      <w:r w:rsidR="003A2FD6" w:rsidRPr="009A539C">
        <w:rPr>
          <w:rFonts w:ascii="Calibri" w:hAnsi="Calibri" w:cs="Calibri"/>
        </w:rPr>
        <w:t xml:space="preserve"> do tempo de trabalho, observam-se</w:t>
      </w:r>
      <w:r w:rsidRPr="009A539C">
        <w:rPr>
          <w:rFonts w:ascii="Calibri" w:hAnsi="Calibri" w:cs="Calibri"/>
        </w:rPr>
        <w:t xml:space="preserve">, por vezes, algumas previsões </w:t>
      </w:r>
      <w:r w:rsidR="003A2FD6" w:rsidRPr="009A539C">
        <w:rPr>
          <w:rFonts w:ascii="Calibri" w:hAnsi="Calibri" w:cs="Calibri"/>
        </w:rPr>
        <w:t xml:space="preserve">relativas à tutela da parentalidade, </w:t>
      </w:r>
      <w:r w:rsidR="003A2FD6" w:rsidRPr="009A539C">
        <w:rPr>
          <w:rFonts w:ascii="Calibri" w:hAnsi="Calibri" w:cs="Calibri"/>
          <w:i/>
        </w:rPr>
        <w:t>maxime</w:t>
      </w:r>
      <w:r w:rsidR="003A2FD6" w:rsidRPr="009A539C">
        <w:rPr>
          <w:rFonts w:ascii="Calibri" w:hAnsi="Calibri" w:cs="Calibri"/>
        </w:rPr>
        <w:t xml:space="preserve"> nos aspetos seguintes:</w:t>
      </w:r>
      <w:bookmarkEnd w:id="805"/>
      <w:bookmarkEnd w:id="806"/>
    </w:p>
    <w:p w14:paraId="6F871866" w14:textId="60492A09" w:rsidR="003A2FD6" w:rsidRPr="009A539C" w:rsidRDefault="003A2FD6" w:rsidP="00922B44">
      <w:pPr>
        <w:pStyle w:val="PargrafodaLista"/>
        <w:numPr>
          <w:ilvl w:val="0"/>
          <w:numId w:val="80"/>
        </w:numPr>
        <w:spacing w:line="360" w:lineRule="auto"/>
        <w:rPr>
          <w:rFonts w:ascii="Calibri" w:hAnsi="Calibri" w:cs="Calibri"/>
        </w:rPr>
      </w:pPr>
      <w:bookmarkStart w:id="807" w:name="_Toc42511811"/>
      <w:bookmarkStart w:id="808" w:name="_Toc42514575"/>
      <w:r w:rsidRPr="009A539C">
        <w:rPr>
          <w:rFonts w:ascii="Calibri" w:hAnsi="Calibri" w:cs="Calibri"/>
        </w:rPr>
        <w:t>relativamente ao banco de horas, existem várias convenções em que um dos fundamentos para praticar o BH é a conciliação da vida familiar com profissional (nestas situações, a aplicação do regime de BH é da iniciativa do trabalhador</w:t>
      </w:r>
      <w:r w:rsidRPr="009A539C">
        <w:rPr>
          <w:vertAlign w:val="superscript"/>
        </w:rPr>
        <w:footnoteReference w:id="559"/>
      </w:r>
      <w:r w:rsidRPr="009A539C">
        <w:rPr>
          <w:rFonts w:ascii="Calibri" w:hAnsi="Calibri" w:cs="Calibri"/>
        </w:rPr>
        <w:t>);</w:t>
      </w:r>
      <w:bookmarkEnd w:id="807"/>
      <w:bookmarkEnd w:id="808"/>
      <w:r w:rsidRPr="009A539C">
        <w:rPr>
          <w:rFonts w:ascii="Calibri" w:hAnsi="Calibri" w:cs="Calibri"/>
        </w:rPr>
        <w:t xml:space="preserve"> </w:t>
      </w:r>
    </w:p>
    <w:p w14:paraId="2CBFE4C9" w14:textId="05011B87" w:rsidR="003A2FD6" w:rsidRPr="009A539C" w:rsidRDefault="003A2FD6" w:rsidP="00922B44">
      <w:pPr>
        <w:pStyle w:val="PargrafodaLista"/>
        <w:numPr>
          <w:ilvl w:val="0"/>
          <w:numId w:val="80"/>
        </w:numPr>
        <w:spacing w:line="360" w:lineRule="auto"/>
        <w:rPr>
          <w:rFonts w:ascii="Calibri" w:hAnsi="Calibri" w:cs="Calibri"/>
          <w:b/>
        </w:rPr>
      </w:pPr>
      <w:bookmarkStart w:id="809" w:name="_Toc42511812"/>
      <w:bookmarkStart w:id="810" w:name="_Toc42514576"/>
      <w:r w:rsidRPr="009A539C">
        <w:rPr>
          <w:rFonts w:ascii="Calibri" w:hAnsi="Calibri" w:cs="Calibri"/>
        </w:rPr>
        <w:t>na organização do tempo de trabalho há convenções que preveem o direito de o trabalhador requerer o regime de horário flexível no âmbito do exercício da parentalidade (seguindo o art. 56.º do CT)</w:t>
      </w:r>
      <w:r w:rsidRPr="009A539C">
        <w:rPr>
          <w:vertAlign w:val="superscript"/>
        </w:rPr>
        <w:footnoteReference w:id="560"/>
      </w:r>
      <w:r w:rsidRPr="009A539C">
        <w:rPr>
          <w:rFonts w:ascii="Calibri" w:hAnsi="Calibri" w:cs="Calibri"/>
        </w:rPr>
        <w:t>; noutras, contempla-se a aplicação da modalidade de contrato de trabalho a tempo parcial</w:t>
      </w:r>
      <w:r w:rsidRPr="009A539C">
        <w:rPr>
          <w:vertAlign w:val="superscript"/>
        </w:rPr>
        <w:footnoteReference w:id="561"/>
      </w:r>
      <w:r w:rsidRPr="009A539C">
        <w:rPr>
          <w:rFonts w:ascii="Calibri" w:hAnsi="Calibri" w:cs="Calibri"/>
        </w:rPr>
        <w:t xml:space="preserve"> com fundamento na necessidade de cuidar de filho menor de 12 anos ou, independentemente da idade, de filho com deficiência</w:t>
      </w:r>
      <w:r w:rsidRPr="009A539C">
        <w:rPr>
          <w:vertAlign w:val="superscript"/>
        </w:rPr>
        <w:footnoteReference w:id="562"/>
      </w:r>
      <w:r w:rsidRPr="009A539C">
        <w:rPr>
          <w:rFonts w:ascii="Calibri" w:hAnsi="Calibri" w:cs="Calibri"/>
        </w:rPr>
        <w:t>;</w:t>
      </w:r>
      <w:bookmarkEnd w:id="809"/>
      <w:bookmarkEnd w:id="810"/>
    </w:p>
    <w:p w14:paraId="58B8C3DE" w14:textId="77777777" w:rsidR="003A2FD6" w:rsidRPr="009A539C" w:rsidRDefault="003A2FD6" w:rsidP="00EF2B7F">
      <w:pPr>
        <w:spacing w:line="360" w:lineRule="auto"/>
        <w:rPr>
          <w:rFonts w:ascii="Calibri" w:hAnsi="Calibri" w:cs="Calibri"/>
          <w:b/>
        </w:rPr>
      </w:pPr>
    </w:p>
    <w:p w14:paraId="433EF51D" w14:textId="77777777" w:rsidR="003A2FD6" w:rsidRPr="009A539C" w:rsidRDefault="003A2FD6" w:rsidP="00EF2B7F">
      <w:pPr>
        <w:spacing w:line="360" w:lineRule="auto"/>
        <w:ind w:firstLine="284"/>
        <w:rPr>
          <w:rFonts w:ascii="Calibri" w:hAnsi="Calibri" w:cs="Calibri"/>
        </w:rPr>
      </w:pPr>
      <w:bookmarkStart w:id="811" w:name="_Toc42511813"/>
      <w:bookmarkStart w:id="812" w:name="_Toc42514577"/>
      <w:r w:rsidRPr="009A539C">
        <w:rPr>
          <w:rFonts w:ascii="Calibri" w:hAnsi="Calibri" w:cs="Calibri"/>
        </w:rPr>
        <w:t>O quadro abaixo ilustra, em termos quantitativos, diferentes projeções da salvaguarda da conciliação da vida familiar e profissional,</w:t>
      </w:r>
      <w:r w:rsidR="008F5F89" w:rsidRPr="009A539C">
        <w:rPr>
          <w:rFonts w:ascii="Calibri" w:hAnsi="Calibri" w:cs="Calibri"/>
        </w:rPr>
        <w:t xml:space="preserve"> na gestão dos tempos de trabalho, </w:t>
      </w:r>
      <w:r w:rsidRPr="009A539C">
        <w:rPr>
          <w:rFonts w:ascii="Calibri" w:hAnsi="Calibri" w:cs="Calibri"/>
        </w:rPr>
        <w:t>nas convenções coletivas de 2019.</w:t>
      </w:r>
      <w:bookmarkEnd w:id="811"/>
      <w:bookmarkEnd w:id="812"/>
      <w:r w:rsidRPr="009A539C">
        <w:rPr>
          <w:rFonts w:ascii="Calibri" w:hAnsi="Calibri" w:cs="Calibri"/>
        </w:rPr>
        <w:t xml:space="preserve"> </w:t>
      </w:r>
    </w:p>
    <w:p w14:paraId="614E2EBA" w14:textId="77777777" w:rsidR="003A2FD6" w:rsidRPr="009A539C" w:rsidRDefault="003A2FD6" w:rsidP="00B424E5">
      <w:pPr>
        <w:rPr>
          <w:rFonts w:ascii="Calibri" w:hAnsi="Calibri" w:cs="Calibri"/>
          <w:sz w:val="16"/>
        </w:rPr>
      </w:pPr>
    </w:p>
    <w:p w14:paraId="0F638391" w14:textId="7BD2CDFF" w:rsidR="003A2FD6" w:rsidRPr="009A539C" w:rsidRDefault="00785B2A" w:rsidP="00343774">
      <w:pPr>
        <w:pStyle w:val="Legenda"/>
        <w:jc w:val="center"/>
        <w:rPr>
          <w:rFonts w:ascii="Calibri" w:hAnsi="Calibri" w:cs="Calibri"/>
          <w:b w:val="0"/>
          <w:bCs w:val="0"/>
          <w:color w:val="0070C0"/>
        </w:rPr>
      </w:pPr>
      <w:bookmarkStart w:id="813" w:name="_Toc15655004"/>
      <w:bookmarkStart w:id="814" w:name="_Toc42511814"/>
      <w:bookmarkStart w:id="815" w:name="_Toc42514578"/>
      <w:bookmarkStart w:id="816" w:name="_Toc45716688"/>
      <w:r w:rsidRPr="009A539C">
        <w:t xml:space="preserve">Quadro </w:t>
      </w:r>
      <w:fldSimple w:instr=" SEQ Quadro \* ARABIC ">
        <w:r w:rsidR="00D821DE">
          <w:rPr>
            <w:noProof/>
          </w:rPr>
          <w:t>67</w:t>
        </w:r>
      </w:fldSimple>
      <w:r w:rsidR="003A2FD6" w:rsidRPr="009A539C">
        <w:rPr>
          <w:rFonts w:ascii="Calibri" w:hAnsi="Calibri" w:cs="Calibri"/>
          <w:b w:val="0"/>
          <w:bCs w:val="0"/>
          <w:color w:val="0070C0"/>
        </w:rPr>
        <w:t xml:space="preserve"> - Conciliação da vida familiar e profissional – 201</w:t>
      </w:r>
      <w:bookmarkEnd w:id="813"/>
      <w:r w:rsidR="003A2FD6" w:rsidRPr="009A539C">
        <w:rPr>
          <w:rFonts w:ascii="Calibri" w:hAnsi="Calibri" w:cs="Calibri"/>
          <w:b w:val="0"/>
          <w:bCs w:val="0"/>
          <w:color w:val="0070C0"/>
        </w:rPr>
        <w:t>9</w:t>
      </w:r>
      <w:bookmarkEnd w:id="814"/>
      <w:bookmarkEnd w:id="815"/>
      <w:bookmarkEnd w:id="816"/>
    </w:p>
    <w:p w14:paraId="77BB1E06" w14:textId="77777777" w:rsidR="003A2FD6" w:rsidRPr="009A539C" w:rsidRDefault="003A2FD6" w:rsidP="00B424E5">
      <w:pPr>
        <w:jc w:val="center"/>
        <w:rPr>
          <w:rFonts w:ascii="Calibri" w:hAnsi="Calibri" w:cs="Calibri"/>
        </w:rPr>
      </w:pPr>
      <w:bookmarkStart w:id="817" w:name="_Toc42511815"/>
      <w:bookmarkStart w:id="818" w:name="_Toc42514579"/>
      <w:r w:rsidRPr="009A539C">
        <w:rPr>
          <w:rFonts w:ascii="Calibri" w:hAnsi="Calibri" w:cs="Calibri"/>
          <w:noProof/>
          <w:lang w:eastAsia="pt-PT"/>
        </w:rPr>
        <w:drawing>
          <wp:inline distT="0" distB="0" distL="0" distR="0" wp14:anchorId="11315548" wp14:editId="2CA1708B">
            <wp:extent cx="5048250" cy="115410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059003" cy="1156558"/>
                    </a:xfrm>
                    <a:prstGeom prst="rect">
                      <a:avLst/>
                    </a:prstGeom>
                    <a:noFill/>
                    <a:ln>
                      <a:noFill/>
                    </a:ln>
                  </pic:spPr>
                </pic:pic>
              </a:graphicData>
            </a:graphic>
          </wp:inline>
        </w:drawing>
      </w:r>
      <w:bookmarkEnd w:id="817"/>
      <w:bookmarkEnd w:id="818"/>
    </w:p>
    <w:p w14:paraId="012647F7" w14:textId="77777777" w:rsidR="00343774" w:rsidRPr="009A539C" w:rsidRDefault="00343774" w:rsidP="00B424E5">
      <w:pPr>
        <w:rPr>
          <w:rFonts w:ascii="Calibri" w:hAnsi="Calibri" w:cs="Calibri"/>
        </w:rPr>
      </w:pPr>
    </w:p>
    <w:p w14:paraId="34A3886D" w14:textId="77777777" w:rsidR="00343774" w:rsidRPr="009A539C" w:rsidRDefault="00343774" w:rsidP="00B424E5">
      <w:pPr>
        <w:rPr>
          <w:rFonts w:ascii="Calibri" w:hAnsi="Calibri" w:cs="Calibri"/>
        </w:rPr>
      </w:pPr>
    </w:p>
    <w:p w14:paraId="749A56D3" w14:textId="77777777" w:rsidR="00604AF9" w:rsidRPr="009A539C" w:rsidRDefault="00604AF9" w:rsidP="00AF188D">
      <w:pPr>
        <w:pStyle w:val="PargrafodaLista"/>
        <w:numPr>
          <w:ilvl w:val="3"/>
          <w:numId w:val="50"/>
        </w:numPr>
        <w:spacing w:before="240" w:line="360" w:lineRule="auto"/>
        <w:ind w:left="850"/>
        <w:jc w:val="both"/>
        <w:outlineLvl w:val="3"/>
        <w:rPr>
          <w:rFonts w:ascii="Calibri" w:hAnsi="Calibri" w:cs="Calibri"/>
        </w:rPr>
      </w:pPr>
      <w:bookmarkStart w:id="819" w:name="_Toc45535733"/>
      <w:r w:rsidRPr="009A539C">
        <w:rPr>
          <w:rFonts w:ascii="Calibri" w:hAnsi="Calibri" w:cs="Calibri"/>
        </w:rPr>
        <w:t>Igualdade em geral</w:t>
      </w:r>
      <w:bookmarkEnd w:id="819"/>
    </w:p>
    <w:p w14:paraId="6C97CF70" w14:textId="77777777" w:rsidR="00EF2B7F" w:rsidRPr="009A539C" w:rsidRDefault="00EF2B7F" w:rsidP="00EF2B7F">
      <w:pPr>
        <w:pStyle w:val="PargrafodaLista"/>
        <w:spacing w:before="240" w:line="360" w:lineRule="auto"/>
        <w:ind w:left="850"/>
        <w:jc w:val="both"/>
        <w:outlineLvl w:val="3"/>
        <w:rPr>
          <w:rFonts w:ascii="Calibri" w:hAnsi="Calibri" w:cs="Calibri"/>
        </w:rPr>
      </w:pPr>
    </w:p>
    <w:p w14:paraId="6001C374" w14:textId="1EE91A22" w:rsidR="003A2FD6" w:rsidRPr="009A539C" w:rsidRDefault="003A2FD6" w:rsidP="00922B44">
      <w:pPr>
        <w:pStyle w:val="PargrafodaLista"/>
        <w:numPr>
          <w:ilvl w:val="0"/>
          <w:numId w:val="66"/>
        </w:numPr>
        <w:spacing w:line="360" w:lineRule="auto"/>
        <w:ind w:left="0" w:firstLine="284"/>
        <w:jc w:val="both"/>
        <w:rPr>
          <w:rFonts w:ascii="Calibri" w:hAnsi="Calibri" w:cs="Calibri"/>
        </w:rPr>
      </w:pPr>
      <w:bookmarkStart w:id="820" w:name="_Toc42511817"/>
      <w:bookmarkStart w:id="821" w:name="_Toc42514581"/>
      <w:r w:rsidRPr="009A539C">
        <w:rPr>
          <w:rFonts w:ascii="Calibri" w:hAnsi="Calibri" w:cs="Calibri"/>
        </w:rPr>
        <w:t>Vem</w:t>
      </w:r>
      <w:r w:rsidR="003A1DFD" w:rsidRPr="009A539C">
        <w:rPr>
          <w:rFonts w:ascii="Calibri" w:hAnsi="Calibri" w:cs="Calibri"/>
        </w:rPr>
        <w:t xml:space="preserve"> sendo usual  o aprofundamento </w:t>
      </w:r>
      <w:r w:rsidRPr="009A539C">
        <w:rPr>
          <w:rFonts w:ascii="Calibri" w:hAnsi="Calibri" w:cs="Calibri"/>
        </w:rPr>
        <w:t xml:space="preserve"> da aplicação do princípio da igualdade e não discriminação, sobretudo dirigida a condições específicas de certos grupos de trabalhadores – doença, deficiência, idade, acidente de trabalho –, ao lado de medidas que visam promover a igualdade de género. Existem sempre convenções que optam por remeter simplesmente para a lei</w:t>
      </w:r>
      <w:r w:rsidRPr="009A539C">
        <w:rPr>
          <w:vertAlign w:val="superscript"/>
        </w:rPr>
        <w:footnoteReference w:id="563"/>
      </w:r>
      <w:r w:rsidRPr="009A539C">
        <w:rPr>
          <w:rFonts w:ascii="Calibri" w:hAnsi="Calibri" w:cs="Calibri"/>
        </w:rPr>
        <w:t>, a par de outras que disciplinam o regime, de acordo com duas modalidades de tutela:</w:t>
      </w:r>
      <w:bookmarkEnd w:id="820"/>
      <w:bookmarkEnd w:id="821"/>
      <w:r w:rsidRPr="009A539C">
        <w:rPr>
          <w:rFonts w:ascii="Calibri" w:hAnsi="Calibri" w:cs="Calibri"/>
        </w:rPr>
        <w:t xml:space="preserve"> </w:t>
      </w:r>
    </w:p>
    <w:p w14:paraId="3EB41B13" w14:textId="12E853F6" w:rsidR="003A2FD6" w:rsidRPr="009A539C" w:rsidRDefault="003A7DF9" w:rsidP="00EF2B7F">
      <w:pPr>
        <w:spacing w:line="360" w:lineRule="auto"/>
        <w:ind w:firstLine="284"/>
        <w:jc w:val="both"/>
        <w:rPr>
          <w:rFonts w:ascii="Calibri" w:hAnsi="Calibri" w:cs="Calibri"/>
        </w:rPr>
      </w:pPr>
      <w:bookmarkStart w:id="822" w:name="_Toc42511818"/>
      <w:bookmarkStart w:id="823" w:name="_Toc42514582"/>
      <w:r w:rsidRPr="009A539C">
        <w:rPr>
          <w:rFonts w:ascii="Calibri" w:hAnsi="Calibri" w:cs="Calibri"/>
        </w:rPr>
        <w:t xml:space="preserve">- </w:t>
      </w:r>
      <w:r w:rsidR="003A2FD6" w:rsidRPr="009A539C">
        <w:rPr>
          <w:rFonts w:ascii="Calibri" w:hAnsi="Calibri" w:cs="Calibri"/>
        </w:rPr>
        <w:t>disposições que proclamam o princípio da igualdade e não discriminação em geral, no acesso, no exercício profissional e organização do trabalho e na progressão na empresa;</w:t>
      </w:r>
      <w:bookmarkEnd w:id="822"/>
      <w:bookmarkEnd w:id="823"/>
      <w:r w:rsidR="003A2FD6" w:rsidRPr="009A539C">
        <w:rPr>
          <w:rFonts w:ascii="Calibri" w:hAnsi="Calibri" w:cs="Calibri"/>
        </w:rPr>
        <w:t xml:space="preserve">  </w:t>
      </w:r>
    </w:p>
    <w:p w14:paraId="1E7F6AE4" w14:textId="21757432" w:rsidR="003A2FD6" w:rsidRPr="009A539C" w:rsidRDefault="003A7DF9" w:rsidP="00EF2B7F">
      <w:pPr>
        <w:spacing w:line="360" w:lineRule="auto"/>
        <w:ind w:firstLine="284"/>
        <w:jc w:val="both"/>
        <w:rPr>
          <w:rFonts w:ascii="Calibri" w:hAnsi="Calibri" w:cs="Calibri"/>
        </w:rPr>
      </w:pPr>
      <w:bookmarkStart w:id="824" w:name="_Toc42511819"/>
      <w:bookmarkStart w:id="825" w:name="_Toc42514583"/>
      <w:r w:rsidRPr="009A539C">
        <w:rPr>
          <w:rFonts w:ascii="Calibri" w:hAnsi="Calibri" w:cs="Calibri"/>
        </w:rPr>
        <w:t xml:space="preserve">- </w:t>
      </w:r>
      <w:r w:rsidR="003A2FD6" w:rsidRPr="009A539C">
        <w:rPr>
          <w:rFonts w:ascii="Calibri" w:hAnsi="Calibri" w:cs="Calibri"/>
        </w:rPr>
        <w:t>medidas que disciplinam as condições de acesso ao emprego ou de trabalho de certos grupos de trabalhadores, introduzindo, por vezes, medidas de discriminação positiva.</w:t>
      </w:r>
      <w:bookmarkEnd w:id="824"/>
      <w:bookmarkEnd w:id="825"/>
    </w:p>
    <w:p w14:paraId="0B988868" w14:textId="253AEDD8" w:rsidR="003A2FD6" w:rsidRPr="009A539C" w:rsidRDefault="003A2FD6" w:rsidP="00922B44">
      <w:pPr>
        <w:pStyle w:val="PargrafodaLista"/>
        <w:numPr>
          <w:ilvl w:val="0"/>
          <w:numId w:val="66"/>
        </w:numPr>
        <w:spacing w:line="360" w:lineRule="auto"/>
        <w:ind w:left="0" w:firstLine="284"/>
        <w:jc w:val="both"/>
        <w:rPr>
          <w:rFonts w:ascii="Calibri" w:hAnsi="Calibri" w:cs="Calibri"/>
        </w:rPr>
      </w:pPr>
      <w:bookmarkStart w:id="826" w:name="_Toc42511820"/>
      <w:bookmarkStart w:id="827" w:name="_Toc42514584"/>
      <w:r w:rsidRPr="009A539C">
        <w:rPr>
          <w:rFonts w:ascii="Calibri" w:hAnsi="Calibri" w:cs="Calibri"/>
        </w:rPr>
        <w:t>No que toca ao acesso ao emprego, é comum os textos convencionais referirem que nenhum trabalhador pode ser prejudicado, beneficiado ou preterido no recrutamento</w:t>
      </w:r>
      <w:r w:rsidRPr="009A539C">
        <w:rPr>
          <w:vertAlign w:val="superscript"/>
        </w:rPr>
        <w:footnoteReference w:id="564"/>
      </w:r>
      <w:r w:rsidRPr="009A539C">
        <w:rPr>
          <w:rFonts w:ascii="Calibri" w:hAnsi="Calibri" w:cs="Calibri"/>
        </w:rPr>
        <w:t xml:space="preserve"> ou promoção</w:t>
      </w:r>
      <w:r w:rsidRPr="009A539C">
        <w:rPr>
          <w:vertAlign w:val="superscript"/>
        </w:rPr>
        <w:footnoteReference w:id="565"/>
      </w:r>
      <w:r w:rsidRPr="009A539C">
        <w:rPr>
          <w:rFonts w:ascii="Calibri" w:hAnsi="Calibri" w:cs="Calibri"/>
        </w:rPr>
        <w:t xml:space="preserve">. Algumas  convenções preveem , inclusivamente,  que em caso de comprovada  desigualdade de oportunidades e de tratamento, a possibilidade  de adoção de medidas  com carater transitório, a fim de corrigir essas situações de desigualdade </w:t>
      </w:r>
      <w:r w:rsidRPr="009A539C">
        <w:rPr>
          <w:vertAlign w:val="superscript"/>
        </w:rPr>
        <w:footnoteReference w:id="566"/>
      </w:r>
      <w:bookmarkEnd w:id="826"/>
      <w:bookmarkEnd w:id="827"/>
    </w:p>
    <w:p w14:paraId="54C01545" w14:textId="3BAFE885" w:rsidR="0066030F" w:rsidRPr="009A539C" w:rsidRDefault="003A2FD6" w:rsidP="00EF2B7F">
      <w:pPr>
        <w:pStyle w:val="PargrafodaLista"/>
        <w:spacing w:line="360" w:lineRule="auto"/>
        <w:ind w:left="0" w:firstLine="284"/>
        <w:jc w:val="both"/>
        <w:rPr>
          <w:rFonts w:ascii="Calibri" w:hAnsi="Calibri" w:cs="Calibri"/>
        </w:rPr>
      </w:pPr>
      <w:bookmarkStart w:id="828" w:name="_Toc42511821"/>
      <w:bookmarkStart w:id="829" w:name="_Toc42514585"/>
      <w:r w:rsidRPr="009A539C">
        <w:rPr>
          <w:rFonts w:ascii="Calibri" w:hAnsi="Calibri" w:cs="Calibri"/>
        </w:rPr>
        <w:t>Existem outras previsões dirigidas à tutela de trabalhadores de grupos sociais desfavorecidos, nomeadamente, deficientes ou portadores de doença crónica, referindo que a empresa os deve admitir, dentro do possível, desde que preencham os requisitos exigidos para o posto de trabalho</w:t>
      </w:r>
      <w:r w:rsidRPr="009A539C">
        <w:rPr>
          <w:vertAlign w:val="superscript"/>
        </w:rPr>
        <w:footnoteReference w:id="567"/>
      </w:r>
      <w:r w:rsidRPr="009A539C">
        <w:rPr>
          <w:rFonts w:ascii="Calibri" w:hAnsi="Calibri" w:cs="Calibri"/>
        </w:rPr>
        <w:t>.</w:t>
      </w:r>
      <w:bookmarkEnd w:id="828"/>
      <w:bookmarkEnd w:id="829"/>
      <w:r w:rsidRPr="009A539C">
        <w:rPr>
          <w:rFonts w:ascii="Calibri" w:hAnsi="Calibri" w:cs="Calibri"/>
        </w:rPr>
        <w:t xml:space="preserve">  </w:t>
      </w:r>
    </w:p>
    <w:p w14:paraId="6677FA0D" w14:textId="77777777" w:rsidR="003A7DF9" w:rsidRPr="009A539C" w:rsidRDefault="003A7DF9" w:rsidP="00EF2B7F">
      <w:pPr>
        <w:pStyle w:val="PargrafodaLista"/>
        <w:spacing w:line="360" w:lineRule="auto"/>
        <w:ind w:left="0" w:firstLine="284"/>
        <w:jc w:val="both"/>
        <w:rPr>
          <w:rFonts w:ascii="Calibri" w:hAnsi="Calibri" w:cs="Calibri"/>
        </w:rPr>
      </w:pPr>
    </w:p>
    <w:p w14:paraId="67FCE396" w14:textId="77777777" w:rsidR="003A2FD6" w:rsidRPr="009A539C" w:rsidRDefault="003A2FD6" w:rsidP="00922B44">
      <w:pPr>
        <w:pStyle w:val="PargrafodaLista"/>
        <w:numPr>
          <w:ilvl w:val="0"/>
          <w:numId w:val="66"/>
        </w:numPr>
        <w:spacing w:line="360" w:lineRule="auto"/>
        <w:ind w:left="0" w:firstLine="284"/>
        <w:jc w:val="both"/>
        <w:rPr>
          <w:rFonts w:ascii="Calibri" w:hAnsi="Calibri" w:cs="Calibri"/>
        </w:rPr>
      </w:pPr>
      <w:bookmarkStart w:id="830" w:name="_Toc42511822"/>
      <w:bookmarkStart w:id="831" w:name="_Toc42514586"/>
      <w:r w:rsidRPr="009A539C">
        <w:rPr>
          <w:rFonts w:ascii="Calibri" w:hAnsi="Calibri" w:cs="Calibri"/>
        </w:rPr>
        <w:t>Numa outra perspetiva, a tutela da paridade de género é desenvolvida no âmbito do acesso a direitos, reportando-a aos processos de seleção a dada categoria profissional dentro da empresa, prevendo-se que a empresa deve promover a paridade no acesso ao emprego</w:t>
      </w:r>
      <w:r w:rsidRPr="009A539C">
        <w:rPr>
          <w:rFonts w:ascii="Calibri" w:hAnsi="Calibri" w:cs="Calibri"/>
          <w:vertAlign w:val="superscript"/>
        </w:rPr>
        <w:footnoteReference w:id="568"/>
      </w:r>
      <w:r w:rsidRPr="009A539C">
        <w:rPr>
          <w:rFonts w:ascii="Calibri" w:hAnsi="Calibri" w:cs="Calibri"/>
          <w:vertAlign w:val="superscript"/>
        </w:rPr>
        <w:t xml:space="preserve"> </w:t>
      </w:r>
      <w:r w:rsidRPr="009A539C">
        <w:rPr>
          <w:rFonts w:ascii="Calibri" w:hAnsi="Calibri" w:cs="Calibri"/>
        </w:rPr>
        <w:t>na retribuição</w:t>
      </w:r>
      <w:r w:rsidRPr="009A539C">
        <w:rPr>
          <w:rFonts w:ascii="Calibri" w:hAnsi="Calibri" w:cs="Calibri"/>
          <w:vertAlign w:val="superscript"/>
        </w:rPr>
        <w:footnoteReference w:id="569"/>
      </w:r>
      <w:r w:rsidRPr="009A539C">
        <w:rPr>
          <w:rFonts w:ascii="Calibri" w:hAnsi="Calibri" w:cs="Calibri"/>
          <w:vertAlign w:val="superscript"/>
        </w:rPr>
        <w:t xml:space="preserve"> </w:t>
      </w:r>
      <w:r w:rsidRPr="009A539C">
        <w:rPr>
          <w:rFonts w:ascii="Calibri" w:hAnsi="Calibri" w:cs="Calibri"/>
        </w:rPr>
        <w:t xml:space="preserve">ou avaliação </w:t>
      </w:r>
      <w:r w:rsidRPr="009A539C">
        <w:rPr>
          <w:rFonts w:ascii="Calibri" w:hAnsi="Calibri" w:cs="Calibri"/>
          <w:vertAlign w:val="superscript"/>
        </w:rPr>
        <w:footnoteReference w:id="570"/>
      </w:r>
      <w:r w:rsidRPr="009A539C">
        <w:rPr>
          <w:rFonts w:ascii="Calibri" w:hAnsi="Calibri" w:cs="Calibri"/>
          <w:vertAlign w:val="superscript"/>
        </w:rPr>
        <w:t xml:space="preserve"> </w:t>
      </w:r>
      <w:r w:rsidRPr="009A539C">
        <w:rPr>
          <w:rFonts w:ascii="Calibri" w:hAnsi="Calibri" w:cs="Calibri"/>
        </w:rPr>
        <w:t xml:space="preserve"> ou assegurar igualdade de condições no acesso à formação profissional</w:t>
      </w:r>
      <w:r w:rsidRPr="009A539C">
        <w:rPr>
          <w:rFonts w:ascii="Calibri" w:hAnsi="Calibri" w:cs="Calibri"/>
          <w:vertAlign w:val="superscript"/>
        </w:rPr>
        <w:footnoteReference w:id="571"/>
      </w:r>
      <w:r w:rsidRPr="009A539C">
        <w:rPr>
          <w:rFonts w:ascii="Calibri" w:hAnsi="Calibri" w:cs="Calibri"/>
          <w:vertAlign w:val="superscript"/>
        </w:rPr>
        <w:t>.</w:t>
      </w:r>
      <w:r w:rsidRPr="009A539C">
        <w:rPr>
          <w:rFonts w:ascii="Calibri" w:hAnsi="Calibri" w:cs="Calibri"/>
        </w:rPr>
        <w:t xml:space="preserve"> Outras referenciam, tão somente, a igualdade de género em geral</w:t>
      </w:r>
      <w:r w:rsidRPr="009A539C">
        <w:rPr>
          <w:rFonts w:ascii="Calibri" w:hAnsi="Calibri" w:cs="Calibri"/>
          <w:vertAlign w:val="superscript"/>
        </w:rPr>
        <w:footnoteReference w:id="572"/>
      </w:r>
      <w:r w:rsidRPr="009A539C">
        <w:rPr>
          <w:rFonts w:ascii="Calibri" w:hAnsi="Calibri" w:cs="Calibri"/>
          <w:vertAlign w:val="superscript"/>
        </w:rPr>
        <w:t xml:space="preserve">. </w:t>
      </w:r>
      <w:r w:rsidRPr="009A539C">
        <w:rPr>
          <w:rFonts w:ascii="Calibri" w:hAnsi="Calibri" w:cs="Calibri"/>
        </w:rPr>
        <w:t>Encontra-se também a preocupação do reforço da transparência e informação nas matérias referentes à igualdade de género</w:t>
      </w:r>
      <w:r w:rsidRPr="009A539C">
        <w:rPr>
          <w:rFonts w:ascii="Calibri" w:hAnsi="Calibri" w:cs="Calibri"/>
          <w:vertAlign w:val="superscript"/>
        </w:rPr>
        <w:footnoteReference w:id="573"/>
      </w:r>
      <w:r w:rsidRPr="009A539C">
        <w:rPr>
          <w:rFonts w:ascii="Calibri" w:hAnsi="Calibri" w:cs="Calibri"/>
        </w:rPr>
        <w:t>.</w:t>
      </w:r>
      <w:bookmarkEnd w:id="830"/>
      <w:bookmarkEnd w:id="831"/>
      <w:r w:rsidRPr="009A539C">
        <w:rPr>
          <w:rFonts w:ascii="Calibri" w:hAnsi="Calibri" w:cs="Calibri"/>
        </w:rPr>
        <w:t xml:space="preserve"> </w:t>
      </w:r>
    </w:p>
    <w:p w14:paraId="6BB3E46E" w14:textId="77777777" w:rsidR="0066030F" w:rsidRPr="009A539C" w:rsidRDefault="0066030F" w:rsidP="00EF2B7F">
      <w:pPr>
        <w:spacing w:line="360" w:lineRule="auto"/>
        <w:ind w:firstLine="284"/>
        <w:jc w:val="both"/>
        <w:rPr>
          <w:rFonts w:ascii="Calibri" w:hAnsi="Calibri" w:cs="Calibri"/>
        </w:rPr>
      </w:pPr>
    </w:p>
    <w:p w14:paraId="6F4F4239" w14:textId="77777777" w:rsidR="003A2FD6" w:rsidRPr="009A539C" w:rsidRDefault="003A2FD6" w:rsidP="00922B44">
      <w:pPr>
        <w:pStyle w:val="PargrafodaLista"/>
        <w:numPr>
          <w:ilvl w:val="0"/>
          <w:numId w:val="67"/>
        </w:numPr>
        <w:spacing w:line="360" w:lineRule="auto"/>
        <w:ind w:left="0" w:firstLine="284"/>
        <w:jc w:val="both"/>
        <w:rPr>
          <w:rFonts w:ascii="Calibri" w:hAnsi="Calibri" w:cs="Calibri"/>
        </w:rPr>
      </w:pPr>
      <w:bookmarkStart w:id="832" w:name="_Toc42511823"/>
      <w:bookmarkStart w:id="833" w:name="_Toc42514587"/>
      <w:r w:rsidRPr="009A539C">
        <w:rPr>
          <w:rFonts w:ascii="Calibri" w:hAnsi="Calibri" w:cs="Calibri"/>
        </w:rPr>
        <w:t>Relativamente às condições de organização do trabalho, assinalam-se vários aspetos em que as convenções, acompanhando de perto a lei, definem regimes específicos para trabalhadores com deficiência. É o caso da dispensa de prestação de trabalho suplementar (art.88.º, CT)</w:t>
      </w:r>
      <w:r w:rsidRPr="009A539C">
        <w:rPr>
          <w:vertAlign w:val="superscript"/>
        </w:rPr>
        <w:footnoteReference w:id="574"/>
      </w:r>
      <w:r w:rsidRPr="009A539C">
        <w:rPr>
          <w:rFonts w:ascii="Calibri" w:hAnsi="Calibri" w:cs="Calibri"/>
        </w:rPr>
        <w:t xml:space="preserve"> ou da necessidade de ajustamento da organização  do trabalho de forma ergonómica</w:t>
      </w:r>
      <w:r w:rsidRPr="009A539C">
        <w:rPr>
          <w:vertAlign w:val="superscript"/>
        </w:rPr>
        <w:footnoteReference w:id="575"/>
      </w:r>
      <w:r w:rsidRPr="009A539C">
        <w:rPr>
          <w:rFonts w:ascii="Calibri" w:hAnsi="Calibri" w:cs="Calibri"/>
        </w:rPr>
        <w:t xml:space="preserve"> .</w:t>
      </w:r>
      <w:bookmarkEnd w:id="832"/>
      <w:bookmarkEnd w:id="833"/>
    </w:p>
    <w:p w14:paraId="4EAC850F" w14:textId="77777777" w:rsidR="003A2FD6" w:rsidRPr="009A539C" w:rsidRDefault="003A2FD6" w:rsidP="00EF2B7F">
      <w:pPr>
        <w:pStyle w:val="PargrafodaLista"/>
        <w:spacing w:line="360" w:lineRule="auto"/>
        <w:ind w:left="0" w:firstLine="284"/>
        <w:jc w:val="both"/>
        <w:rPr>
          <w:rFonts w:ascii="Calibri" w:hAnsi="Calibri" w:cs="Calibri"/>
        </w:rPr>
      </w:pPr>
      <w:bookmarkStart w:id="834" w:name="_Toc42511824"/>
      <w:bookmarkStart w:id="835" w:name="_Toc42514588"/>
      <w:r w:rsidRPr="009A539C">
        <w:rPr>
          <w:rFonts w:ascii="Calibri" w:hAnsi="Calibri" w:cs="Calibri"/>
        </w:rPr>
        <w:t>A proteção de trabalhadores em função da idade constitui outra dimensão referida amiúde nas convenções. Nesse sentido, existem convenções que proíbem a fixação de uma idade máxima para no acesso ao emprego (salvo os limites previstos a lei)</w:t>
      </w:r>
      <w:r w:rsidRPr="009A539C">
        <w:rPr>
          <w:vertAlign w:val="superscript"/>
        </w:rPr>
        <w:footnoteReference w:id="576"/>
      </w:r>
      <w:r w:rsidR="006F55CA" w:rsidRPr="009A539C">
        <w:rPr>
          <w:rFonts w:ascii="Calibri" w:hAnsi="Calibri" w:cs="Calibri"/>
        </w:rPr>
        <w:t xml:space="preserve">; noutras define-se </w:t>
      </w:r>
      <w:r w:rsidRPr="009A539C">
        <w:rPr>
          <w:rFonts w:ascii="Calibri" w:hAnsi="Calibri" w:cs="Calibri"/>
        </w:rPr>
        <w:t>a observância das normas legais que protegem os menores de certos horários de trabalho</w:t>
      </w:r>
      <w:r w:rsidRPr="009A539C">
        <w:rPr>
          <w:vertAlign w:val="superscript"/>
        </w:rPr>
        <w:footnoteReference w:id="577"/>
      </w:r>
      <w:r w:rsidR="006F55CA" w:rsidRPr="009A539C">
        <w:rPr>
          <w:rFonts w:ascii="Calibri" w:hAnsi="Calibri" w:cs="Calibri"/>
        </w:rPr>
        <w:t xml:space="preserve">; </w:t>
      </w:r>
      <w:r w:rsidRPr="009A539C">
        <w:rPr>
          <w:rFonts w:ascii="Calibri" w:hAnsi="Calibri" w:cs="Calibri"/>
        </w:rPr>
        <w:t>ou concede-se uma proteção especial para trabalhadores a partir de certa idade, no exercício profissional, em geral</w:t>
      </w:r>
      <w:r w:rsidRPr="009A539C">
        <w:rPr>
          <w:vertAlign w:val="superscript"/>
        </w:rPr>
        <w:footnoteReference w:id="578"/>
      </w:r>
      <w:r w:rsidR="006F55CA" w:rsidRPr="009A539C">
        <w:rPr>
          <w:rFonts w:ascii="Calibri" w:hAnsi="Calibri" w:cs="Calibri"/>
        </w:rPr>
        <w:t xml:space="preserve">, ou no </w:t>
      </w:r>
      <w:r w:rsidRPr="009A539C">
        <w:rPr>
          <w:rFonts w:ascii="Calibri" w:hAnsi="Calibri" w:cs="Calibri"/>
        </w:rPr>
        <w:t>que toca à dispensa, por exemplo, de trabalho por  turnos</w:t>
      </w:r>
      <w:r w:rsidRPr="009A539C">
        <w:rPr>
          <w:vertAlign w:val="superscript"/>
        </w:rPr>
        <w:footnoteReference w:id="579"/>
      </w:r>
      <w:r w:rsidRPr="009A539C">
        <w:rPr>
          <w:rFonts w:ascii="Calibri" w:hAnsi="Calibri" w:cs="Calibri"/>
        </w:rPr>
        <w:t xml:space="preserve"> .</w:t>
      </w:r>
      <w:bookmarkEnd w:id="834"/>
      <w:bookmarkEnd w:id="835"/>
      <w:r w:rsidRPr="009A539C">
        <w:rPr>
          <w:rFonts w:ascii="Calibri" w:hAnsi="Calibri" w:cs="Calibri"/>
        </w:rPr>
        <w:t xml:space="preserve"> </w:t>
      </w:r>
    </w:p>
    <w:p w14:paraId="4B797022" w14:textId="77777777" w:rsidR="0032160B" w:rsidRPr="009A539C" w:rsidRDefault="003A2FD6" w:rsidP="00EF2B7F">
      <w:pPr>
        <w:pStyle w:val="PargrafodaLista"/>
        <w:spacing w:line="360" w:lineRule="auto"/>
        <w:ind w:left="0" w:firstLine="284"/>
        <w:jc w:val="both"/>
        <w:rPr>
          <w:rFonts w:ascii="Calibri" w:hAnsi="Calibri" w:cs="Calibri"/>
        </w:rPr>
      </w:pPr>
      <w:bookmarkStart w:id="836" w:name="_Toc42511825"/>
      <w:bookmarkStart w:id="837" w:name="_Toc42514589"/>
      <w:r w:rsidRPr="009A539C">
        <w:rPr>
          <w:rFonts w:ascii="Calibri" w:hAnsi="Calibri" w:cs="Calibri"/>
        </w:rPr>
        <w:t>Por último, e num prisma mais alargado, existem várias convenções que preconizam a tutela dos trabalhadores com capacidade de trabalho reduzida, independentemente da origem dessa condição – idade, doença, deficiência ou acidente –, prevendo a sua integração em postos de trabalho adequados e adaptados</w:t>
      </w:r>
      <w:r w:rsidRPr="009A539C">
        <w:rPr>
          <w:vertAlign w:val="superscript"/>
        </w:rPr>
        <w:footnoteReference w:id="580"/>
      </w:r>
      <w:r w:rsidRPr="009A539C">
        <w:rPr>
          <w:rFonts w:ascii="Calibri" w:hAnsi="Calibri" w:cs="Calibri"/>
        </w:rPr>
        <w:t xml:space="preserve"> ou promovendo ações de formação </w:t>
      </w:r>
      <w:r w:rsidRPr="009A539C">
        <w:rPr>
          <w:vertAlign w:val="superscript"/>
        </w:rPr>
        <w:footnoteReference w:id="581"/>
      </w:r>
      <w:r w:rsidRPr="009A539C">
        <w:rPr>
          <w:rFonts w:ascii="Calibri" w:hAnsi="Calibri" w:cs="Calibri"/>
        </w:rPr>
        <w:t>.</w:t>
      </w:r>
      <w:bookmarkEnd w:id="836"/>
      <w:bookmarkEnd w:id="837"/>
      <w:r w:rsidRPr="009A539C">
        <w:rPr>
          <w:rFonts w:ascii="Calibri" w:hAnsi="Calibri" w:cs="Calibri"/>
        </w:rPr>
        <w:t xml:space="preserve"> </w:t>
      </w:r>
    </w:p>
    <w:p w14:paraId="0CCFA078" w14:textId="7AB0F9B0" w:rsidR="00B90788" w:rsidRPr="009A539C" w:rsidRDefault="00B90788" w:rsidP="003A7DF9">
      <w:pPr>
        <w:rPr>
          <w:rFonts w:ascii="Calibri" w:hAnsi="Calibri" w:cs="Calibri"/>
        </w:rPr>
      </w:pPr>
    </w:p>
    <w:p w14:paraId="144BE673" w14:textId="1EB3A4DF" w:rsidR="0032160B" w:rsidRPr="009A539C" w:rsidRDefault="00FA6827" w:rsidP="00AF188D">
      <w:pPr>
        <w:pStyle w:val="PargrafodaLista"/>
        <w:numPr>
          <w:ilvl w:val="2"/>
          <w:numId w:val="50"/>
        </w:numPr>
        <w:spacing w:line="360" w:lineRule="auto"/>
        <w:ind w:left="851" w:right="-1"/>
        <w:jc w:val="both"/>
        <w:outlineLvl w:val="2"/>
        <w:rPr>
          <w:rFonts w:ascii="Calibri" w:hAnsi="Calibri" w:cs="Calibri"/>
          <w:b/>
        </w:rPr>
      </w:pPr>
      <w:bookmarkStart w:id="838" w:name="_Toc45535734"/>
      <w:r w:rsidRPr="009A539C">
        <w:rPr>
          <w:rFonts w:ascii="Calibri" w:hAnsi="Calibri" w:cs="Calibri"/>
          <w:b/>
        </w:rPr>
        <w:t>Direito à proteção de dad</w:t>
      </w:r>
      <w:r w:rsidR="006C3B72" w:rsidRPr="009A539C">
        <w:rPr>
          <w:rFonts w:ascii="Calibri" w:hAnsi="Calibri" w:cs="Calibri"/>
          <w:b/>
        </w:rPr>
        <w:t>os pessoais na contratação cole</w:t>
      </w:r>
      <w:r w:rsidRPr="009A539C">
        <w:rPr>
          <w:rFonts w:ascii="Calibri" w:hAnsi="Calibri" w:cs="Calibri"/>
          <w:b/>
        </w:rPr>
        <w:t>tiva</w:t>
      </w:r>
      <w:bookmarkEnd w:id="838"/>
    </w:p>
    <w:p w14:paraId="3ED48EDD" w14:textId="77777777" w:rsidR="00121BB1" w:rsidRPr="009A539C" w:rsidRDefault="00121BB1" w:rsidP="00B90788">
      <w:pPr>
        <w:pStyle w:val="PargrafodaLista"/>
        <w:spacing w:line="360" w:lineRule="auto"/>
        <w:ind w:left="851" w:right="-1"/>
        <w:jc w:val="both"/>
        <w:outlineLvl w:val="2"/>
        <w:rPr>
          <w:rFonts w:ascii="Calibri" w:hAnsi="Calibri" w:cs="Calibri"/>
          <w:b/>
        </w:rPr>
      </w:pPr>
    </w:p>
    <w:p w14:paraId="7B7979E4" w14:textId="77777777" w:rsidR="00FA6827" w:rsidRPr="009A539C" w:rsidRDefault="00FA6827" w:rsidP="00AF188D">
      <w:pPr>
        <w:pStyle w:val="PargrafodaLista"/>
        <w:numPr>
          <w:ilvl w:val="3"/>
          <w:numId w:val="50"/>
        </w:numPr>
        <w:spacing w:line="360" w:lineRule="auto"/>
        <w:ind w:left="1418" w:right="-1"/>
        <w:jc w:val="both"/>
        <w:outlineLvl w:val="3"/>
        <w:rPr>
          <w:rFonts w:ascii="Calibri" w:hAnsi="Calibri" w:cs="Calibri"/>
        </w:rPr>
      </w:pPr>
      <w:bookmarkStart w:id="839" w:name="_Toc45535735"/>
      <w:r w:rsidRPr="009A539C">
        <w:rPr>
          <w:rFonts w:ascii="Calibri" w:hAnsi="Calibri" w:cs="Calibri"/>
        </w:rPr>
        <w:t>Nota prévia</w:t>
      </w:r>
      <w:bookmarkEnd w:id="839"/>
    </w:p>
    <w:p w14:paraId="7E461636" w14:textId="77777777" w:rsidR="00121BB1" w:rsidRPr="009A539C" w:rsidRDefault="00121BB1" w:rsidP="00B90788">
      <w:pPr>
        <w:spacing w:line="360" w:lineRule="auto"/>
        <w:ind w:right="-1" w:firstLine="567"/>
        <w:jc w:val="both"/>
      </w:pPr>
      <w:r w:rsidRPr="009A539C">
        <w:t>I - A matéria dos direitos de personalidade dos trabalhadores desde 2003 por impulso do Código do Trabalho tem merecido importantes desenvolvimentos legislativos e doutrinários. Entre eles destaca-se o direito à proteção de dados que envolve os dados especiais no artigo 17.º do CT, os dados biométricos no artigo 18.º do CT, os testes e exames médicos no artigo 19.º do CT, os meios de vigilância à distância dos artigos 20.º e 21.º do CT e as mensagens e acesso à informação do artigo 22.º. O Regulamento (UE) 2016/679, de 27 de abril 2016 e da Lei n.º 58/2019, de 8 de agosto, deram uma renovada importância à proteção dos dados pessoais e transformaram a contratação coletiva em protagonista ao prever que as convenções coletiva podem ser fundamento de licitude de tratamento de categorias especiais de dados pessoais (artigo 9.º , nº 2 alínea b) do Regulamento (UE) 2016/679) ou para prever normas mais específicas de proteção (artigo 88.º do referido Regulamento). Acresce ainda que as convenções coletivas podem ser fundamento para a licitude de tratamento de dados pessoais no âmbito da execução das obrigações por ela impostas às partes para o cumprimento de finalidades lícitas.</w:t>
      </w:r>
    </w:p>
    <w:p w14:paraId="61CF1585" w14:textId="77777777" w:rsidR="00121BB1" w:rsidRPr="009A539C" w:rsidRDefault="00121BB1" w:rsidP="00B90788">
      <w:pPr>
        <w:spacing w:line="360" w:lineRule="auto"/>
        <w:ind w:right="-1" w:firstLine="567"/>
        <w:jc w:val="both"/>
      </w:pPr>
      <w:r w:rsidRPr="009A539C">
        <w:t>II – Em anteriores relatórios a abordagem centrou-se na aplicação TIC e o seu impacto nas relações de trabalho com especial enfoque no teletrabalho, meios de vigilância eletrónica, meios de comunicação eletrónica e processo individual dos trabalhadores. Para dar continuidade à análise das convenções coletivas nesta parte optou-se por manter neste capítulo a análise do teletrabalho que, embora configure uma modalidade de contrato de trabalho, está intimamente ligado às tecnologias de informação e comunicação.</w:t>
      </w:r>
    </w:p>
    <w:p w14:paraId="60796B8D" w14:textId="77777777" w:rsidR="00121BB1" w:rsidRPr="009A539C" w:rsidRDefault="00121BB1" w:rsidP="00B90788">
      <w:pPr>
        <w:spacing w:line="360" w:lineRule="auto"/>
        <w:ind w:right="-1" w:firstLine="567"/>
        <w:jc w:val="both"/>
      </w:pPr>
      <w:r w:rsidRPr="009A539C">
        <w:t>III - De igual modo pela conexão que tem com os direitos personalidade e com as TIC procedeu-se a um levantamento da regulamentação coletiva sobre o direito à desconexão/dever de desconexão. Embora esta questão tenha importantes conexões com a matéria do tempo de trabalho, afigura-se preponderante a questão dos direitos de personalidade do trabalhador.</w:t>
      </w:r>
    </w:p>
    <w:p w14:paraId="2D1FF111" w14:textId="77777777" w:rsidR="003A0AB8" w:rsidRPr="009A539C" w:rsidRDefault="003A0AB8" w:rsidP="00B90788">
      <w:pPr>
        <w:spacing w:line="360" w:lineRule="auto"/>
        <w:ind w:right="-1"/>
        <w:jc w:val="both"/>
        <w:rPr>
          <w:rFonts w:ascii="Calibri" w:hAnsi="Calibri" w:cs="Calibri"/>
        </w:rPr>
      </w:pPr>
    </w:p>
    <w:p w14:paraId="3D6FE1C8" w14:textId="6C5A0139" w:rsidR="00FA6827" w:rsidRPr="009A539C" w:rsidRDefault="00FA6827" w:rsidP="00AF188D">
      <w:pPr>
        <w:pStyle w:val="PargrafodaLista"/>
        <w:numPr>
          <w:ilvl w:val="3"/>
          <w:numId w:val="50"/>
        </w:numPr>
        <w:spacing w:line="360" w:lineRule="auto"/>
        <w:ind w:left="1418" w:right="-1"/>
        <w:jc w:val="both"/>
        <w:outlineLvl w:val="3"/>
        <w:rPr>
          <w:rFonts w:ascii="Calibri" w:hAnsi="Calibri" w:cs="Calibri"/>
        </w:rPr>
      </w:pPr>
      <w:bookmarkStart w:id="840" w:name="_Toc45535736"/>
      <w:r w:rsidRPr="009A539C">
        <w:rPr>
          <w:rFonts w:ascii="Calibri" w:hAnsi="Calibri" w:cs="Calibri"/>
        </w:rPr>
        <w:t>Normas que envolvem tratamento de dados pessoais para efeitos da execução de</w:t>
      </w:r>
      <w:r w:rsidR="006C3B72" w:rsidRPr="009A539C">
        <w:rPr>
          <w:rFonts w:ascii="Calibri" w:hAnsi="Calibri" w:cs="Calibri"/>
        </w:rPr>
        <w:t xml:space="preserve"> obrigações das convenções cole</w:t>
      </w:r>
      <w:r w:rsidRPr="009A539C">
        <w:rPr>
          <w:rFonts w:ascii="Calibri" w:hAnsi="Calibri" w:cs="Calibri"/>
        </w:rPr>
        <w:t>tivas</w:t>
      </w:r>
      <w:bookmarkEnd w:id="840"/>
    </w:p>
    <w:p w14:paraId="08358FE0" w14:textId="77777777" w:rsidR="00264BAD" w:rsidRPr="009A539C" w:rsidRDefault="00264BAD" w:rsidP="003A7DF9">
      <w:pPr>
        <w:ind w:left="142" w:firstLine="709"/>
        <w:jc w:val="both"/>
      </w:pPr>
      <w:r w:rsidRPr="009A539C">
        <w:t xml:space="preserve">Em matéria de direito à desconexão verifica-se que </w:t>
      </w:r>
      <w:r w:rsidR="00930DF8" w:rsidRPr="009A539C">
        <w:t>o tema</w:t>
      </w:r>
      <w:r w:rsidRPr="009A539C">
        <w:t xml:space="preserve"> surge associada aos tempos de não t</w:t>
      </w:r>
      <w:r w:rsidR="00930DF8" w:rsidRPr="009A539C">
        <w:t>rabalho, i.e,</w:t>
      </w:r>
      <w:r w:rsidRPr="009A539C">
        <w:t xml:space="preserve"> à garantia de descanso para o trabalhador</w:t>
      </w:r>
      <w:r w:rsidRPr="009A539C">
        <w:rPr>
          <w:rStyle w:val="Refdenotaderodap"/>
        </w:rPr>
        <w:footnoteReference w:id="582"/>
      </w:r>
    </w:p>
    <w:p w14:paraId="09DD2C2A" w14:textId="77777777" w:rsidR="0032160B" w:rsidRPr="009A539C" w:rsidRDefault="00264BAD" w:rsidP="00B90788">
      <w:pPr>
        <w:pStyle w:val="PargrafodaLista"/>
        <w:ind w:left="142" w:right="-1"/>
        <w:jc w:val="both"/>
        <w:rPr>
          <w:rFonts w:ascii="Calibri" w:hAnsi="Calibri" w:cs="Calibri"/>
        </w:rPr>
      </w:pPr>
      <w:r w:rsidRPr="009A539C">
        <w:t>As convenções coletivas também surgem como fundamento para o tratamento de dados pessoais ao exigir a manutenção de um registo atualizados dos trabalhadores incluindo nome e um conjunto de dados pessoais</w:t>
      </w:r>
      <w:r w:rsidRPr="009A539C">
        <w:rPr>
          <w:rStyle w:val="Refdenotaderodap"/>
        </w:rPr>
        <w:footnoteReference w:id="583"/>
      </w:r>
      <w:r w:rsidRPr="009A539C">
        <w:t xml:space="preserve"> ou dados sociais</w:t>
      </w:r>
      <w:r w:rsidRPr="009A539C">
        <w:rPr>
          <w:rStyle w:val="Refdenotaderodap"/>
        </w:rPr>
        <w:footnoteReference w:id="584"/>
      </w:r>
      <w:r w:rsidR="00260627" w:rsidRPr="009A539C">
        <w:t>.</w:t>
      </w:r>
    </w:p>
    <w:p w14:paraId="04F40C0C" w14:textId="77777777" w:rsidR="0032160B" w:rsidRPr="009A539C" w:rsidRDefault="0023536C" w:rsidP="00B90788">
      <w:pPr>
        <w:spacing w:line="360" w:lineRule="auto"/>
        <w:ind w:left="993" w:right="-1"/>
        <w:jc w:val="both"/>
        <w:rPr>
          <w:rFonts w:ascii="Calibri" w:hAnsi="Calibri" w:cs="Calibri"/>
        </w:rPr>
      </w:pPr>
      <w:r w:rsidRPr="009A539C">
        <w:rPr>
          <w:rFonts w:ascii="Calibri" w:eastAsia="Calibri" w:hAnsi="Calibri" w:cs="Times New Roman"/>
          <w:strike/>
        </w:rPr>
        <w:t xml:space="preserve"> </w:t>
      </w:r>
    </w:p>
    <w:p w14:paraId="217ED219" w14:textId="77777777" w:rsidR="00FA6827" w:rsidRPr="009A539C" w:rsidRDefault="0023536C" w:rsidP="00AF188D">
      <w:pPr>
        <w:pStyle w:val="PargrafodaLista"/>
        <w:numPr>
          <w:ilvl w:val="3"/>
          <w:numId w:val="50"/>
        </w:numPr>
        <w:spacing w:line="360" w:lineRule="auto"/>
        <w:ind w:left="1418" w:right="-1"/>
        <w:jc w:val="both"/>
        <w:outlineLvl w:val="3"/>
        <w:rPr>
          <w:rFonts w:ascii="Calibri" w:hAnsi="Calibri" w:cs="Calibri"/>
        </w:rPr>
      </w:pPr>
      <w:bookmarkStart w:id="841" w:name="_Toc45535737"/>
      <w:r w:rsidRPr="009A539C">
        <w:rPr>
          <w:rFonts w:ascii="Calibri" w:hAnsi="Calibri" w:cs="Calibri"/>
        </w:rPr>
        <w:t>Proteção de dados em especial: meios de vigilância eletrónica, meios de comunicação eletrónica e processo individual dos trabalhadores</w:t>
      </w:r>
      <w:bookmarkEnd w:id="841"/>
    </w:p>
    <w:p w14:paraId="194EC33B" w14:textId="77777777" w:rsidR="008525A2" w:rsidRPr="009A539C" w:rsidRDefault="008525A2" w:rsidP="006541B9">
      <w:pPr>
        <w:spacing w:line="360" w:lineRule="auto"/>
        <w:ind w:right="-1" w:firstLine="709"/>
        <w:jc w:val="both"/>
      </w:pPr>
      <w:r w:rsidRPr="009A539C">
        <w:t>Para além de enunciados gerais sobre reserva da intimidade e vida privada</w:t>
      </w:r>
      <w:r w:rsidRPr="009A539C">
        <w:rPr>
          <w:rStyle w:val="Refdenotaderodap"/>
        </w:rPr>
        <w:footnoteReference w:id="585"/>
      </w:r>
      <w:r w:rsidRPr="009A539C">
        <w:t xml:space="preserve"> Existem ainda regulamentos específicos de realização de testes de alcoolémia inseridos em convenção coletiva</w:t>
      </w:r>
      <w:r w:rsidRPr="009A539C">
        <w:rPr>
          <w:rStyle w:val="Refdenotaderodap"/>
        </w:rPr>
        <w:footnoteReference w:id="586"/>
      </w:r>
      <w:r w:rsidRPr="009A539C">
        <w:t>, regras sobre utilização de correio eletrónico</w:t>
      </w:r>
      <w:r w:rsidRPr="009A539C">
        <w:rPr>
          <w:rStyle w:val="Refdenotaderodap"/>
        </w:rPr>
        <w:footnoteReference w:id="587"/>
      </w:r>
      <w:r w:rsidRPr="009A539C">
        <w:t xml:space="preserve"> ou sobre assédio e “bullying”</w:t>
      </w:r>
      <w:r w:rsidRPr="009A539C">
        <w:rPr>
          <w:rStyle w:val="Refdenotaderodap"/>
        </w:rPr>
        <w:footnoteReference w:id="588"/>
      </w:r>
      <w:r w:rsidRPr="009A539C">
        <w:t>, registo biométrico</w:t>
      </w:r>
      <w:r w:rsidRPr="009A539C">
        <w:rPr>
          <w:rStyle w:val="Refdenotaderodap"/>
        </w:rPr>
        <w:footnoteReference w:id="589"/>
      </w:r>
      <w:r w:rsidRPr="009A539C">
        <w:t>.</w:t>
      </w:r>
    </w:p>
    <w:p w14:paraId="7DA4601C" w14:textId="77777777" w:rsidR="008525A2" w:rsidRPr="009A539C" w:rsidRDefault="008525A2" w:rsidP="00B90788">
      <w:pPr>
        <w:spacing w:line="360" w:lineRule="auto"/>
        <w:ind w:right="-1"/>
        <w:jc w:val="both"/>
      </w:pPr>
      <w:r w:rsidRPr="009A539C">
        <w:t>Existem convenções que preveem o tratamento de dados pessoais sensíveis nomeadamente no ato de admissão com elaboração de fixa própria com os resultados do exame médico de admissão</w:t>
      </w:r>
      <w:r w:rsidRPr="009A539C">
        <w:rPr>
          <w:rStyle w:val="Refdenotaderodap"/>
        </w:rPr>
        <w:footnoteReference w:id="590"/>
      </w:r>
      <w:r w:rsidRPr="009A539C">
        <w:t>.</w:t>
      </w:r>
    </w:p>
    <w:p w14:paraId="2607FC6C" w14:textId="77777777" w:rsidR="008525A2" w:rsidRPr="009A539C" w:rsidRDefault="008525A2" w:rsidP="00B90788">
      <w:pPr>
        <w:spacing w:line="360" w:lineRule="auto"/>
        <w:ind w:right="-1"/>
        <w:jc w:val="both"/>
      </w:pPr>
      <w:r w:rsidRPr="009A539C">
        <w:t>Em 2019 ressaltam convenções coletivas que regulam sistemas de georreferenciação admitindo que se tratam de meios de vigilância à distância, mas que é lícita a sua utilização desde que verificados determinados requisitos</w:t>
      </w:r>
      <w:r w:rsidRPr="009A539C">
        <w:rPr>
          <w:rStyle w:val="Refdenotaderodap"/>
        </w:rPr>
        <w:footnoteReference w:id="591"/>
      </w:r>
      <w:r w:rsidRPr="009A539C">
        <w:t xml:space="preserve"> e noutros casos vai-se mais longe e considera-se que o GPS não é um meio de vigilância à distância e entende-se que o mesmo pode ser utilizado para efeitos disciplinares</w:t>
      </w:r>
      <w:r w:rsidRPr="009A539C">
        <w:rPr>
          <w:rStyle w:val="Refdenotaderodap"/>
        </w:rPr>
        <w:footnoteReference w:id="592"/>
      </w:r>
      <w:r w:rsidRPr="009A539C">
        <w:t>.</w:t>
      </w:r>
    </w:p>
    <w:p w14:paraId="1B6B8497" w14:textId="77777777" w:rsidR="00482353" w:rsidRPr="009A539C" w:rsidRDefault="00482353" w:rsidP="00B90788">
      <w:pPr>
        <w:spacing w:line="360" w:lineRule="auto"/>
        <w:ind w:right="-1"/>
        <w:jc w:val="both"/>
      </w:pPr>
    </w:p>
    <w:p w14:paraId="06CA6808" w14:textId="77777777" w:rsidR="008525A2" w:rsidRPr="009A539C" w:rsidRDefault="008525A2" w:rsidP="00B90788">
      <w:pPr>
        <w:spacing w:line="360" w:lineRule="auto"/>
        <w:ind w:right="-1"/>
        <w:jc w:val="both"/>
      </w:pPr>
      <w:r w:rsidRPr="009A539C">
        <w:t>Um número significativo de convenções prevê a existência de um processo individual dos trabalhadores e o tratamento de dados pessoais respetivos.</w:t>
      </w:r>
    </w:p>
    <w:p w14:paraId="22EBD2CB" w14:textId="77777777" w:rsidR="003A570A" w:rsidRPr="009A539C" w:rsidRDefault="003A570A" w:rsidP="00B90788">
      <w:pPr>
        <w:spacing w:line="360" w:lineRule="auto"/>
        <w:ind w:right="-1"/>
        <w:jc w:val="both"/>
      </w:pPr>
    </w:p>
    <w:p w14:paraId="2F776C2E" w14:textId="04BEBF2F" w:rsidR="00FB1E80" w:rsidRPr="001A1E81" w:rsidRDefault="00785B2A" w:rsidP="00343774">
      <w:pPr>
        <w:pStyle w:val="Legenda"/>
        <w:jc w:val="center"/>
        <w:rPr>
          <w:b w:val="0"/>
          <w:sz w:val="22"/>
          <w:szCs w:val="22"/>
        </w:rPr>
      </w:pPr>
      <w:bookmarkStart w:id="843" w:name="_Toc45716689"/>
      <w:r w:rsidRPr="001A1E81">
        <w:rPr>
          <w:b w:val="0"/>
          <w:sz w:val="22"/>
          <w:szCs w:val="22"/>
        </w:rPr>
        <w:t xml:space="preserve">Quadro </w:t>
      </w:r>
      <w:r w:rsidR="00942C57" w:rsidRPr="001A1E81">
        <w:rPr>
          <w:b w:val="0"/>
          <w:sz w:val="22"/>
          <w:szCs w:val="22"/>
        </w:rPr>
        <w:fldChar w:fldCharType="begin"/>
      </w:r>
      <w:r w:rsidR="00942C57" w:rsidRPr="001A1E81">
        <w:rPr>
          <w:b w:val="0"/>
          <w:sz w:val="22"/>
          <w:szCs w:val="22"/>
        </w:rPr>
        <w:instrText xml:space="preserve"> SEQ Quadro \* ARABIC </w:instrText>
      </w:r>
      <w:r w:rsidR="00942C57" w:rsidRPr="001A1E81">
        <w:rPr>
          <w:b w:val="0"/>
          <w:sz w:val="22"/>
          <w:szCs w:val="22"/>
        </w:rPr>
        <w:fldChar w:fldCharType="separate"/>
      </w:r>
      <w:r w:rsidR="00D821DE" w:rsidRPr="001A1E81">
        <w:rPr>
          <w:b w:val="0"/>
          <w:noProof/>
          <w:sz w:val="22"/>
          <w:szCs w:val="22"/>
        </w:rPr>
        <w:t>68</w:t>
      </w:r>
      <w:r w:rsidR="00942C57" w:rsidRPr="001A1E81">
        <w:rPr>
          <w:b w:val="0"/>
          <w:noProof/>
          <w:sz w:val="22"/>
          <w:szCs w:val="22"/>
        </w:rPr>
        <w:fldChar w:fldCharType="end"/>
      </w:r>
      <w:r w:rsidR="00FB1E80" w:rsidRPr="001A1E81">
        <w:rPr>
          <w:b w:val="0"/>
          <w:sz w:val="22"/>
          <w:szCs w:val="22"/>
        </w:rPr>
        <w:t xml:space="preserve"> - Proteção de dados pessoais e</w:t>
      </w:r>
      <w:r w:rsidR="00892976" w:rsidRPr="001A1E81">
        <w:rPr>
          <w:b w:val="0"/>
          <w:sz w:val="22"/>
          <w:szCs w:val="22"/>
        </w:rPr>
        <w:t>m Co</w:t>
      </w:r>
      <w:r w:rsidR="001A1E81">
        <w:rPr>
          <w:b w:val="0"/>
          <w:sz w:val="22"/>
          <w:szCs w:val="22"/>
        </w:rPr>
        <w:t>nvenções publicadas, por tipo (</w:t>
      </w:r>
      <w:r w:rsidR="00FB1E80" w:rsidRPr="001A1E81">
        <w:rPr>
          <w:b w:val="0"/>
          <w:sz w:val="22"/>
          <w:szCs w:val="22"/>
        </w:rPr>
        <w:t>2019</w:t>
      </w:r>
      <w:r w:rsidR="001A1E81">
        <w:rPr>
          <w:b w:val="0"/>
          <w:sz w:val="22"/>
          <w:szCs w:val="22"/>
        </w:rPr>
        <w:t>)</w:t>
      </w:r>
      <w:bookmarkEnd w:id="843"/>
    </w:p>
    <w:p w14:paraId="137DE520" w14:textId="77777777" w:rsidR="00FB1E80" w:rsidRPr="009A539C" w:rsidRDefault="00FB1E80" w:rsidP="00B90788">
      <w:pPr>
        <w:spacing w:line="360" w:lineRule="auto"/>
        <w:ind w:right="-1"/>
        <w:jc w:val="center"/>
      </w:pPr>
      <w:r w:rsidRPr="009A539C">
        <w:rPr>
          <w:noProof/>
          <w:lang w:eastAsia="pt-PT"/>
        </w:rPr>
        <w:drawing>
          <wp:inline distT="0" distB="0" distL="0" distR="0" wp14:anchorId="48673F9D" wp14:editId="3C004FF0">
            <wp:extent cx="6030595" cy="1489701"/>
            <wp:effectExtent l="0" t="0" r="0" b="0"/>
            <wp:docPr id="1225" name="Imagem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30595" cy="1489701"/>
                    </a:xfrm>
                    <a:prstGeom prst="rect">
                      <a:avLst/>
                    </a:prstGeom>
                    <a:noFill/>
                    <a:ln>
                      <a:noFill/>
                    </a:ln>
                  </pic:spPr>
                </pic:pic>
              </a:graphicData>
            </a:graphic>
          </wp:inline>
        </w:drawing>
      </w:r>
    </w:p>
    <w:p w14:paraId="5FCBA9E1" w14:textId="77777777" w:rsidR="00FB1E80" w:rsidRPr="009A539C" w:rsidRDefault="00FB1E80" w:rsidP="00B90788">
      <w:pPr>
        <w:spacing w:line="360" w:lineRule="auto"/>
        <w:ind w:right="-1"/>
        <w:jc w:val="center"/>
      </w:pPr>
    </w:p>
    <w:p w14:paraId="234111DA" w14:textId="77777777" w:rsidR="0072573F" w:rsidRPr="009A539C" w:rsidRDefault="005E7447" w:rsidP="00AF188D">
      <w:pPr>
        <w:pStyle w:val="PargrafodaLista"/>
        <w:numPr>
          <w:ilvl w:val="2"/>
          <w:numId w:val="50"/>
        </w:numPr>
        <w:spacing w:line="360" w:lineRule="auto"/>
        <w:ind w:left="851" w:right="-1"/>
        <w:jc w:val="both"/>
        <w:outlineLvl w:val="2"/>
        <w:rPr>
          <w:rFonts w:ascii="Calibri" w:hAnsi="Calibri" w:cs="Calibri"/>
          <w:b/>
        </w:rPr>
      </w:pPr>
      <w:bookmarkStart w:id="844" w:name="_Toc45535738"/>
      <w:r w:rsidRPr="009A539C">
        <w:rPr>
          <w:rFonts w:ascii="Calibri" w:hAnsi="Calibri" w:cs="Calibri"/>
          <w:b/>
        </w:rPr>
        <w:t>Novas tecnologias e relações de trabalho</w:t>
      </w:r>
      <w:bookmarkEnd w:id="844"/>
    </w:p>
    <w:p w14:paraId="5BBD50B2" w14:textId="77777777" w:rsidR="00B00168" w:rsidRPr="009A539C" w:rsidRDefault="00B00168" w:rsidP="00B00168">
      <w:pPr>
        <w:pStyle w:val="PargrafodaLista"/>
        <w:spacing w:line="360" w:lineRule="auto"/>
        <w:ind w:left="851" w:right="-1"/>
        <w:jc w:val="both"/>
        <w:outlineLvl w:val="2"/>
        <w:rPr>
          <w:rFonts w:ascii="Calibri" w:hAnsi="Calibri" w:cs="Calibri"/>
          <w:b/>
        </w:rPr>
      </w:pPr>
    </w:p>
    <w:p w14:paraId="3B174068" w14:textId="16E57D60" w:rsidR="00B00168" w:rsidRPr="009A539C" w:rsidRDefault="00B00168" w:rsidP="00336A0F">
      <w:pPr>
        <w:pStyle w:val="PargrafodaLista"/>
        <w:spacing w:line="360" w:lineRule="auto"/>
        <w:ind w:left="0" w:right="-1" w:firstLine="567"/>
        <w:jc w:val="both"/>
        <w:rPr>
          <w:rFonts w:ascii="Calibri" w:hAnsi="Calibri" w:cs="Calibri"/>
        </w:rPr>
      </w:pPr>
      <w:r w:rsidRPr="009A539C">
        <w:rPr>
          <w:rFonts w:ascii="Calibri" w:hAnsi="Calibri" w:cs="Calibri"/>
        </w:rPr>
        <w:t>Nos pontos seguintes aprofundaremos dois tópicos associados às relações do trabalho na era digital, cuja tradução no clausulado das convenções é, ainda, pouco frequente. Referimo-nos à figura do teletrabalho e ao direito à desconexão que associam novas tecnologias e relações de trabalho com incidência na organização do tempo de trabalho.</w:t>
      </w:r>
    </w:p>
    <w:p w14:paraId="060EA655" w14:textId="77777777" w:rsidR="00B00168" w:rsidRPr="009A539C" w:rsidRDefault="00B00168" w:rsidP="00336A0F">
      <w:pPr>
        <w:spacing w:line="360" w:lineRule="auto"/>
        <w:jc w:val="both"/>
      </w:pPr>
      <w:r w:rsidRPr="009A539C">
        <w:rPr>
          <w:rFonts w:ascii="Calibri" w:hAnsi="Calibri" w:cs="Calibri"/>
        </w:rPr>
        <w:t xml:space="preserve">Numa abordagem geral dos dois temas ( ver quadro 69) </w:t>
      </w:r>
      <w:r w:rsidRPr="009A539C">
        <w:t xml:space="preserve">verifica-se que a regulação do teletrabalho  consta de 12 convenções das quais 10 são primeiras convenções. Em termos de repartição setorial, localizam-se em três setores (industria, seguros, e alojamento e restauração) com predominância das convenções do setor segurador. </w:t>
      </w:r>
      <w:r w:rsidRPr="009A539C">
        <w:rPr>
          <w:rFonts w:ascii="Calibri" w:hAnsi="Calibri" w:cs="Calibri"/>
        </w:rPr>
        <w:t>Todos os instrumentos referenciados se assumem de âmbito nacional.</w:t>
      </w:r>
    </w:p>
    <w:p w14:paraId="7B0FC877" w14:textId="6451AE62" w:rsidR="00B00168" w:rsidRPr="009A539C" w:rsidRDefault="00B00168" w:rsidP="00336A0F">
      <w:pPr>
        <w:pStyle w:val="PargrafodaLista"/>
        <w:spacing w:line="360" w:lineRule="auto"/>
        <w:ind w:left="0" w:right="-1" w:firstLine="567"/>
        <w:jc w:val="both"/>
        <w:rPr>
          <w:rFonts w:ascii="Calibri" w:hAnsi="Calibri" w:cs="Calibri"/>
        </w:rPr>
      </w:pPr>
      <w:r w:rsidRPr="009A539C">
        <w:rPr>
          <w:rFonts w:ascii="Calibri" w:hAnsi="Calibri" w:cs="Calibri"/>
        </w:rPr>
        <w:t xml:space="preserve">Há ainda a particularidade das convenções que regulam o direito à desconexão, todas pertencentes ao setor segurador (K), abordarem, do mesmo passo, o regime de teletrabalho. Os dois institutos jurídicos têm como pressuposto a utilização das tecnologias de informação e comunicação, designada no caso do direito à desconexão como “ferramenta  digital” . Esta circunstância parece indiciar a existência de uma certa inter-relação das duas figuras onde o direito à desconexão reforça a importância de separação entre os tempos de trabalho e de não trabalho.  </w:t>
      </w:r>
    </w:p>
    <w:p w14:paraId="278A8946" w14:textId="77777777" w:rsidR="00B00168" w:rsidRPr="009A539C" w:rsidRDefault="00B00168" w:rsidP="00336A0F">
      <w:pPr>
        <w:pStyle w:val="PargrafodaLista"/>
        <w:spacing w:line="360" w:lineRule="auto"/>
        <w:ind w:left="0" w:right="-1"/>
        <w:jc w:val="both"/>
        <w:rPr>
          <w:rFonts w:ascii="Calibri" w:hAnsi="Calibri" w:cs="Calibri"/>
        </w:rPr>
      </w:pPr>
      <w:r w:rsidRPr="009A539C">
        <w:rPr>
          <w:rFonts w:ascii="Calibri" w:hAnsi="Calibri" w:cs="Calibri"/>
        </w:rPr>
        <w:t xml:space="preserve"> </w:t>
      </w:r>
    </w:p>
    <w:p w14:paraId="0B859D7A" w14:textId="7EBDCD00" w:rsidR="00343774" w:rsidRPr="009A539C" w:rsidRDefault="00B00168" w:rsidP="00B70B63">
      <w:pPr>
        <w:pStyle w:val="PargrafodaLista"/>
        <w:spacing w:line="360" w:lineRule="auto"/>
        <w:ind w:left="0" w:right="-1"/>
        <w:jc w:val="both"/>
        <w:rPr>
          <w:rFonts w:ascii="Calibri" w:hAnsi="Calibri" w:cs="Calibri"/>
        </w:rPr>
      </w:pPr>
      <w:r w:rsidRPr="009A539C">
        <w:rPr>
          <w:rFonts w:ascii="Calibri" w:hAnsi="Calibri" w:cs="Calibri"/>
        </w:rPr>
        <w:t>Por outro lado, os conteúdos são inovatórios em praticamente todas as convenções, apenas uma revisão global preserva a redação original desenhada anteriormente para o teletrabalho.</w:t>
      </w:r>
    </w:p>
    <w:p w14:paraId="151748F7" w14:textId="77777777" w:rsidR="00343774" w:rsidRPr="009A539C" w:rsidRDefault="00343774" w:rsidP="00336A0F"/>
    <w:p w14:paraId="1DF2DD45" w14:textId="50B649EA" w:rsidR="00B00168" w:rsidRPr="009A539C" w:rsidRDefault="00785B2A" w:rsidP="00343774">
      <w:pPr>
        <w:pStyle w:val="Legenda"/>
        <w:jc w:val="center"/>
        <w:rPr>
          <w:sz w:val="20"/>
          <w:szCs w:val="20"/>
        </w:rPr>
      </w:pPr>
      <w:bookmarkStart w:id="845" w:name="_Toc45716690"/>
      <w:r w:rsidRPr="009A539C">
        <w:t xml:space="preserve">Quadro </w:t>
      </w:r>
      <w:fldSimple w:instr=" SEQ Quadro \* ARABIC ">
        <w:r w:rsidR="00D821DE">
          <w:rPr>
            <w:noProof/>
          </w:rPr>
          <w:t>69</w:t>
        </w:r>
      </w:fldSimple>
      <w:r w:rsidR="00B00168" w:rsidRPr="009A539C">
        <w:rPr>
          <w:sz w:val="20"/>
          <w:szCs w:val="20"/>
        </w:rPr>
        <w:t xml:space="preserve"> - Novas tecnologias e relações de trabalho, em 2019</w:t>
      </w:r>
      <w:bookmarkEnd w:id="845"/>
    </w:p>
    <w:p w14:paraId="7075369E" w14:textId="68A812C9" w:rsidR="00B00168" w:rsidRPr="009A539C" w:rsidRDefault="00DB0E60" w:rsidP="00336A0F">
      <w:pPr>
        <w:pStyle w:val="Legenda"/>
        <w:spacing w:line="276" w:lineRule="auto"/>
        <w:ind w:right="-1"/>
        <w:jc w:val="center"/>
        <w:rPr>
          <w:color w:val="0070C0"/>
          <w:sz w:val="22"/>
          <w:szCs w:val="22"/>
        </w:rPr>
      </w:pPr>
      <w:r w:rsidRPr="009A539C">
        <w:rPr>
          <w:noProof/>
          <w:lang w:eastAsia="pt-PT"/>
        </w:rPr>
        <w:drawing>
          <wp:inline distT="0" distB="0" distL="0" distR="0" wp14:anchorId="282C4F70" wp14:editId="568370A7">
            <wp:extent cx="4505325" cy="5570525"/>
            <wp:effectExtent l="0" t="0" r="0" b="0"/>
            <wp:docPr id="1167" name="Imagem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05726" cy="5571021"/>
                    </a:xfrm>
                    <a:prstGeom prst="rect">
                      <a:avLst/>
                    </a:prstGeom>
                    <a:noFill/>
                    <a:ln>
                      <a:noFill/>
                    </a:ln>
                  </pic:spPr>
                </pic:pic>
              </a:graphicData>
            </a:graphic>
          </wp:inline>
        </w:drawing>
      </w:r>
    </w:p>
    <w:p w14:paraId="7904C1A1" w14:textId="77777777" w:rsidR="00343774" w:rsidRPr="009A539C" w:rsidRDefault="00343774" w:rsidP="005615AC">
      <w:pPr>
        <w:spacing w:line="360" w:lineRule="auto"/>
        <w:ind w:right="-1"/>
        <w:jc w:val="both"/>
        <w:outlineLvl w:val="2"/>
        <w:rPr>
          <w:rFonts w:ascii="Calibri" w:hAnsi="Calibri" w:cs="Calibri"/>
          <w:b/>
        </w:rPr>
      </w:pPr>
    </w:p>
    <w:p w14:paraId="1256AE5E" w14:textId="77777777" w:rsidR="00BA5A41" w:rsidRPr="009A539C" w:rsidRDefault="00BA5A41" w:rsidP="00BA5A41">
      <w:pPr>
        <w:pStyle w:val="PargrafodaLista"/>
        <w:spacing w:line="360" w:lineRule="auto"/>
        <w:ind w:left="851" w:right="-1"/>
        <w:jc w:val="both"/>
        <w:outlineLvl w:val="2"/>
        <w:rPr>
          <w:rFonts w:ascii="Calibri" w:hAnsi="Calibri" w:cs="Calibri"/>
          <w:b/>
        </w:rPr>
      </w:pPr>
    </w:p>
    <w:p w14:paraId="226BFB48" w14:textId="77777777" w:rsidR="0072573F" w:rsidRPr="009A539C" w:rsidRDefault="0072573F" w:rsidP="00AF188D">
      <w:pPr>
        <w:pStyle w:val="PargrafodaLista"/>
        <w:numPr>
          <w:ilvl w:val="3"/>
          <w:numId w:val="50"/>
        </w:numPr>
        <w:spacing w:line="360" w:lineRule="auto"/>
        <w:ind w:left="709" w:right="-1"/>
        <w:jc w:val="both"/>
        <w:outlineLvl w:val="3"/>
        <w:rPr>
          <w:rFonts w:ascii="Calibri" w:hAnsi="Calibri" w:cs="Calibri"/>
        </w:rPr>
      </w:pPr>
      <w:r w:rsidRPr="009A539C">
        <w:rPr>
          <w:rFonts w:ascii="Calibri" w:hAnsi="Calibri" w:cs="Calibri"/>
        </w:rPr>
        <w:t xml:space="preserve">  </w:t>
      </w:r>
      <w:bookmarkStart w:id="846" w:name="_Toc45535739"/>
      <w:r w:rsidRPr="009A539C">
        <w:rPr>
          <w:rFonts w:ascii="Calibri" w:hAnsi="Calibri" w:cs="Calibri"/>
        </w:rPr>
        <w:t>Teletrabalho</w:t>
      </w:r>
      <w:bookmarkEnd w:id="846"/>
    </w:p>
    <w:p w14:paraId="28E60CEC" w14:textId="26AB3094" w:rsidR="00E86FA0" w:rsidRPr="009A539C" w:rsidRDefault="002622B3" w:rsidP="00AF188D">
      <w:pPr>
        <w:numPr>
          <w:ilvl w:val="0"/>
          <w:numId w:val="59"/>
        </w:numPr>
        <w:spacing w:line="360" w:lineRule="auto"/>
        <w:ind w:left="0" w:firstLine="426"/>
        <w:jc w:val="both"/>
      </w:pPr>
      <w:r w:rsidRPr="009A539C">
        <w:t xml:space="preserve"> </w:t>
      </w:r>
      <w:r w:rsidR="00E86FA0" w:rsidRPr="009A539C">
        <w:t>O teletrabalho configura-se como uma das modalidades do contrato de trabalho e vem regulado nos artigos 165.º a 171.º, CT. O teletrabalho caracteriza-se por ser realizado normalmente fora da empresa e com recurso a tecnologias de informação e de comunicação (165ª). É, de outra parte, reconhecida a possibilidade de o teletrabalho ser regulado por instrumento de regulamentação coletiva, pelo que alguns instrumentos regulamentação coletiva disciplinam uma regulamentação própria.</w:t>
      </w:r>
      <w:r w:rsidR="00A47208" w:rsidRPr="009A539C">
        <w:t xml:space="preserve"> </w:t>
      </w:r>
    </w:p>
    <w:p w14:paraId="1C8A75C1" w14:textId="77777777" w:rsidR="00E86FA0" w:rsidRPr="009A539C" w:rsidRDefault="00E86FA0" w:rsidP="000C46F3">
      <w:pPr>
        <w:spacing w:line="360" w:lineRule="auto"/>
        <w:ind w:right="-1" w:firstLine="426"/>
        <w:jc w:val="both"/>
      </w:pPr>
      <w:r w:rsidRPr="009A539C">
        <w:t>Neste contexto, existem convenções coletivas que disciplinam os direitos e deveres das partes e as condições em que os trabalhadores podem requerer o teletrabalho</w:t>
      </w:r>
      <w:r w:rsidRPr="009A539C">
        <w:rPr>
          <w:vertAlign w:val="superscript"/>
        </w:rPr>
        <w:footnoteReference w:id="593"/>
      </w:r>
      <w:r w:rsidRPr="009A539C">
        <w:t xml:space="preserve"> ou o estabelecimento de preferências no acesso ao teletrabalho</w:t>
      </w:r>
      <w:r w:rsidRPr="009A539C">
        <w:rPr>
          <w:vertAlign w:val="superscript"/>
        </w:rPr>
        <w:footnoteReference w:id="594"/>
      </w:r>
      <w:r w:rsidRPr="009A539C">
        <w:t>, assim como a conciliação com a vida familiar e a parentalidade</w:t>
      </w:r>
      <w:r w:rsidRPr="009A539C">
        <w:rPr>
          <w:vertAlign w:val="superscript"/>
        </w:rPr>
        <w:footnoteReference w:id="595"/>
      </w:r>
      <w:r w:rsidRPr="009A539C">
        <w:t xml:space="preserve">, incluindo, nos critérios de  preferência o trabalhador  com funções de cuidador </w:t>
      </w:r>
      <w:r w:rsidRPr="009A539C">
        <w:rPr>
          <w:vertAlign w:val="superscript"/>
        </w:rPr>
        <w:footnoteReference w:id="596"/>
      </w:r>
      <w:r w:rsidRPr="009A539C">
        <w:t xml:space="preserve"> .</w:t>
      </w:r>
    </w:p>
    <w:p w14:paraId="06D4338D" w14:textId="3810EEDF" w:rsidR="00E86FA0" w:rsidRPr="009A539C" w:rsidRDefault="00E86FA0" w:rsidP="000C46F3">
      <w:pPr>
        <w:spacing w:line="360" w:lineRule="auto"/>
        <w:ind w:right="-1" w:firstLine="426"/>
        <w:jc w:val="both"/>
      </w:pPr>
      <w:r w:rsidRPr="009A539C">
        <w:t>No que toca à determinação do horário de trabalho  do teletrabalhador</w:t>
      </w:r>
      <w:r w:rsidR="00A47208" w:rsidRPr="009A539C">
        <w:t xml:space="preserve"> </w:t>
      </w:r>
      <w:r w:rsidRPr="009A539C">
        <w:t>as formulações são variadas. Ora se aplicam as regras do PNT previstas na convenção</w:t>
      </w:r>
      <w:r w:rsidRPr="009A539C">
        <w:rPr>
          <w:vertAlign w:val="superscript"/>
        </w:rPr>
        <w:footnoteReference w:id="597"/>
      </w:r>
      <w:r w:rsidRPr="009A539C">
        <w:t xml:space="preserve">; ora surge associado à isenção de horário de trabalho, como admite o art. art.218.º,1. c), CT </w:t>
      </w:r>
      <w:r w:rsidRPr="009A539C">
        <w:rPr>
          <w:vertAlign w:val="superscript"/>
        </w:rPr>
        <w:footnoteReference w:id="598"/>
      </w:r>
      <w:r w:rsidRPr="009A539C">
        <w:t>; ora se remete para o contrato de trabalho a definição do horário de trabalho, exigindo-se que exista registo  a reportar periodicamente à empresa</w:t>
      </w:r>
      <w:r w:rsidRPr="009A539C">
        <w:rPr>
          <w:vertAlign w:val="superscript"/>
        </w:rPr>
        <w:footnoteReference w:id="599"/>
      </w:r>
      <w:r w:rsidRPr="009A539C">
        <w:t xml:space="preserve">.  </w:t>
      </w:r>
    </w:p>
    <w:p w14:paraId="15CA51D0" w14:textId="77777777" w:rsidR="00E86FA0" w:rsidRPr="009A539C" w:rsidRDefault="00E86FA0" w:rsidP="000C46F3">
      <w:pPr>
        <w:spacing w:line="360" w:lineRule="auto"/>
        <w:ind w:right="-1" w:firstLine="426"/>
        <w:jc w:val="both"/>
      </w:pPr>
      <w:r w:rsidRPr="009A539C">
        <w:t>Entre o conteúdo regulado do teletrabalho destaca-se a previsão de teletrabalho flexível que corresponde à possibilidade de trabalho um dia por semana em regime de teletrabalho</w:t>
      </w:r>
      <w:r w:rsidRPr="009A539C">
        <w:rPr>
          <w:vertAlign w:val="superscript"/>
        </w:rPr>
        <w:footnoteReference w:id="600"/>
      </w:r>
      <w:r w:rsidRPr="009A539C">
        <w:t xml:space="preserve">, admitindo-se o alargamento desta modalidade de teletrabalho a todos os trabalhadores da empresa, mediante autorização do empregador. O modelo de alternância  entre trabalho a distância e presencial será definido por acordo, mas a empresa pode suspendê-lo, sempre que se justifique a presença do trabalhador nas instalações da empresa. Os detalhes da aplicação da figura são remetidos para regulamento interno da empresa. Existe um outro acordo de empresa que admite a modalidade de “teletrabalho parcial”, por contraposição a total, o que, presume-se,  envolve igualmente um modelo de alternância. </w:t>
      </w:r>
    </w:p>
    <w:p w14:paraId="0DB144C6" w14:textId="25FA9411" w:rsidR="00E86FA0" w:rsidRPr="009A539C" w:rsidRDefault="00E86FA0" w:rsidP="00AF188D">
      <w:pPr>
        <w:numPr>
          <w:ilvl w:val="0"/>
          <w:numId w:val="59"/>
        </w:numPr>
        <w:spacing w:line="360" w:lineRule="auto"/>
        <w:ind w:left="0" w:firstLine="426"/>
        <w:jc w:val="both"/>
      </w:pPr>
      <w:r w:rsidRPr="009A539C">
        <w:t>No plano formal, o Código do trabalho (art. 166ª,n.4) exige a celebração de contrato escrito de teletrabalho e identifica um conjunto de elementos a figurar nesse contrato. Encontra-se referencia a alguns aspetos indicados pela lei, por exemplo, o contrato deve fixar as atribuições, a  categoria, a remuneração</w:t>
      </w:r>
      <w:r w:rsidRPr="009A539C">
        <w:rPr>
          <w:vertAlign w:val="superscript"/>
        </w:rPr>
        <w:footnoteReference w:id="601"/>
      </w:r>
      <w:r w:rsidRPr="009A539C">
        <w:t xml:space="preserve">, assim como o estabelecimento  ou departamento  a </w:t>
      </w:r>
      <w:r w:rsidR="000C46F3" w:rsidRPr="009A539C">
        <w:t xml:space="preserve">que o trabalhador deve reportar </w:t>
      </w:r>
      <w:r w:rsidRPr="009A539C">
        <w:rPr>
          <w:vertAlign w:val="superscript"/>
        </w:rPr>
        <w:footnoteReference w:id="602"/>
      </w:r>
      <w:r w:rsidR="000C46F3" w:rsidRPr="009A539C">
        <w:t>.</w:t>
      </w:r>
    </w:p>
    <w:p w14:paraId="64A819D9" w14:textId="641424A2" w:rsidR="00E86FA0" w:rsidRPr="009A539C" w:rsidRDefault="00E86FA0" w:rsidP="000C46F3">
      <w:pPr>
        <w:spacing w:line="360" w:lineRule="auto"/>
        <w:ind w:right="-1" w:firstLine="284"/>
        <w:jc w:val="both"/>
      </w:pPr>
      <w:r w:rsidRPr="009A539C">
        <w:t>Quanto à execução do contrato de teletrabalho, é comum as convenções fixarem que o equipamento é propriedade do empregador,  que assegurará a respetiva instalação,  manutenção e o pagamento das inerentes despesas de consumo e utilização</w:t>
      </w:r>
      <w:r w:rsidRPr="009A539C">
        <w:rPr>
          <w:vertAlign w:val="superscript"/>
        </w:rPr>
        <w:t xml:space="preserve"> </w:t>
      </w:r>
      <w:r w:rsidRPr="009A539C">
        <w:rPr>
          <w:vertAlign w:val="superscript"/>
        </w:rPr>
        <w:footnoteReference w:id="603"/>
      </w:r>
      <w:r w:rsidRPr="009A539C">
        <w:t>. A possibilidade do empregador visitar o local de trabalho, está prevista numa convenção, com um horário entre as 10h00 e as 18h00 (enquanto o art. 170º,2, do CT, admite período mais alargado - 9.00H  - 19.00H)   e com comunicação prévia não inferior a 24 horas</w:t>
      </w:r>
      <w:r w:rsidRPr="009A539C">
        <w:rPr>
          <w:vertAlign w:val="superscript"/>
        </w:rPr>
        <w:footnoteReference w:id="604"/>
      </w:r>
      <w:r w:rsidR="00A47208" w:rsidRPr="009A539C">
        <w:t>. A preocupação</w:t>
      </w:r>
      <w:r w:rsidRPr="009A539C">
        <w:t xml:space="preserve"> de evitar os riscos de isolamento do </w:t>
      </w:r>
      <w:r w:rsidR="00A47208" w:rsidRPr="009A539C">
        <w:t xml:space="preserve">teletrabalhador </w:t>
      </w:r>
      <w:r w:rsidRPr="009A539C">
        <w:t>também está presente em duas situaçõe</w:t>
      </w:r>
      <w:r w:rsidR="00A47208" w:rsidRPr="009A539C">
        <w:t>s, devendo o empregador adotar</w:t>
      </w:r>
      <w:r w:rsidRPr="009A539C">
        <w:t xml:space="preserve"> medidas que promovam a sua presença periódica na empresa</w:t>
      </w:r>
      <w:r w:rsidRPr="009A539C">
        <w:rPr>
          <w:vertAlign w:val="superscript"/>
        </w:rPr>
        <w:footnoteReference w:id="605"/>
      </w:r>
      <w:r w:rsidRPr="009A539C">
        <w:t xml:space="preserve">   </w:t>
      </w:r>
    </w:p>
    <w:p w14:paraId="1FF48355" w14:textId="20C97D89" w:rsidR="00E86FA0" w:rsidRPr="009A539C" w:rsidRDefault="00E86FA0" w:rsidP="000C46F3">
      <w:pPr>
        <w:spacing w:line="360" w:lineRule="auto"/>
        <w:ind w:right="-1" w:firstLine="284"/>
        <w:jc w:val="both"/>
      </w:pPr>
      <w:r w:rsidRPr="009A539C">
        <w:t>A lei permite que a duração do contrato de teletrabalho seja fixada em IRCT ( art.167ª,1,CT). Neste domínio as formulações convencionais são variadas, umas estabelecem a duração do contrato de teletrabalho entre os 2</w:t>
      </w:r>
      <w:r w:rsidRPr="009A539C">
        <w:rPr>
          <w:vertAlign w:val="superscript"/>
        </w:rPr>
        <w:footnoteReference w:id="606"/>
      </w:r>
      <w:r w:rsidRPr="009A539C">
        <w:t xml:space="preserve">  e os 3, com a possibilidade de renovação anual se não for denunciado por uma  das partes, dentro do  pré-aviso estabelecido (30</w:t>
      </w:r>
      <w:r w:rsidRPr="009A539C">
        <w:rPr>
          <w:vertAlign w:val="superscript"/>
        </w:rPr>
        <w:footnoteReference w:id="607"/>
      </w:r>
      <w:r w:rsidRPr="009A539C">
        <w:t>, 60</w:t>
      </w:r>
      <w:r w:rsidRPr="009A539C">
        <w:rPr>
          <w:vertAlign w:val="superscript"/>
        </w:rPr>
        <w:footnoteReference w:id="608"/>
      </w:r>
      <w:r w:rsidR="00A47208" w:rsidRPr="009A539C">
        <w:t xml:space="preserve"> </w:t>
      </w:r>
      <w:r w:rsidRPr="009A539C">
        <w:t>ou 90 dias</w:t>
      </w:r>
      <w:r w:rsidRPr="009A539C">
        <w:rPr>
          <w:vertAlign w:val="superscript"/>
        </w:rPr>
        <w:footnoteReference w:id="609"/>
      </w:r>
      <w:r w:rsidRPr="009A539C">
        <w:rPr>
          <w:vertAlign w:val="superscript"/>
        </w:rPr>
        <w:footnoteReference w:id="610"/>
      </w:r>
      <w:r w:rsidRPr="009A539C">
        <w:t>), uma o</w:t>
      </w:r>
      <w:r w:rsidR="00A47208" w:rsidRPr="009A539C">
        <w:t>utra  determina  a duração do t</w:t>
      </w:r>
      <w:r w:rsidRPr="009A539C">
        <w:t>eletrabalho por  seis meses renovável at</w:t>
      </w:r>
      <w:r w:rsidR="00A47208" w:rsidRPr="009A539C">
        <w:t>é</w:t>
      </w:r>
      <w:r w:rsidRPr="009A539C">
        <w:t xml:space="preserve"> dois anos</w:t>
      </w:r>
      <w:r w:rsidRPr="009A539C">
        <w:rPr>
          <w:vertAlign w:val="superscript"/>
        </w:rPr>
        <w:footnoteReference w:id="611"/>
      </w:r>
      <w:r w:rsidRPr="009A539C">
        <w:t xml:space="preserve"> . </w:t>
      </w:r>
    </w:p>
    <w:p w14:paraId="100A49D9" w14:textId="6CE1B327" w:rsidR="0032160B" w:rsidRPr="009A539C" w:rsidRDefault="00E86FA0" w:rsidP="000C46F3">
      <w:pPr>
        <w:spacing w:line="360" w:lineRule="auto"/>
        <w:ind w:right="-1" w:firstLine="284"/>
        <w:jc w:val="both"/>
      </w:pPr>
      <w:r w:rsidRPr="009A539C">
        <w:t>Em caso de cessação do acordo que titula o regime de prestação de teletrabalho</w:t>
      </w:r>
      <w:r w:rsidR="00A47208" w:rsidRPr="009A539C">
        <w:t>,</w:t>
      </w:r>
      <w:r w:rsidRPr="009A539C">
        <w:t xml:space="preserve"> muitas das convenções reproduzem a lei, mas referem que “o trabalhador retomará as funções  anteriormente  exercidas ou outras compatíveis  com a atividade  contratada, salvo acordo escrito  em contrário e sem prejuízo das garantias  do trabalhador”</w:t>
      </w:r>
      <w:r w:rsidRPr="009A539C">
        <w:rPr>
          <w:vertAlign w:val="superscript"/>
        </w:rPr>
        <w:footnoteReference w:id="612"/>
      </w:r>
      <w:r w:rsidRPr="009A539C">
        <w:t xml:space="preserve"> ou a funções equivalentes às anteriormente exercidas, salvaguardando que o trabalhador não pode, por isso, ser prejudicado nos seus direitos e regalias (em consonância com o art. 167º, nº 3 do CT).</w:t>
      </w:r>
    </w:p>
    <w:p w14:paraId="291BA88C" w14:textId="77777777" w:rsidR="00D51144" w:rsidRPr="009A539C" w:rsidRDefault="00D51144" w:rsidP="001A6D8F">
      <w:pPr>
        <w:spacing w:line="360" w:lineRule="auto"/>
        <w:ind w:right="-1"/>
        <w:jc w:val="both"/>
        <w:rPr>
          <w:rFonts w:ascii="Calibri" w:hAnsi="Calibri" w:cs="Calibri"/>
        </w:rPr>
      </w:pPr>
    </w:p>
    <w:p w14:paraId="75BFB823" w14:textId="77777777" w:rsidR="0072573F" w:rsidRPr="009A539C" w:rsidRDefault="0072573F" w:rsidP="00AF188D">
      <w:pPr>
        <w:pStyle w:val="PargrafodaLista"/>
        <w:numPr>
          <w:ilvl w:val="3"/>
          <w:numId w:val="50"/>
        </w:numPr>
        <w:spacing w:line="360" w:lineRule="auto"/>
        <w:ind w:left="709" w:right="-1"/>
        <w:jc w:val="both"/>
        <w:outlineLvl w:val="3"/>
        <w:rPr>
          <w:rFonts w:ascii="Calibri" w:hAnsi="Calibri" w:cs="Calibri"/>
        </w:rPr>
      </w:pPr>
      <w:bookmarkStart w:id="847" w:name="_Toc45535740"/>
      <w:r w:rsidRPr="009A539C">
        <w:rPr>
          <w:rFonts w:ascii="Calibri" w:hAnsi="Calibri" w:cs="Calibri"/>
        </w:rPr>
        <w:t>Direito à desconexão</w:t>
      </w:r>
      <w:bookmarkEnd w:id="847"/>
    </w:p>
    <w:p w14:paraId="6CB56F98" w14:textId="77777777" w:rsidR="00E86FA0" w:rsidRPr="00B41016" w:rsidRDefault="00E86FA0" w:rsidP="000C46F3">
      <w:pPr>
        <w:spacing w:line="360" w:lineRule="auto"/>
        <w:ind w:right="-1" w:firstLine="426"/>
        <w:jc w:val="both"/>
      </w:pPr>
      <w:r w:rsidRPr="00B41016">
        <w:t>Verifica-se que o direito à desconexão surge associada aos tempos de não trabalho, i.e,, à garantia de descanso para o trabalhador</w:t>
      </w:r>
      <w:r w:rsidRPr="00B41016">
        <w:rPr>
          <w:rStyle w:val="Refdenotaderodap"/>
        </w:rPr>
        <w:footnoteReference w:id="613"/>
      </w:r>
      <w:r w:rsidRPr="00B41016">
        <w:t>. C</w:t>
      </w:r>
      <w:r w:rsidRPr="00B41016">
        <w:rPr>
          <w:rFonts w:eastAsia="Calibri" w:cstheme="minorHAnsi"/>
          <w:lang w:eastAsia="pt-PT"/>
        </w:rPr>
        <w:t xml:space="preserve">ontinua a consagrar-se a garantia do </w:t>
      </w:r>
      <w:r w:rsidRPr="00B41016">
        <w:rPr>
          <w:rFonts w:eastAsia="Times New Roman" w:cstheme="minorHAnsi"/>
          <w:lang w:eastAsia="pt-PT"/>
        </w:rPr>
        <w:t>direito do trabalhador à reserva da sua vida privada, projetado no respeito pela separação entre tempo de trabalho e os tempos de não trabalho. As seis formulações encontradas são diversificadas, mas reconduzem-se ao</w:t>
      </w:r>
      <w:r w:rsidRPr="00B41016">
        <w:rPr>
          <w:rFonts w:eastAsia="Calibri" w:cstheme="minorHAnsi"/>
          <w:lang w:eastAsia="pt-PT"/>
        </w:rPr>
        <w:t xml:space="preserve"> designado de direito à desconexão</w:t>
      </w:r>
      <w:r w:rsidRPr="00B41016">
        <w:rPr>
          <w:rFonts w:eastAsia="Times New Roman" w:cstheme="minorHAnsi"/>
          <w:vertAlign w:val="superscript"/>
          <w:lang w:eastAsia="pt-PT"/>
        </w:rPr>
        <w:footnoteReference w:id="614"/>
      </w:r>
      <w:r w:rsidRPr="00B41016">
        <w:rPr>
          <w:rFonts w:eastAsia="Times New Roman" w:cstheme="minorHAnsi"/>
          <w:lang w:eastAsia="pt-PT"/>
        </w:rPr>
        <w:t xml:space="preserve">. </w:t>
      </w:r>
      <w:r w:rsidRPr="00B41016">
        <w:rPr>
          <w:rFonts w:eastAsia="Calibri" w:cstheme="minorHAnsi"/>
          <w:lang w:eastAsia="pt-PT"/>
        </w:rPr>
        <w:t>Umas referem que o regime de</w:t>
      </w:r>
      <w:r w:rsidRPr="00B41016">
        <w:rPr>
          <w:rFonts w:eastAsia="Times New Roman" w:cstheme="minorHAnsi"/>
          <w:lang w:eastAsia="pt-PT"/>
        </w:rPr>
        <w:t xml:space="preserve"> utilização da ferramenta digital no âmbito da relação laboral será densificado por regulamento de empresa, devendo, em todo o caso, salvaguardar o direito ao descanso do trabalhador a par das exigências de funcionamento da empresa e da natureza das funções de cada trabalhador </w:t>
      </w:r>
      <w:r w:rsidRPr="00B41016">
        <w:rPr>
          <w:rFonts w:eastAsia="Calibri" w:cstheme="minorHAnsi"/>
          <w:vertAlign w:val="superscript"/>
          <w:lang w:eastAsia="pt-PT"/>
        </w:rPr>
        <w:footnoteReference w:id="615"/>
      </w:r>
      <w:r w:rsidRPr="00B41016">
        <w:rPr>
          <w:rFonts w:eastAsia="Times New Roman" w:cstheme="minorHAnsi"/>
          <w:lang w:eastAsia="pt-PT"/>
        </w:rPr>
        <w:t xml:space="preserve">  . </w:t>
      </w:r>
    </w:p>
    <w:p w14:paraId="0786FDA7" w14:textId="718B4E6C" w:rsidR="00E86FA0" w:rsidRPr="00B41016" w:rsidRDefault="00E86FA0" w:rsidP="000C46F3">
      <w:pPr>
        <w:spacing w:line="360" w:lineRule="auto"/>
        <w:ind w:right="-1" w:firstLine="284"/>
        <w:jc w:val="both"/>
      </w:pPr>
      <w:r w:rsidRPr="00B41016">
        <w:rPr>
          <w:rFonts w:eastAsia="Times New Roman" w:cstheme="minorHAnsi"/>
          <w:lang w:eastAsia="pt-PT"/>
        </w:rPr>
        <w:t>Outras referem que a utilização de ferramenta digital no âmbito da relação laboral cedida pela empresa não pode impedir o direito ao descanso consignado neste CCT e na lei, nomeadamente nos períodos de descanso entre jornadas, descanso semanal obrigatório, férias e dias feriados. Assim, só por exigência imperiosa, referente ao funcionamento da empresa, resultante de ocorrências externas imprevistas ou anomalias inesperadas no normal funcionamento daquela, é permitida a interrupção dos perí</w:t>
      </w:r>
      <w:r w:rsidR="005F7B83" w:rsidRPr="00B41016">
        <w:rPr>
          <w:rFonts w:eastAsia="Times New Roman" w:cstheme="minorHAnsi"/>
          <w:lang w:eastAsia="pt-PT"/>
        </w:rPr>
        <w:t>odos de descanso do trabalhador</w:t>
      </w:r>
      <w:r w:rsidRPr="00B41016">
        <w:rPr>
          <w:rFonts w:eastAsia="Times New Roman" w:cstheme="minorHAnsi"/>
          <w:lang w:eastAsia="pt-PT"/>
        </w:rPr>
        <w:t>”</w:t>
      </w:r>
      <w:r w:rsidRPr="00B41016">
        <w:t xml:space="preserve">  </w:t>
      </w:r>
      <w:r w:rsidRPr="00B41016">
        <w:rPr>
          <w:rStyle w:val="Refdenotaderodap"/>
        </w:rPr>
        <w:footnoteReference w:id="616"/>
      </w:r>
      <w:r w:rsidR="005F7B83" w:rsidRPr="00B41016">
        <w:t>.</w:t>
      </w:r>
    </w:p>
    <w:p w14:paraId="05CE0497" w14:textId="5D63AF78" w:rsidR="0032160B" w:rsidRPr="00B41016" w:rsidRDefault="0032160B" w:rsidP="00B90788">
      <w:pPr>
        <w:spacing w:line="360" w:lineRule="auto"/>
        <w:ind w:right="-1"/>
        <w:jc w:val="both"/>
        <w:rPr>
          <w:rFonts w:ascii="Calibri" w:hAnsi="Calibri" w:cs="Calibri"/>
        </w:rPr>
      </w:pPr>
    </w:p>
    <w:p w14:paraId="60945CAD" w14:textId="77777777" w:rsidR="00B41016" w:rsidRPr="009A539C" w:rsidRDefault="00B41016" w:rsidP="00B90788">
      <w:pPr>
        <w:spacing w:line="360" w:lineRule="auto"/>
        <w:ind w:right="-1"/>
        <w:jc w:val="both"/>
        <w:rPr>
          <w:rFonts w:ascii="Calibri" w:hAnsi="Calibri" w:cs="Calibri"/>
        </w:rPr>
      </w:pPr>
    </w:p>
    <w:p w14:paraId="39211D1E" w14:textId="77777777" w:rsidR="009D0CD2" w:rsidRPr="009A539C" w:rsidRDefault="009D0CD2" w:rsidP="00A95C56">
      <w:pPr>
        <w:pStyle w:val="PargrafodaLista"/>
        <w:numPr>
          <w:ilvl w:val="2"/>
          <w:numId w:val="12"/>
        </w:numPr>
        <w:spacing w:line="360" w:lineRule="auto"/>
        <w:ind w:right="-1"/>
        <w:jc w:val="both"/>
        <w:outlineLvl w:val="2"/>
        <w:rPr>
          <w:rFonts w:ascii="Calibri" w:hAnsi="Calibri" w:cs="Calibri"/>
          <w:b/>
        </w:rPr>
      </w:pPr>
      <w:bookmarkStart w:id="848" w:name="_Toc45535741"/>
      <w:r w:rsidRPr="009A539C">
        <w:rPr>
          <w:rFonts w:ascii="Calibri" w:hAnsi="Calibri" w:cs="Calibri"/>
          <w:b/>
        </w:rPr>
        <w:t>Avaliação de desempenho</w:t>
      </w:r>
      <w:bookmarkEnd w:id="848"/>
    </w:p>
    <w:p w14:paraId="4666D6A6" w14:textId="77777777" w:rsidR="00BB594D" w:rsidRPr="009A539C" w:rsidRDefault="00BB594D" w:rsidP="00AF188D">
      <w:pPr>
        <w:numPr>
          <w:ilvl w:val="0"/>
          <w:numId w:val="33"/>
        </w:numPr>
        <w:tabs>
          <w:tab w:val="left" w:pos="709"/>
        </w:tabs>
        <w:spacing w:after="0" w:line="360" w:lineRule="auto"/>
        <w:ind w:left="0" w:right="-1" w:firstLine="426"/>
        <w:jc w:val="both"/>
        <w:rPr>
          <w:rFonts w:ascii="Calibri" w:eastAsia="Calibri" w:hAnsi="Calibri" w:cs="Calibri"/>
          <w:lang w:eastAsia="pt-PT"/>
        </w:rPr>
      </w:pPr>
      <w:r w:rsidRPr="009A539C">
        <w:rPr>
          <w:rFonts w:ascii="Calibri" w:eastAsia="Calibri" w:hAnsi="Calibri" w:cs="Calibri"/>
          <w:lang w:eastAsia="pt-PT"/>
        </w:rPr>
        <w:t>Embora tradicionalmente considerada uma atribuição estritamente gestionária da entidade empregadora, a regulação da avaliação de desempenho tem vindo a ganhar o seu espaço no clausulado das convenções coletivas, em particular na negociação de âmbito empresarial (AE e AC).</w:t>
      </w:r>
    </w:p>
    <w:p w14:paraId="038A2E7D" w14:textId="6E73FE90" w:rsidR="00343774" w:rsidRPr="00B41016" w:rsidRDefault="00BB594D" w:rsidP="00B90788">
      <w:pPr>
        <w:tabs>
          <w:tab w:val="left" w:pos="851"/>
        </w:tabs>
        <w:spacing w:after="0" w:line="360" w:lineRule="auto"/>
        <w:ind w:right="-1"/>
        <w:jc w:val="both"/>
        <w:rPr>
          <w:rFonts w:ascii="Calibri" w:eastAsia="Calibri" w:hAnsi="Calibri" w:cs="Calibri"/>
          <w:lang w:eastAsia="pt-PT"/>
        </w:rPr>
      </w:pPr>
      <w:r w:rsidRPr="009A539C">
        <w:rPr>
          <w:rFonts w:ascii="Calibri" w:eastAsia="Calibri" w:hAnsi="Calibri" w:cs="Calibri"/>
          <w:lang w:eastAsia="pt-PT"/>
        </w:rPr>
        <w:t>No ano de 2019, a matéria foi regulada, essencialmente, em primeiras convenções (26 de 39), sobretudo de acordos de empresa, seguindo-se, em termos de frequência, os acordos coletivos. Estes dados, refletidos no quadro seguinte, parecem corroborar uma ligação estreita com a realidade empresarial subjacente à negociação coletiva</w:t>
      </w:r>
      <w:r w:rsidRPr="009A539C">
        <w:rPr>
          <w:rFonts w:ascii="Calibri" w:eastAsia="Calibri" w:hAnsi="Calibri" w:cs="Calibri"/>
          <w:vertAlign w:val="superscript"/>
          <w:lang w:eastAsia="pt-PT"/>
        </w:rPr>
        <w:footnoteReference w:id="617"/>
      </w:r>
      <w:r w:rsidR="00A47208" w:rsidRPr="009A539C">
        <w:rPr>
          <w:rFonts w:ascii="Calibri" w:eastAsia="Calibri" w:hAnsi="Calibri" w:cs="Calibri"/>
          <w:lang w:eastAsia="pt-PT"/>
        </w:rPr>
        <w:t>.</w:t>
      </w:r>
    </w:p>
    <w:p w14:paraId="6726257C" w14:textId="77777777" w:rsidR="00343774" w:rsidRPr="009A539C" w:rsidRDefault="00343774" w:rsidP="00B90788">
      <w:pPr>
        <w:tabs>
          <w:tab w:val="left" w:pos="851"/>
        </w:tabs>
        <w:spacing w:after="0" w:line="360" w:lineRule="auto"/>
        <w:ind w:right="-1"/>
        <w:jc w:val="both"/>
        <w:rPr>
          <w:rFonts w:ascii="Calibri" w:eastAsia="Calibri" w:hAnsi="Calibri" w:cs="Calibri"/>
          <w:sz w:val="20"/>
          <w:szCs w:val="20"/>
          <w:lang w:eastAsia="pt-PT"/>
        </w:rPr>
      </w:pPr>
    </w:p>
    <w:p w14:paraId="784C0254" w14:textId="5EB866AE" w:rsidR="00BB594D" w:rsidRPr="006029D5" w:rsidRDefault="00D93F24" w:rsidP="00343774">
      <w:pPr>
        <w:pStyle w:val="Legenda"/>
        <w:jc w:val="center"/>
        <w:rPr>
          <w:b w:val="0"/>
          <w:bCs w:val="0"/>
          <w:sz w:val="22"/>
          <w:szCs w:val="22"/>
        </w:rPr>
      </w:pPr>
      <w:bookmarkStart w:id="849" w:name="_Toc45716691"/>
      <w:r w:rsidRPr="006029D5">
        <w:rPr>
          <w:b w:val="0"/>
          <w:sz w:val="22"/>
          <w:szCs w:val="22"/>
        </w:rPr>
        <w:t xml:space="preserve">Quadro </w:t>
      </w:r>
      <w:r w:rsidR="00942C57" w:rsidRPr="006029D5">
        <w:rPr>
          <w:b w:val="0"/>
          <w:sz w:val="22"/>
          <w:szCs w:val="22"/>
        </w:rPr>
        <w:fldChar w:fldCharType="begin"/>
      </w:r>
      <w:r w:rsidR="00942C57" w:rsidRPr="006029D5">
        <w:rPr>
          <w:b w:val="0"/>
          <w:sz w:val="22"/>
          <w:szCs w:val="22"/>
        </w:rPr>
        <w:instrText xml:space="preserve"> SEQ Quadro \* ARABIC </w:instrText>
      </w:r>
      <w:r w:rsidR="00942C57" w:rsidRPr="006029D5">
        <w:rPr>
          <w:b w:val="0"/>
          <w:sz w:val="22"/>
          <w:szCs w:val="22"/>
        </w:rPr>
        <w:fldChar w:fldCharType="separate"/>
      </w:r>
      <w:r w:rsidR="00D821DE" w:rsidRPr="006029D5">
        <w:rPr>
          <w:b w:val="0"/>
          <w:noProof/>
          <w:sz w:val="22"/>
          <w:szCs w:val="22"/>
        </w:rPr>
        <w:t>70</w:t>
      </w:r>
      <w:r w:rsidR="00942C57" w:rsidRPr="006029D5">
        <w:rPr>
          <w:b w:val="0"/>
          <w:noProof/>
          <w:sz w:val="22"/>
          <w:szCs w:val="22"/>
        </w:rPr>
        <w:fldChar w:fldCharType="end"/>
      </w:r>
      <w:r w:rsidR="00BB594D" w:rsidRPr="006029D5">
        <w:rPr>
          <w:b w:val="0"/>
          <w:bCs w:val="0"/>
          <w:sz w:val="22"/>
          <w:szCs w:val="22"/>
        </w:rPr>
        <w:t xml:space="preserve"> - Avaliação de desempenho (2019-2018)</w:t>
      </w:r>
      <w:bookmarkEnd w:id="849"/>
    </w:p>
    <w:p w14:paraId="17025897" w14:textId="77777777" w:rsidR="00BB594D" w:rsidRPr="009A539C" w:rsidRDefault="00BB594D" w:rsidP="00B90788">
      <w:pPr>
        <w:spacing w:after="0" w:line="240" w:lineRule="auto"/>
        <w:ind w:right="-1"/>
        <w:rPr>
          <w:rFonts w:cs="Times New Roman"/>
          <w:color w:val="00000A"/>
        </w:rPr>
      </w:pPr>
    </w:p>
    <w:p w14:paraId="500D46F0" w14:textId="77777777" w:rsidR="00BB594D" w:rsidRPr="009A539C" w:rsidRDefault="00BB594D" w:rsidP="00B90788">
      <w:pPr>
        <w:spacing w:after="0" w:line="240" w:lineRule="auto"/>
        <w:ind w:right="-1"/>
        <w:jc w:val="center"/>
        <w:rPr>
          <w:rFonts w:cs="Times New Roman"/>
          <w:color w:val="00000A"/>
        </w:rPr>
      </w:pPr>
      <w:r w:rsidRPr="009A539C">
        <w:rPr>
          <w:rFonts w:cs="Times New Roman"/>
          <w:noProof/>
          <w:color w:val="00000A"/>
          <w:lang w:eastAsia="pt-PT"/>
        </w:rPr>
        <w:drawing>
          <wp:inline distT="0" distB="0" distL="0" distR="0" wp14:anchorId="3BD3FFC5" wp14:editId="4F080AB9">
            <wp:extent cx="3553352" cy="1645920"/>
            <wp:effectExtent l="0" t="0" r="0" b="0"/>
            <wp:docPr id="1166" name="Imagem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555684" cy="1647000"/>
                    </a:xfrm>
                    <a:prstGeom prst="rect">
                      <a:avLst/>
                    </a:prstGeom>
                    <a:noFill/>
                    <a:ln>
                      <a:noFill/>
                    </a:ln>
                  </pic:spPr>
                </pic:pic>
              </a:graphicData>
            </a:graphic>
          </wp:inline>
        </w:drawing>
      </w:r>
    </w:p>
    <w:p w14:paraId="286733DD" w14:textId="77777777" w:rsidR="00BB594D" w:rsidRPr="009A539C" w:rsidRDefault="00BB594D" w:rsidP="00B90788">
      <w:pPr>
        <w:tabs>
          <w:tab w:val="left" w:pos="851"/>
        </w:tabs>
        <w:spacing w:after="0" w:line="240" w:lineRule="atLeast"/>
        <w:ind w:right="-1"/>
        <w:rPr>
          <w:rFonts w:ascii="Calibri" w:eastAsia="Calibri" w:hAnsi="Calibri" w:cs="Calibri"/>
          <w:sz w:val="23"/>
          <w:szCs w:val="23"/>
          <w:lang w:eastAsia="pt-PT"/>
        </w:rPr>
      </w:pPr>
    </w:p>
    <w:p w14:paraId="1A3D747D" w14:textId="77777777" w:rsidR="00BB594D" w:rsidRPr="009A539C" w:rsidRDefault="00BB594D" w:rsidP="00B90788">
      <w:pPr>
        <w:tabs>
          <w:tab w:val="left" w:pos="851"/>
        </w:tabs>
        <w:spacing w:after="0" w:line="360" w:lineRule="auto"/>
        <w:ind w:right="-1"/>
        <w:jc w:val="both"/>
        <w:rPr>
          <w:rFonts w:ascii="Calibri" w:eastAsia="Calibri" w:hAnsi="Calibri" w:cs="Calibri"/>
          <w:b/>
          <w:sz w:val="23"/>
          <w:szCs w:val="23"/>
          <w:lang w:eastAsia="pt-PT"/>
        </w:rPr>
      </w:pPr>
    </w:p>
    <w:p w14:paraId="42AA92A9" w14:textId="3FC2A823" w:rsidR="00BB594D" w:rsidRPr="009A539C" w:rsidRDefault="00BB594D" w:rsidP="00B41016">
      <w:pPr>
        <w:tabs>
          <w:tab w:val="left" w:pos="709"/>
        </w:tabs>
        <w:spacing w:after="0" w:line="360" w:lineRule="auto"/>
        <w:ind w:right="-1" w:firstLine="426"/>
        <w:jc w:val="both"/>
        <w:rPr>
          <w:rFonts w:ascii="Calibri" w:eastAsia="Calibri" w:hAnsi="Calibri" w:cs="Calibri"/>
          <w:lang w:eastAsia="pt-PT"/>
        </w:rPr>
      </w:pPr>
      <w:r w:rsidRPr="009A539C">
        <w:rPr>
          <w:rFonts w:eastAsia="Calibri" w:cstheme="minorHAnsi"/>
          <w:lang w:eastAsia="pt-PT"/>
        </w:rPr>
        <w:t>À semelhança do relatado no relatório anterior, quant</w:t>
      </w:r>
      <w:r w:rsidR="00254F8D" w:rsidRPr="009A539C">
        <w:rPr>
          <w:rFonts w:eastAsia="Calibri" w:cstheme="minorHAnsi"/>
          <w:lang w:eastAsia="pt-PT"/>
        </w:rPr>
        <w:t xml:space="preserve">o a 2018, em 2019 encontram-se </w:t>
      </w:r>
      <w:r w:rsidRPr="009A539C">
        <w:rPr>
          <w:rFonts w:eastAsia="Calibri" w:cstheme="minorHAnsi"/>
          <w:lang w:eastAsia="pt-PT"/>
        </w:rPr>
        <w:t xml:space="preserve">modelos de </w:t>
      </w:r>
      <w:r w:rsidRPr="009A539C">
        <w:rPr>
          <w:rFonts w:ascii="Calibri" w:eastAsia="Calibri" w:hAnsi="Calibri" w:cs="Calibri"/>
          <w:lang w:eastAsia="pt-PT"/>
        </w:rPr>
        <w:t>avaliação de desempenho</w:t>
      </w:r>
      <w:r w:rsidRPr="009A539C">
        <w:rPr>
          <w:rFonts w:eastAsia="Calibri" w:cstheme="minorHAnsi"/>
          <w:lang w:eastAsia="pt-PT"/>
        </w:rPr>
        <w:t xml:space="preserve"> diversificados,</w:t>
      </w:r>
      <w:r w:rsidRPr="009A539C">
        <w:rPr>
          <w:rFonts w:ascii="Calibri" w:eastAsia="Calibri" w:hAnsi="Calibri" w:cs="Calibri"/>
          <w:lang w:eastAsia="pt-PT"/>
        </w:rPr>
        <w:t xml:space="preserve">  apesar de  ser notória uma certa afinidade entre setores de atividade. Em todo o caso, e apesar da dificuldade em sistematizar as linhas de força dos sistemas de avaliação de desempenho </w:t>
      </w:r>
      <w:r w:rsidR="002C2015" w:rsidRPr="009A539C">
        <w:rPr>
          <w:rFonts w:ascii="Calibri" w:eastAsia="Calibri" w:hAnsi="Calibri" w:cs="Calibri"/>
          <w:lang w:eastAsia="pt-PT"/>
        </w:rPr>
        <w:t>reportados</w:t>
      </w:r>
      <w:r w:rsidRPr="009A539C">
        <w:rPr>
          <w:rFonts w:ascii="Calibri" w:eastAsia="Calibri" w:hAnsi="Calibri" w:cs="Calibri"/>
          <w:lang w:eastAsia="pt-PT"/>
        </w:rPr>
        <w:t xml:space="preserve">, no essencial, vislumbram-se três grandes </w:t>
      </w:r>
      <w:r w:rsidR="00254F8D" w:rsidRPr="009A539C">
        <w:rPr>
          <w:rFonts w:ascii="Calibri" w:eastAsia="Calibri" w:hAnsi="Calibri" w:cs="Calibri"/>
          <w:lang w:eastAsia="pt-PT"/>
        </w:rPr>
        <w:t xml:space="preserve">eixos </w:t>
      </w:r>
      <w:r w:rsidRPr="009A539C">
        <w:rPr>
          <w:rFonts w:ascii="Calibri" w:eastAsia="Calibri" w:hAnsi="Calibri" w:cs="Calibri"/>
          <w:lang w:eastAsia="pt-PT"/>
        </w:rPr>
        <w:t>de abordagem:</w:t>
      </w:r>
    </w:p>
    <w:p w14:paraId="24C94087" w14:textId="77777777" w:rsidR="00BB594D" w:rsidRPr="009A539C" w:rsidRDefault="00BB594D" w:rsidP="00B90788">
      <w:pPr>
        <w:tabs>
          <w:tab w:val="left" w:pos="709"/>
        </w:tabs>
        <w:spacing w:after="0" w:line="360" w:lineRule="auto"/>
        <w:ind w:right="-1"/>
        <w:jc w:val="both"/>
        <w:rPr>
          <w:rFonts w:ascii="Calibri" w:eastAsia="Calibri" w:hAnsi="Calibri" w:cs="Calibri"/>
          <w:lang w:eastAsia="pt-PT"/>
        </w:rPr>
      </w:pPr>
      <w:r w:rsidRPr="009A539C">
        <w:rPr>
          <w:rFonts w:eastAsia="Calibri" w:cstheme="minorHAnsi"/>
          <w:lang w:eastAsia="pt-PT"/>
        </w:rPr>
        <w:t xml:space="preserve"> </w:t>
      </w:r>
      <w:r w:rsidRPr="009A539C">
        <w:rPr>
          <w:rFonts w:ascii="Calibri" w:eastAsia="Calibri" w:hAnsi="Calibri" w:cs="Calibri"/>
          <w:lang w:eastAsia="pt-PT"/>
        </w:rPr>
        <w:t xml:space="preserve">  </w:t>
      </w:r>
    </w:p>
    <w:p w14:paraId="57BD3A6E" w14:textId="77777777" w:rsidR="00BB594D" w:rsidRPr="009A539C" w:rsidRDefault="00BB594D" w:rsidP="00AF188D">
      <w:pPr>
        <w:numPr>
          <w:ilvl w:val="0"/>
          <w:numId w:val="32"/>
        </w:numPr>
        <w:tabs>
          <w:tab w:val="left" w:pos="851"/>
        </w:tabs>
        <w:spacing w:after="0" w:line="360" w:lineRule="auto"/>
        <w:ind w:right="-1"/>
        <w:jc w:val="both"/>
        <w:rPr>
          <w:rFonts w:ascii="Calibri" w:eastAsia="Calibri" w:hAnsi="Calibri" w:cstheme="minorHAnsi"/>
          <w:lang w:eastAsia="pt-PT"/>
        </w:rPr>
      </w:pPr>
      <w:r w:rsidRPr="009A539C">
        <w:rPr>
          <w:rFonts w:ascii="Calibri" w:eastAsia="Calibri" w:hAnsi="Calibri" w:cstheme="minorHAnsi"/>
          <w:lang w:eastAsia="pt-PT"/>
        </w:rPr>
        <w:t>a convenção prevê somente a  existência de um regime de avaliação de desempenho</w:t>
      </w:r>
      <w:r w:rsidRPr="009A539C">
        <w:rPr>
          <w:rFonts w:ascii="Calibri" w:hAnsi="Calibri" w:cstheme="minorHAnsi"/>
          <w:vertAlign w:val="superscript"/>
          <w:lang w:eastAsia="pt-PT"/>
        </w:rPr>
        <w:footnoteReference w:id="618"/>
      </w:r>
      <w:r w:rsidRPr="009A539C">
        <w:rPr>
          <w:rFonts w:ascii="Calibri" w:eastAsia="Calibri" w:hAnsi="Calibri" w:cstheme="minorHAnsi"/>
          <w:lang w:eastAsia="pt-PT"/>
        </w:rPr>
        <w:t>;</w:t>
      </w:r>
    </w:p>
    <w:p w14:paraId="1177816E" w14:textId="77777777" w:rsidR="00BB594D" w:rsidRPr="009A539C" w:rsidRDefault="00BB594D" w:rsidP="00AF188D">
      <w:pPr>
        <w:numPr>
          <w:ilvl w:val="0"/>
          <w:numId w:val="32"/>
        </w:numPr>
        <w:tabs>
          <w:tab w:val="left" w:pos="851"/>
        </w:tabs>
        <w:spacing w:after="0" w:line="360" w:lineRule="auto"/>
        <w:ind w:right="-1"/>
        <w:jc w:val="both"/>
        <w:rPr>
          <w:rFonts w:ascii="Calibri" w:eastAsia="Calibri" w:hAnsi="Calibri" w:cstheme="minorHAnsi"/>
          <w:lang w:eastAsia="pt-PT"/>
        </w:rPr>
      </w:pPr>
      <w:r w:rsidRPr="009A539C">
        <w:rPr>
          <w:rFonts w:ascii="Calibri" w:eastAsia="Calibri" w:hAnsi="Calibri" w:cstheme="minorHAnsi"/>
          <w:lang w:eastAsia="pt-PT"/>
        </w:rPr>
        <w:t>a convenção determina a existência de um regime, abrangendo certas normas fundamentais e remetendo para o empregador o ato de  o regulamentar</w:t>
      </w:r>
      <w:r w:rsidRPr="009A539C">
        <w:rPr>
          <w:rFonts w:ascii="Calibri" w:eastAsia="Calibri" w:hAnsi="Calibri" w:cstheme="minorHAnsi"/>
          <w:vertAlign w:val="superscript"/>
          <w:lang w:eastAsia="pt-PT"/>
        </w:rPr>
        <w:footnoteReference w:id="619"/>
      </w:r>
      <w:r w:rsidRPr="009A539C">
        <w:rPr>
          <w:rFonts w:ascii="Calibri" w:eastAsia="Calibri" w:hAnsi="Calibri" w:cstheme="minorHAnsi"/>
          <w:lang w:eastAsia="pt-PT"/>
        </w:rPr>
        <w:t>;</w:t>
      </w:r>
    </w:p>
    <w:p w14:paraId="30AD08EB" w14:textId="29B92FD7" w:rsidR="00BB594D" w:rsidRPr="009A539C" w:rsidRDefault="00BB594D" w:rsidP="00AF188D">
      <w:pPr>
        <w:numPr>
          <w:ilvl w:val="0"/>
          <w:numId w:val="32"/>
        </w:numPr>
        <w:tabs>
          <w:tab w:val="left" w:pos="851"/>
        </w:tabs>
        <w:spacing w:after="0" w:line="360" w:lineRule="auto"/>
        <w:ind w:right="-1"/>
        <w:jc w:val="both"/>
        <w:rPr>
          <w:rFonts w:ascii="Calibri" w:eastAsia="Calibri" w:hAnsi="Calibri" w:cs="Calibri"/>
          <w:lang w:eastAsia="pt-PT"/>
        </w:rPr>
      </w:pPr>
      <w:r w:rsidRPr="009A539C">
        <w:rPr>
          <w:rFonts w:ascii="Calibri" w:eastAsia="Calibri" w:hAnsi="Calibri" w:cs="Calibri"/>
          <w:lang w:eastAsia="pt-PT"/>
        </w:rPr>
        <w:t>a convenção regula meticulosamente o regime de avaliação de desempenho, em regra</w:t>
      </w:r>
      <w:r w:rsidR="002C2015" w:rsidRPr="009A539C">
        <w:rPr>
          <w:rFonts w:ascii="Calibri" w:eastAsia="Calibri" w:hAnsi="Calibri" w:cs="Calibri"/>
          <w:lang w:eastAsia="pt-PT"/>
        </w:rPr>
        <w:t>,</w:t>
      </w:r>
      <w:r w:rsidRPr="009A539C">
        <w:rPr>
          <w:rFonts w:ascii="Calibri" w:eastAsia="Calibri" w:hAnsi="Calibri" w:cs="Calibri"/>
          <w:lang w:eastAsia="pt-PT"/>
        </w:rPr>
        <w:t xml:space="preserve"> através de desenvolvimento de previsão geral no clausulado em regulamento anexo</w:t>
      </w:r>
      <w:r w:rsidRPr="009A539C">
        <w:rPr>
          <w:rFonts w:ascii="Calibri" w:eastAsia="Calibri" w:hAnsi="Calibri" w:cs="Calibri"/>
          <w:vertAlign w:val="superscript"/>
          <w:lang w:eastAsia="pt-PT"/>
        </w:rPr>
        <w:footnoteReference w:id="620"/>
      </w:r>
      <w:r w:rsidRPr="009A539C">
        <w:rPr>
          <w:rFonts w:ascii="Calibri" w:eastAsia="Calibri" w:hAnsi="Calibri" w:cs="Calibri"/>
          <w:lang w:eastAsia="pt-PT"/>
        </w:rPr>
        <w:t>.</w:t>
      </w:r>
    </w:p>
    <w:p w14:paraId="793BDC6F" w14:textId="77777777" w:rsidR="00BB594D" w:rsidRPr="009A539C" w:rsidRDefault="00BB594D" w:rsidP="00B90788">
      <w:pPr>
        <w:tabs>
          <w:tab w:val="left" w:pos="851"/>
        </w:tabs>
        <w:spacing w:after="0"/>
        <w:ind w:right="-1"/>
        <w:jc w:val="both"/>
        <w:rPr>
          <w:rFonts w:ascii="Calibri" w:eastAsia="Calibri" w:hAnsi="Calibri" w:cs="Calibri"/>
          <w:sz w:val="23"/>
          <w:szCs w:val="23"/>
          <w:lang w:eastAsia="pt-PT"/>
        </w:rPr>
      </w:pPr>
    </w:p>
    <w:p w14:paraId="08848FF4" w14:textId="77777777" w:rsidR="00BB594D" w:rsidRPr="009A539C" w:rsidRDefault="00BB594D" w:rsidP="00B90788">
      <w:pPr>
        <w:tabs>
          <w:tab w:val="left" w:pos="851"/>
        </w:tabs>
        <w:spacing w:after="0" w:line="360" w:lineRule="auto"/>
        <w:ind w:right="-1" w:firstLine="426"/>
        <w:jc w:val="both"/>
        <w:rPr>
          <w:rFonts w:cs="Times New Roman"/>
          <w:color w:val="00000A"/>
          <w:sz w:val="18"/>
          <w:szCs w:val="18"/>
        </w:rPr>
      </w:pPr>
      <w:r w:rsidRPr="009A539C">
        <w:rPr>
          <w:rFonts w:eastAsia="Calibri" w:cstheme="minorHAnsi"/>
          <w:lang w:eastAsia="pt-PT"/>
        </w:rPr>
        <w:t>Observa-se, ainda, uma outra variante traduzida na regulação do desenvolvimento profissional do trabalhador, sem a configuração de um regime de avaliação de desempenho, que é, em todo o caso, pressuposto</w:t>
      </w:r>
      <w:r w:rsidRPr="009A539C">
        <w:rPr>
          <w:rFonts w:eastAsia="Calibri" w:cstheme="minorHAnsi"/>
          <w:vertAlign w:val="superscript"/>
          <w:lang w:eastAsia="pt-PT"/>
        </w:rPr>
        <w:t xml:space="preserve"> </w:t>
      </w:r>
      <w:r w:rsidRPr="009A539C">
        <w:rPr>
          <w:rFonts w:eastAsia="Calibri" w:cstheme="minorHAnsi"/>
          <w:vertAlign w:val="superscript"/>
          <w:lang w:eastAsia="pt-PT"/>
        </w:rPr>
        <w:footnoteReference w:id="621"/>
      </w:r>
      <w:r w:rsidRPr="009A539C">
        <w:rPr>
          <w:rFonts w:eastAsia="Calibri" w:cstheme="minorHAnsi"/>
          <w:lang w:eastAsia="pt-PT"/>
        </w:rPr>
        <w:t xml:space="preserve">. </w:t>
      </w:r>
    </w:p>
    <w:p w14:paraId="60934068" w14:textId="77777777" w:rsidR="00BB594D" w:rsidRPr="009A539C" w:rsidRDefault="00BB594D" w:rsidP="00B90788">
      <w:pPr>
        <w:tabs>
          <w:tab w:val="left" w:pos="851"/>
        </w:tabs>
        <w:spacing w:after="0" w:line="360" w:lineRule="auto"/>
        <w:ind w:right="-1" w:firstLine="426"/>
        <w:jc w:val="both"/>
        <w:rPr>
          <w:rFonts w:eastAsia="Calibri" w:cstheme="minorHAnsi"/>
          <w:lang w:eastAsia="pt-PT"/>
        </w:rPr>
      </w:pPr>
      <w:r w:rsidRPr="009A539C">
        <w:rPr>
          <w:rFonts w:eastAsia="Calibri" w:cstheme="minorHAnsi"/>
          <w:lang w:eastAsia="pt-PT"/>
        </w:rPr>
        <w:t>Por outro lado, na larga maioria das convenções (34 em 39 convenções) continua a ocorrer a formal conexão da avaliação de desempenho com as regras sobre progressões e promoções</w:t>
      </w:r>
      <w:r w:rsidRPr="009A539C">
        <w:rPr>
          <w:rFonts w:eastAsia="Calibri" w:cstheme="minorHAnsi"/>
          <w:vertAlign w:val="superscript"/>
          <w:lang w:eastAsia="pt-PT"/>
        </w:rPr>
        <w:footnoteReference w:id="622"/>
      </w:r>
      <w:r w:rsidRPr="009A539C">
        <w:rPr>
          <w:rFonts w:eastAsia="Calibri" w:cstheme="minorHAnsi"/>
          <w:lang w:eastAsia="pt-PT"/>
        </w:rPr>
        <w:t>. Nalguns casos a abordagem da avaliação de desempenho</w:t>
      </w:r>
      <w:r w:rsidRPr="009A539C">
        <w:rPr>
          <w:rFonts w:eastAsia="Calibri" w:cstheme="minorHAnsi"/>
          <w:vertAlign w:val="superscript"/>
          <w:lang w:eastAsia="pt-PT"/>
        </w:rPr>
        <w:footnoteReference w:id="623"/>
      </w:r>
      <w:r w:rsidRPr="009A539C">
        <w:rPr>
          <w:rFonts w:eastAsia="Calibri" w:cstheme="minorHAnsi"/>
          <w:lang w:eastAsia="pt-PT"/>
        </w:rPr>
        <w:t xml:space="preserve"> é elementar mas é percetível a sua conexão com aquelas regras. Em contrapartida, tal relação não está presente quando a convenção ou remete o desenho do regime de avaliação para ato de gestão ou regulamento da empresa </w:t>
      </w:r>
      <w:r w:rsidRPr="009A539C">
        <w:rPr>
          <w:rFonts w:eastAsia="Calibri" w:cstheme="minorHAnsi"/>
          <w:vertAlign w:val="superscript"/>
          <w:lang w:eastAsia="pt-PT"/>
        </w:rPr>
        <w:footnoteReference w:id="624"/>
      </w:r>
      <w:r w:rsidRPr="009A539C">
        <w:rPr>
          <w:rFonts w:eastAsia="Calibri" w:cstheme="minorHAnsi"/>
          <w:lang w:eastAsia="pt-PT"/>
        </w:rPr>
        <w:t xml:space="preserve"> ou  manda aplicar  o regime dos trabalhadores em funções públicas</w:t>
      </w:r>
      <w:r w:rsidRPr="009A539C">
        <w:rPr>
          <w:rFonts w:eastAsia="Calibri" w:cstheme="minorHAnsi"/>
          <w:vertAlign w:val="superscript"/>
          <w:lang w:eastAsia="pt-PT"/>
        </w:rPr>
        <w:footnoteReference w:id="625"/>
      </w:r>
      <w:r w:rsidRPr="009A539C">
        <w:rPr>
          <w:rFonts w:eastAsia="Calibri" w:cstheme="minorHAnsi"/>
          <w:lang w:eastAsia="pt-PT"/>
        </w:rPr>
        <w:t xml:space="preserve">.  </w:t>
      </w:r>
    </w:p>
    <w:p w14:paraId="0C1ABB8A" w14:textId="4C8B20FE" w:rsidR="00BB594D" w:rsidRPr="009A539C" w:rsidRDefault="00BB594D" w:rsidP="00B90788">
      <w:pPr>
        <w:tabs>
          <w:tab w:val="left" w:pos="851"/>
        </w:tabs>
        <w:spacing w:after="0" w:line="360" w:lineRule="auto"/>
        <w:ind w:right="-1"/>
        <w:jc w:val="both"/>
        <w:rPr>
          <w:rFonts w:eastAsia="Calibri" w:cstheme="minorHAnsi"/>
          <w:lang w:eastAsia="pt-PT"/>
        </w:rPr>
      </w:pPr>
      <w:r w:rsidRPr="009A539C">
        <w:rPr>
          <w:rFonts w:eastAsia="Calibri" w:cstheme="minorHAnsi"/>
          <w:lang w:eastAsia="pt-PT"/>
        </w:rPr>
        <w:t>Em sentido inverso, a disciplina de progressões e promoções constante das convenções nem sempre está relacionada, de forma explícita, com os regimes de avaliação. Em 2019, há 3</w:t>
      </w:r>
      <w:r w:rsidR="00B269E9" w:rsidRPr="009A539C">
        <w:rPr>
          <w:rFonts w:eastAsia="Calibri" w:cstheme="minorHAnsi"/>
          <w:lang w:eastAsia="pt-PT"/>
        </w:rPr>
        <w:t>7</w:t>
      </w:r>
      <w:r w:rsidRPr="009A539C">
        <w:rPr>
          <w:rFonts w:eastAsia="Calibri" w:cstheme="minorHAnsi"/>
          <w:lang w:eastAsia="pt-PT"/>
        </w:rPr>
        <w:t xml:space="preserve"> convenções (em 7</w:t>
      </w:r>
      <w:r w:rsidR="00B269E9" w:rsidRPr="009A539C">
        <w:rPr>
          <w:rFonts w:eastAsia="Calibri" w:cstheme="minorHAnsi"/>
          <w:lang w:eastAsia="pt-PT"/>
        </w:rPr>
        <w:t>6</w:t>
      </w:r>
      <w:r w:rsidRPr="009A539C">
        <w:rPr>
          <w:rFonts w:eastAsia="Calibri" w:cstheme="minorHAnsi"/>
          <w:lang w:eastAsia="pt-PT"/>
        </w:rPr>
        <w:t>) que abordam a matéria sem regular, em simultâneo, o regime de avaliação de desempenho</w:t>
      </w:r>
      <w:r w:rsidRPr="009A539C">
        <w:rPr>
          <w:rFonts w:eastAsia="Calibri" w:cstheme="minorHAnsi"/>
          <w:vertAlign w:val="superscript"/>
          <w:lang w:eastAsia="pt-PT"/>
        </w:rPr>
        <w:footnoteReference w:id="626"/>
      </w:r>
      <w:r w:rsidRPr="009A539C">
        <w:rPr>
          <w:rFonts w:eastAsia="Calibri" w:cstheme="minorHAnsi"/>
          <w:lang w:eastAsia="pt-PT"/>
        </w:rPr>
        <w:t>. Nestes casos os critérios relevantes poderão ser a antiguidade (ou tempo de serviço)</w:t>
      </w:r>
      <w:r w:rsidRPr="009A539C">
        <w:rPr>
          <w:rFonts w:eastAsia="Calibri" w:cstheme="minorHAnsi"/>
          <w:vertAlign w:val="superscript"/>
          <w:lang w:eastAsia="pt-PT"/>
        </w:rPr>
        <w:footnoteReference w:id="627"/>
      </w:r>
      <w:r w:rsidRPr="009A539C">
        <w:rPr>
          <w:rFonts w:eastAsia="Calibri" w:cstheme="minorHAnsi"/>
          <w:lang w:eastAsia="pt-PT"/>
        </w:rPr>
        <w:t xml:space="preserve">  e /ou procedimento concursal</w:t>
      </w:r>
      <w:r w:rsidRPr="009A539C">
        <w:rPr>
          <w:rFonts w:eastAsia="Calibri" w:cstheme="minorHAnsi"/>
          <w:vertAlign w:val="superscript"/>
          <w:lang w:eastAsia="pt-PT"/>
        </w:rPr>
        <w:footnoteReference w:id="628"/>
      </w:r>
      <w:r w:rsidRPr="009A539C">
        <w:rPr>
          <w:rFonts w:eastAsia="Calibri" w:cstheme="minorHAnsi"/>
          <w:lang w:eastAsia="pt-PT"/>
        </w:rPr>
        <w:t>.</w:t>
      </w:r>
    </w:p>
    <w:p w14:paraId="789943DE" w14:textId="77777777" w:rsidR="00BB594D" w:rsidRPr="009A539C" w:rsidRDefault="00BB594D" w:rsidP="00B90788">
      <w:pPr>
        <w:tabs>
          <w:tab w:val="left" w:pos="851"/>
        </w:tabs>
        <w:spacing w:after="0" w:line="360" w:lineRule="auto"/>
        <w:ind w:right="-1" w:firstLine="426"/>
        <w:jc w:val="both"/>
        <w:rPr>
          <w:rFonts w:eastAsia="Calibri" w:cstheme="minorHAnsi"/>
          <w:lang w:eastAsia="pt-PT"/>
        </w:rPr>
      </w:pPr>
    </w:p>
    <w:p w14:paraId="2ACD9855" w14:textId="77777777" w:rsidR="00BB594D" w:rsidRPr="009A539C" w:rsidRDefault="00BB594D" w:rsidP="00B90788">
      <w:pPr>
        <w:tabs>
          <w:tab w:val="left" w:pos="851"/>
        </w:tabs>
        <w:spacing w:after="0" w:line="360" w:lineRule="auto"/>
        <w:ind w:right="-1"/>
        <w:jc w:val="both"/>
        <w:rPr>
          <w:rFonts w:eastAsia="Calibri" w:cstheme="minorHAnsi"/>
          <w:lang w:eastAsia="pt-PT"/>
        </w:rPr>
      </w:pPr>
    </w:p>
    <w:p w14:paraId="2C59B1F2" w14:textId="77777777" w:rsidR="00BB594D" w:rsidRPr="009A539C" w:rsidRDefault="00BB594D" w:rsidP="00B90788">
      <w:pPr>
        <w:tabs>
          <w:tab w:val="left" w:pos="709"/>
        </w:tabs>
        <w:spacing w:after="0" w:line="360" w:lineRule="auto"/>
        <w:ind w:right="-1" w:firstLine="426"/>
        <w:jc w:val="both"/>
        <w:rPr>
          <w:rFonts w:eastAsia="Calibri" w:cstheme="minorHAnsi"/>
          <w:lang w:eastAsia="pt-PT"/>
        </w:rPr>
      </w:pPr>
      <w:r w:rsidRPr="009A539C">
        <w:rPr>
          <w:rFonts w:eastAsia="Calibri" w:cstheme="minorHAnsi"/>
          <w:b/>
          <w:lang w:eastAsia="pt-PT"/>
        </w:rPr>
        <w:t>III.</w:t>
      </w:r>
      <w:r w:rsidRPr="009A539C">
        <w:rPr>
          <w:rFonts w:eastAsia="Calibri" w:cstheme="minorHAnsi"/>
          <w:lang w:eastAsia="pt-PT"/>
        </w:rPr>
        <w:t xml:space="preserve">  Retomando o tópico da avaliação de desempenho, verifica-se, com alguma regularidade, o tratamento das matérias enunciadas de seguida:</w:t>
      </w:r>
    </w:p>
    <w:p w14:paraId="080C6C2E" w14:textId="77777777" w:rsidR="00BB594D" w:rsidRPr="009A539C" w:rsidRDefault="00BB594D" w:rsidP="00AF188D">
      <w:pPr>
        <w:numPr>
          <w:ilvl w:val="0"/>
          <w:numId w:val="31"/>
        </w:numPr>
        <w:tabs>
          <w:tab w:val="left" w:pos="851"/>
        </w:tabs>
        <w:spacing w:after="0" w:line="360" w:lineRule="auto"/>
        <w:ind w:right="-1"/>
        <w:jc w:val="both"/>
        <w:rPr>
          <w:rFonts w:ascii="Calibri" w:eastAsia="Calibri" w:hAnsi="Calibri" w:cstheme="minorHAnsi"/>
          <w:lang w:eastAsia="pt-PT"/>
        </w:rPr>
      </w:pPr>
      <w:r w:rsidRPr="009A539C">
        <w:rPr>
          <w:rFonts w:ascii="Calibri" w:eastAsia="Calibri" w:hAnsi="Calibri" w:cstheme="minorHAnsi"/>
          <w:lang w:eastAsia="pt-PT"/>
        </w:rPr>
        <w:t>previsão de certa intermitência, sendo na maioria das vezes anual</w:t>
      </w:r>
      <w:r w:rsidRPr="009A539C">
        <w:rPr>
          <w:rFonts w:ascii="Calibri" w:eastAsia="Calibri" w:hAnsi="Calibri" w:cstheme="minorHAnsi"/>
          <w:vertAlign w:val="superscript"/>
          <w:lang w:eastAsia="pt-PT"/>
        </w:rPr>
        <w:footnoteReference w:id="629"/>
      </w:r>
    </w:p>
    <w:p w14:paraId="5F9EDD54" w14:textId="77777777" w:rsidR="00BB594D" w:rsidRPr="009A539C" w:rsidRDefault="00BB594D" w:rsidP="00AF188D">
      <w:pPr>
        <w:numPr>
          <w:ilvl w:val="0"/>
          <w:numId w:val="31"/>
        </w:numPr>
        <w:tabs>
          <w:tab w:val="left" w:pos="851"/>
        </w:tabs>
        <w:spacing w:after="0" w:line="360" w:lineRule="auto"/>
        <w:ind w:right="-1"/>
        <w:jc w:val="both"/>
        <w:rPr>
          <w:rFonts w:ascii="Calibri" w:eastAsia="Calibri" w:hAnsi="Calibri" w:cstheme="minorHAnsi"/>
          <w:lang w:eastAsia="pt-PT"/>
        </w:rPr>
      </w:pPr>
      <w:r w:rsidRPr="009A539C">
        <w:rPr>
          <w:rFonts w:ascii="Calibri" w:eastAsia="Calibri" w:hAnsi="Calibri" w:cstheme="minorHAnsi"/>
          <w:lang w:eastAsia="pt-PT"/>
        </w:rPr>
        <w:t>definição de critérios de avaliação</w:t>
      </w:r>
      <w:r w:rsidRPr="009A539C">
        <w:rPr>
          <w:rFonts w:ascii="Calibri" w:hAnsi="Calibri" w:cstheme="minorHAnsi"/>
          <w:vertAlign w:val="superscript"/>
          <w:lang w:eastAsia="pt-PT"/>
        </w:rPr>
        <w:footnoteReference w:id="630"/>
      </w:r>
      <w:r w:rsidRPr="009A539C">
        <w:rPr>
          <w:rFonts w:ascii="Calibri" w:eastAsia="Calibri" w:hAnsi="Calibri" w:cstheme="minorHAnsi"/>
          <w:lang w:eastAsia="pt-PT"/>
        </w:rPr>
        <w:t>;</w:t>
      </w:r>
    </w:p>
    <w:p w14:paraId="6C9DB754" w14:textId="77777777" w:rsidR="00BB594D" w:rsidRPr="009A539C" w:rsidRDefault="00BB594D" w:rsidP="00AF188D">
      <w:pPr>
        <w:numPr>
          <w:ilvl w:val="0"/>
          <w:numId w:val="31"/>
        </w:numPr>
        <w:tabs>
          <w:tab w:val="left" w:pos="851"/>
        </w:tabs>
        <w:spacing w:after="0" w:line="360" w:lineRule="auto"/>
        <w:ind w:left="714" w:right="-1" w:hanging="357"/>
        <w:jc w:val="both"/>
        <w:rPr>
          <w:rFonts w:ascii="Calibri" w:eastAsia="Calibri" w:hAnsi="Calibri" w:cstheme="minorHAnsi"/>
          <w:lang w:eastAsia="pt-PT"/>
        </w:rPr>
      </w:pPr>
      <w:r w:rsidRPr="009A539C">
        <w:rPr>
          <w:rFonts w:ascii="Calibri" w:eastAsia="Calibri" w:hAnsi="Calibri" w:cstheme="minorHAnsi"/>
          <w:sz w:val="24"/>
          <w:lang w:eastAsia="pt-PT"/>
        </w:rPr>
        <w:t xml:space="preserve"> </w:t>
      </w:r>
      <w:r w:rsidRPr="009A539C">
        <w:rPr>
          <w:rFonts w:ascii="Calibri" w:eastAsia="Calibri" w:hAnsi="Calibri" w:cstheme="minorHAnsi"/>
          <w:lang w:eastAsia="pt-PT"/>
        </w:rPr>
        <w:t>conhecimento prévio pelo trabalhador dos  seus objetivos individuais</w:t>
      </w:r>
      <w:r w:rsidRPr="009A539C">
        <w:rPr>
          <w:rFonts w:ascii="Calibri" w:hAnsi="Calibri" w:cstheme="minorHAnsi"/>
          <w:vertAlign w:val="superscript"/>
          <w:lang w:eastAsia="pt-PT"/>
        </w:rPr>
        <w:footnoteReference w:id="631"/>
      </w:r>
      <w:r w:rsidRPr="009A539C">
        <w:rPr>
          <w:rFonts w:ascii="Calibri" w:eastAsia="Calibri" w:hAnsi="Calibri" w:cstheme="minorHAnsi"/>
          <w:lang w:eastAsia="pt-PT"/>
        </w:rPr>
        <w:t>;</w:t>
      </w:r>
    </w:p>
    <w:p w14:paraId="798F0D38" w14:textId="77777777" w:rsidR="00BB594D" w:rsidRPr="009A539C" w:rsidRDefault="00BB594D" w:rsidP="00AF188D">
      <w:pPr>
        <w:numPr>
          <w:ilvl w:val="0"/>
          <w:numId w:val="31"/>
        </w:numPr>
        <w:tabs>
          <w:tab w:val="left" w:pos="851"/>
        </w:tabs>
        <w:spacing w:after="0" w:line="360" w:lineRule="auto"/>
        <w:ind w:left="714" w:right="-1" w:hanging="357"/>
        <w:jc w:val="both"/>
        <w:rPr>
          <w:rFonts w:ascii="Calibri" w:eastAsia="Calibri" w:hAnsi="Calibri" w:cstheme="minorHAnsi"/>
          <w:lang w:eastAsia="pt-PT"/>
        </w:rPr>
      </w:pPr>
      <w:r w:rsidRPr="009A539C">
        <w:rPr>
          <w:rFonts w:ascii="Calibri" w:eastAsia="Calibri" w:hAnsi="Calibri" w:cstheme="minorHAnsi"/>
          <w:lang w:eastAsia="pt-PT"/>
        </w:rPr>
        <w:t xml:space="preserve"> obrigatoriedade por parte do empregador de realizar, uma vez por ano, reunião de avaliação com o trabalhador</w:t>
      </w:r>
      <w:r w:rsidRPr="009A539C">
        <w:rPr>
          <w:rFonts w:ascii="Calibri" w:hAnsi="Calibri" w:cstheme="minorHAnsi"/>
          <w:vertAlign w:val="superscript"/>
          <w:lang w:eastAsia="pt-PT"/>
        </w:rPr>
        <w:footnoteReference w:id="632"/>
      </w:r>
      <w:r w:rsidRPr="009A539C">
        <w:rPr>
          <w:rFonts w:ascii="Calibri" w:eastAsia="Calibri" w:hAnsi="Calibri" w:cstheme="minorHAnsi"/>
          <w:lang w:eastAsia="pt-PT"/>
        </w:rPr>
        <w:t>;</w:t>
      </w:r>
    </w:p>
    <w:p w14:paraId="7FFB1959" w14:textId="77777777" w:rsidR="00BB594D" w:rsidRPr="009A539C" w:rsidRDefault="00BB594D" w:rsidP="00AF188D">
      <w:pPr>
        <w:numPr>
          <w:ilvl w:val="0"/>
          <w:numId w:val="31"/>
        </w:numPr>
        <w:tabs>
          <w:tab w:val="left" w:pos="851"/>
        </w:tabs>
        <w:spacing w:after="0" w:line="360" w:lineRule="auto"/>
        <w:ind w:left="714" w:right="-1" w:hanging="357"/>
        <w:jc w:val="both"/>
        <w:rPr>
          <w:rFonts w:ascii="Calibri" w:eastAsia="Calibri" w:hAnsi="Calibri" w:cstheme="minorHAnsi"/>
          <w:lang w:eastAsia="pt-PT"/>
        </w:rPr>
      </w:pPr>
      <w:r w:rsidRPr="009A539C">
        <w:rPr>
          <w:rFonts w:ascii="Calibri" w:eastAsia="Calibri" w:hAnsi="Calibri" w:cstheme="minorHAnsi"/>
          <w:lang w:eastAsia="pt-PT"/>
        </w:rPr>
        <w:t>reconhecimento do direito de reclamação do trabalhador e/ou estabelecimento de uma instância de recurso</w:t>
      </w:r>
      <w:r w:rsidRPr="009A539C">
        <w:rPr>
          <w:rFonts w:ascii="Calibri" w:hAnsi="Calibri" w:cstheme="minorHAnsi"/>
          <w:vertAlign w:val="superscript"/>
          <w:lang w:eastAsia="pt-PT"/>
        </w:rPr>
        <w:footnoteReference w:id="633"/>
      </w:r>
      <w:r w:rsidRPr="009A539C">
        <w:rPr>
          <w:rFonts w:ascii="Calibri" w:eastAsia="Calibri" w:hAnsi="Calibri" w:cstheme="minorHAnsi"/>
          <w:lang w:eastAsia="pt-PT"/>
        </w:rPr>
        <w:t>;</w:t>
      </w:r>
    </w:p>
    <w:p w14:paraId="5F085CD9" w14:textId="77777777" w:rsidR="00BB594D" w:rsidRPr="009A539C" w:rsidRDefault="00BB594D" w:rsidP="00AF188D">
      <w:pPr>
        <w:numPr>
          <w:ilvl w:val="0"/>
          <w:numId w:val="31"/>
        </w:numPr>
        <w:tabs>
          <w:tab w:val="left" w:pos="851"/>
        </w:tabs>
        <w:spacing w:after="0" w:line="360" w:lineRule="auto"/>
        <w:ind w:left="714" w:right="-1" w:hanging="357"/>
        <w:jc w:val="both"/>
        <w:rPr>
          <w:rFonts w:ascii="Calibri" w:eastAsia="Calibri" w:hAnsi="Calibri" w:cstheme="minorHAnsi"/>
          <w:lang w:eastAsia="pt-PT"/>
        </w:rPr>
      </w:pPr>
      <w:r w:rsidRPr="009A539C">
        <w:rPr>
          <w:rFonts w:ascii="Calibri" w:eastAsia="Calibri" w:hAnsi="Calibri" w:cstheme="minorHAnsi"/>
          <w:lang w:eastAsia="pt-PT"/>
        </w:rPr>
        <w:t>participação das estruturas de representação coletiva dos trabalhadores (através de emissão de parecer em caso de reclamação</w:t>
      </w:r>
      <w:r w:rsidRPr="009A539C">
        <w:rPr>
          <w:rFonts w:ascii="Calibri" w:hAnsi="Calibri" w:cstheme="minorHAnsi"/>
          <w:vertAlign w:val="superscript"/>
          <w:lang w:eastAsia="pt-PT"/>
        </w:rPr>
        <w:footnoteReference w:id="634"/>
      </w:r>
      <w:r w:rsidRPr="009A539C">
        <w:rPr>
          <w:rFonts w:ascii="Calibri" w:eastAsia="Calibri" w:hAnsi="Calibri" w:cstheme="minorHAnsi"/>
          <w:lang w:eastAsia="pt-PT"/>
        </w:rPr>
        <w:t>, na auscultação da aprovação das normas regulamentares</w:t>
      </w:r>
      <w:r w:rsidRPr="009A539C">
        <w:rPr>
          <w:rFonts w:ascii="Calibri" w:hAnsi="Calibri" w:cstheme="minorHAnsi"/>
          <w:vertAlign w:val="superscript"/>
          <w:lang w:eastAsia="pt-PT"/>
        </w:rPr>
        <w:footnoteReference w:id="635"/>
      </w:r>
      <w:r w:rsidRPr="009A539C">
        <w:rPr>
          <w:rFonts w:ascii="Calibri" w:eastAsia="Calibri" w:hAnsi="Calibri" w:cstheme="minorHAnsi"/>
          <w:lang w:eastAsia="pt-PT"/>
        </w:rPr>
        <w:t xml:space="preserve"> ou de participação na instância de recurso</w:t>
      </w:r>
      <w:r w:rsidRPr="009A539C">
        <w:rPr>
          <w:rFonts w:ascii="Calibri" w:hAnsi="Calibri" w:cstheme="minorHAnsi"/>
          <w:vertAlign w:val="superscript"/>
          <w:lang w:eastAsia="pt-PT"/>
        </w:rPr>
        <w:footnoteReference w:id="636"/>
      </w:r>
      <w:r w:rsidRPr="009A539C">
        <w:rPr>
          <w:rFonts w:ascii="Calibri" w:eastAsia="Calibri" w:hAnsi="Calibri" w:cstheme="minorHAnsi"/>
          <w:lang w:eastAsia="pt-PT"/>
        </w:rPr>
        <w:t>).</w:t>
      </w:r>
    </w:p>
    <w:p w14:paraId="1F92A337" w14:textId="77777777" w:rsidR="008B0CBB" w:rsidRPr="009A539C" w:rsidRDefault="008B0CBB" w:rsidP="008B0CBB">
      <w:pPr>
        <w:tabs>
          <w:tab w:val="left" w:pos="851"/>
        </w:tabs>
        <w:spacing w:after="0" w:line="360" w:lineRule="auto"/>
        <w:ind w:right="-1"/>
        <w:jc w:val="both"/>
        <w:rPr>
          <w:rFonts w:ascii="Calibri" w:eastAsia="Calibri" w:hAnsi="Calibri" w:cstheme="minorHAnsi"/>
          <w:lang w:eastAsia="pt-PT"/>
        </w:rPr>
      </w:pPr>
    </w:p>
    <w:p w14:paraId="670EC43D" w14:textId="77777777" w:rsidR="008B0CBB" w:rsidRPr="009A539C" w:rsidRDefault="008B0CBB" w:rsidP="008B0CBB">
      <w:pPr>
        <w:tabs>
          <w:tab w:val="left" w:pos="851"/>
        </w:tabs>
        <w:spacing w:after="0" w:line="360" w:lineRule="auto"/>
        <w:ind w:right="-1"/>
        <w:jc w:val="both"/>
        <w:rPr>
          <w:rFonts w:ascii="Calibri" w:eastAsia="Calibri" w:hAnsi="Calibri" w:cstheme="minorHAnsi"/>
          <w:lang w:eastAsia="pt-PT"/>
        </w:rPr>
      </w:pPr>
    </w:p>
    <w:p w14:paraId="173FA46E" w14:textId="77777777" w:rsidR="009D0CD2" w:rsidRPr="009A539C" w:rsidRDefault="005E7447" w:rsidP="00AF188D">
      <w:pPr>
        <w:pStyle w:val="PargrafodaLista"/>
        <w:numPr>
          <w:ilvl w:val="2"/>
          <w:numId w:val="57"/>
        </w:numPr>
        <w:spacing w:line="360" w:lineRule="auto"/>
        <w:ind w:right="-1"/>
        <w:jc w:val="both"/>
        <w:outlineLvl w:val="2"/>
        <w:rPr>
          <w:rFonts w:ascii="Calibri" w:hAnsi="Calibri" w:cs="Calibri"/>
          <w:b/>
          <w:sz w:val="24"/>
          <w:szCs w:val="24"/>
        </w:rPr>
      </w:pPr>
      <w:r w:rsidRPr="009A539C">
        <w:rPr>
          <w:rFonts w:ascii="Calibri" w:hAnsi="Calibri" w:cs="Calibri"/>
          <w:b/>
          <w:sz w:val="24"/>
          <w:szCs w:val="24"/>
        </w:rPr>
        <w:t> </w:t>
      </w:r>
      <w:bookmarkStart w:id="851" w:name="_Toc45535742"/>
      <w:r w:rsidR="009D0CD2" w:rsidRPr="009A539C">
        <w:rPr>
          <w:rFonts w:ascii="Calibri" w:hAnsi="Calibri" w:cs="Calibri"/>
          <w:b/>
          <w:sz w:val="24"/>
          <w:szCs w:val="24"/>
        </w:rPr>
        <w:t>Direitos das estruturas representativas dos trabalhadores</w:t>
      </w:r>
      <w:bookmarkEnd w:id="851"/>
    </w:p>
    <w:p w14:paraId="7F93BC8A" w14:textId="77777777" w:rsidR="004C204B" w:rsidRPr="009A539C" w:rsidRDefault="004C204B" w:rsidP="00B90788">
      <w:pPr>
        <w:pStyle w:val="PargrafodaLista"/>
        <w:ind w:right="-1"/>
        <w:jc w:val="both"/>
        <w:rPr>
          <w:rFonts w:ascii="Calibri" w:hAnsi="Calibri" w:cs="Calibri"/>
        </w:rPr>
      </w:pPr>
    </w:p>
    <w:p w14:paraId="60966C9D" w14:textId="3F009B5A" w:rsidR="00607F04" w:rsidRPr="009A539C" w:rsidRDefault="00607F04" w:rsidP="00A95C56">
      <w:pPr>
        <w:pStyle w:val="PargrafodaLista"/>
        <w:numPr>
          <w:ilvl w:val="0"/>
          <w:numId w:val="17"/>
        </w:numPr>
        <w:tabs>
          <w:tab w:val="left" w:pos="851"/>
        </w:tabs>
        <w:spacing w:before="240" w:after="0" w:line="360" w:lineRule="auto"/>
        <w:ind w:left="0" w:right="-1" w:firstLine="425"/>
        <w:contextualSpacing w:val="0"/>
        <w:jc w:val="both"/>
      </w:pPr>
      <w:r w:rsidRPr="009A539C">
        <w:t xml:space="preserve">O </w:t>
      </w:r>
      <w:r w:rsidR="004C204B" w:rsidRPr="009A539C">
        <w:t>Código do Trabalho, para além de estabelecer o estatuto geral das estruturas de representação coletiva dos trabalhadores</w:t>
      </w:r>
      <w:r w:rsidR="004C204B" w:rsidRPr="009A539C">
        <w:rPr>
          <w:vertAlign w:val="superscript"/>
        </w:rPr>
        <w:footnoteReference w:id="637"/>
      </w:r>
      <w:r w:rsidR="00F27139" w:rsidRPr="009A539C">
        <w:t xml:space="preserve"> </w:t>
      </w:r>
      <w:r w:rsidR="004C204B" w:rsidRPr="009A539C">
        <w:t xml:space="preserve">(arts. </w:t>
      </w:r>
      <w:r w:rsidR="00F27139" w:rsidRPr="009A539C">
        <w:t xml:space="preserve">404.º a 414.º, CT), disciplina </w:t>
      </w:r>
      <w:r w:rsidR="004C204B" w:rsidRPr="009A539C">
        <w:t xml:space="preserve">a atividade sindical no seio das empresas (arts. 460.º a 468.º, CT), garantindo um conjunto de direitos. Ao mesmo tempo, o Código assume, em termos gerais, que se trata de mínimos que podem ser objeto de derrogação em sentido mais favorável através de IRCT </w:t>
      </w:r>
      <w:r w:rsidR="004C204B" w:rsidRPr="009A539C">
        <w:rPr>
          <w:rFonts w:cs="Calibri"/>
        </w:rPr>
        <w:t>[</w:t>
      </w:r>
      <w:r w:rsidR="004C204B" w:rsidRPr="009A539C">
        <w:t xml:space="preserve">art. 3.º, 3, </w:t>
      </w:r>
      <w:r w:rsidR="004C204B" w:rsidRPr="009A539C">
        <w:rPr>
          <w:i/>
        </w:rPr>
        <w:t>n</w:t>
      </w:r>
      <w:r w:rsidR="004C204B" w:rsidRPr="009A539C">
        <w:t>)</w:t>
      </w:r>
      <w:r w:rsidR="004C204B" w:rsidRPr="009A539C">
        <w:rPr>
          <w:rFonts w:cs="Calibri"/>
        </w:rPr>
        <w:t>]</w:t>
      </w:r>
      <w:r w:rsidR="004C204B" w:rsidRPr="009A539C">
        <w:t>. Existe, assim, um amplo espaço atribuído à negociação coletiva neste âmbito.</w:t>
      </w:r>
      <w:r w:rsidRPr="009A539C">
        <w:t xml:space="preserve"> </w:t>
      </w:r>
      <w:r w:rsidR="00954BA9" w:rsidRPr="009A539C">
        <w:t>A</w:t>
      </w:r>
      <w:r w:rsidRPr="009A539C">
        <w:t xml:space="preserve"> matriz </w:t>
      </w:r>
      <w:r w:rsidR="00954BA9" w:rsidRPr="009A539C">
        <w:t xml:space="preserve">desta vertente do direito coletivo do trabalho encontra-se </w:t>
      </w:r>
      <w:r w:rsidRPr="009A539C">
        <w:t xml:space="preserve">ancorada </w:t>
      </w:r>
      <w:r w:rsidR="003A570A" w:rsidRPr="009A539C">
        <w:t>na Constituição</w:t>
      </w:r>
      <w:r w:rsidR="001100B9" w:rsidRPr="009A539C">
        <w:t>, em particular no cap</w:t>
      </w:r>
      <w:r w:rsidR="003A570A" w:rsidRPr="009A539C">
        <w:t>í</w:t>
      </w:r>
      <w:r w:rsidR="001100B9" w:rsidRPr="009A539C">
        <w:t>tulo dos direitos liberdades e garantias</w:t>
      </w:r>
      <w:r w:rsidRPr="009A539C">
        <w:t xml:space="preserve"> </w:t>
      </w:r>
      <w:r w:rsidRPr="009A539C">
        <w:rPr>
          <w:rStyle w:val="Refdenotaderodap"/>
        </w:rPr>
        <w:footnoteReference w:id="638"/>
      </w:r>
      <w:r w:rsidRPr="009A539C">
        <w:t>.</w:t>
      </w:r>
    </w:p>
    <w:p w14:paraId="7764A204" w14:textId="77777777" w:rsidR="004C204B" w:rsidRPr="009A539C" w:rsidRDefault="004C204B" w:rsidP="00A95C56">
      <w:pPr>
        <w:pStyle w:val="PargrafodaLista"/>
        <w:numPr>
          <w:ilvl w:val="0"/>
          <w:numId w:val="17"/>
        </w:numPr>
        <w:tabs>
          <w:tab w:val="left" w:pos="851"/>
        </w:tabs>
        <w:spacing w:before="240" w:after="0" w:line="360" w:lineRule="auto"/>
        <w:ind w:left="0" w:right="-1" w:firstLine="425"/>
        <w:contextualSpacing w:val="0"/>
        <w:jc w:val="both"/>
      </w:pPr>
      <w:r w:rsidRPr="009A539C">
        <w:t xml:space="preserve"> </w:t>
      </w:r>
      <w:bookmarkStart w:id="852" w:name="_Hlk8469979"/>
      <w:r w:rsidRPr="009A539C">
        <w:t>Em 2019, a disciplina das estruturas representativas dos trabalhadores e da atividade sindical na empresa está presente em 74 das 240 convenções publicadas, verificando-se uma descida face ao ano anterior. A distribuição por modalidade de convenção coletiva revela a predominância da negociação ao nível dos acordos de empresa e, como relatado nos relatórios de anos anteriores, trata-se de um tema presente sobretudo em primeiras convenções e revisões globais</w:t>
      </w:r>
      <w:r w:rsidRPr="009A539C">
        <w:rPr>
          <w:vertAlign w:val="superscript"/>
        </w:rPr>
        <w:footnoteReference w:id="639"/>
      </w:r>
      <w:r w:rsidRPr="009A539C">
        <w:t xml:space="preserve">. </w:t>
      </w:r>
      <w:bookmarkEnd w:id="852"/>
      <w:r w:rsidRPr="009A539C">
        <w:t xml:space="preserve"> </w:t>
      </w:r>
    </w:p>
    <w:p w14:paraId="44AC7872" w14:textId="77777777" w:rsidR="004C204B" w:rsidRPr="009A539C" w:rsidRDefault="004C204B" w:rsidP="00B90788">
      <w:pPr>
        <w:pStyle w:val="Legenda"/>
        <w:ind w:right="-1"/>
        <w:jc w:val="center"/>
      </w:pPr>
    </w:p>
    <w:p w14:paraId="12F5D524" w14:textId="549CB251" w:rsidR="003A570A" w:rsidRPr="00876707" w:rsidRDefault="00D93F24" w:rsidP="00876707">
      <w:pPr>
        <w:pStyle w:val="Legenda"/>
        <w:jc w:val="center"/>
        <w:rPr>
          <w:rFonts w:ascii="Calibri" w:eastAsia="Calibri" w:hAnsi="Calibri" w:cs="Calibri"/>
          <w:b w:val="0"/>
          <w:sz w:val="20"/>
          <w:szCs w:val="20"/>
          <w:lang w:eastAsia="pt-PT"/>
        </w:rPr>
      </w:pPr>
      <w:bookmarkStart w:id="853" w:name="_Toc15655007"/>
      <w:bookmarkStart w:id="854" w:name="_Toc45716692"/>
      <w:r w:rsidRPr="00876707">
        <w:rPr>
          <w:b w:val="0"/>
          <w:sz w:val="20"/>
          <w:szCs w:val="20"/>
        </w:rPr>
        <w:t xml:space="preserve">Quadro </w:t>
      </w:r>
      <w:r w:rsidR="00942C57" w:rsidRPr="00876707">
        <w:rPr>
          <w:b w:val="0"/>
          <w:sz w:val="20"/>
          <w:szCs w:val="20"/>
        </w:rPr>
        <w:fldChar w:fldCharType="begin"/>
      </w:r>
      <w:r w:rsidR="00942C57" w:rsidRPr="00876707">
        <w:rPr>
          <w:b w:val="0"/>
          <w:sz w:val="20"/>
          <w:szCs w:val="20"/>
        </w:rPr>
        <w:instrText xml:space="preserve"> SEQ Quadro \* ARABIC </w:instrText>
      </w:r>
      <w:r w:rsidR="00942C57" w:rsidRPr="00876707">
        <w:rPr>
          <w:b w:val="0"/>
          <w:sz w:val="20"/>
          <w:szCs w:val="20"/>
        </w:rPr>
        <w:fldChar w:fldCharType="separate"/>
      </w:r>
      <w:r w:rsidR="00D821DE" w:rsidRPr="00876707">
        <w:rPr>
          <w:b w:val="0"/>
          <w:noProof/>
          <w:sz w:val="20"/>
          <w:szCs w:val="20"/>
        </w:rPr>
        <w:t>71</w:t>
      </w:r>
      <w:r w:rsidR="00942C57" w:rsidRPr="00876707">
        <w:rPr>
          <w:b w:val="0"/>
          <w:noProof/>
          <w:sz w:val="20"/>
          <w:szCs w:val="20"/>
        </w:rPr>
        <w:fldChar w:fldCharType="end"/>
      </w:r>
      <w:r w:rsidR="004C204B" w:rsidRPr="00876707">
        <w:rPr>
          <w:rFonts w:ascii="Calibri" w:eastAsia="Calibri" w:hAnsi="Calibri" w:cs="Calibri"/>
          <w:b w:val="0"/>
          <w:sz w:val="20"/>
          <w:szCs w:val="20"/>
          <w:lang w:eastAsia="pt-PT"/>
        </w:rPr>
        <w:t xml:space="preserve"> - Convenções publicadas com cláusulas sobre Atividade Sindical na Empresa</w:t>
      </w:r>
      <w:r w:rsidR="00875B7F" w:rsidRPr="00876707">
        <w:rPr>
          <w:rFonts w:ascii="Calibri" w:eastAsia="Calibri" w:hAnsi="Calibri" w:cs="Calibri"/>
          <w:b w:val="0"/>
          <w:sz w:val="20"/>
          <w:szCs w:val="20"/>
          <w:lang w:eastAsia="pt-PT"/>
        </w:rPr>
        <w:t xml:space="preserve"> </w:t>
      </w:r>
      <w:r w:rsidR="003A570A" w:rsidRPr="00876707">
        <w:rPr>
          <w:rFonts w:ascii="Calibri" w:eastAsia="Calibri" w:hAnsi="Calibri" w:cs="Calibri"/>
          <w:b w:val="0"/>
          <w:sz w:val="20"/>
          <w:szCs w:val="20"/>
          <w:lang w:eastAsia="pt-PT"/>
        </w:rPr>
        <w:t>–</w:t>
      </w:r>
      <w:r w:rsidR="00875B7F" w:rsidRPr="00876707">
        <w:rPr>
          <w:rFonts w:ascii="Calibri" w:eastAsia="Calibri" w:hAnsi="Calibri" w:cs="Calibri"/>
          <w:b w:val="0"/>
          <w:sz w:val="20"/>
          <w:szCs w:val="20"/>
          <w:lang w:eastAsia="pt-PT"/>
        </w:rPr>
        <w:t xml:space="preserve"> </w:t>
      </w:r>
      <w:r w:rsidR="004C204B" w:rsidRPr="00876707">
        <w:rPr>
          <w:rFonts w:ascii="Calibri" w:eastAsia="Calibri" w:hAnsi="Calibri" w:cs="Calibri"/>
          <w:b w:val="0"/>
          <w:sz w:val="20"/>
          <w:szCs w:val="20"/>
          <w:lang w:eastAsia="pt-PT"/>
        </w:rPr>
        <w:t>201</w:t>
      </w:r>
      <w:bookmarkEnd w:id="853"/>
      <w:r w:rsidR="004C204B" w:rsidRPr="00876707">
        <w:rPr>
          <w:rFonts w:ascii="Calibri" w:eastAsia="Calibri" w:hAnsi="Calibri" w:cs="Calibri"/>
          <w:b w:val="0"/>
          <w:sz w:val="20"/>
          <w:szCs w:val="20"/>
          <w:lang w:eastAsia="pt-PT"/>
        </w:rPr>
        <w:t>9</w:t>
      </w:r>
      <w:bookmarkEnd w:id="854"/>
    </w:p>
    <w:p w14:paraId="3021C6E3" w14:textId="77777777" w:rsidR="004C204B" w:rsidRPr="009A539C" w:rsidRDefault="004C204B" w:rsidP="00B90788">
      <w:pPr>
        <w:spacing w:line="360" w:lineRule="auto"/>
        <w:ind w:right="-1"/>
        <w:jc w:val="center"/>
        <w:rPr>
          <w:sz w:val="23"/>
          <w:szCs w:val="23"/>
        </w:rPr>
      </w:pPr>
      <w:r w:rsidRPr="009A539C">
        <w:rPr>
          <w:noProof/>
          <w:lang w:eastAsia="pt-PT"/>
        </w:rPr>
        <w:drawing>
          <wp:inline distT="0" distB="0" distL="0" distR="0" wp14:anchorId="02904A1B" wp14:editId="74779AB0">
            <wp:extent cx="4184650" cy="1451241"/>
            <wp:effectExtent l="0" t="0" r="635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186003" cy="1451710"/>
                    </a:xfrm>
                    <a:prstGeom prst="rect">
                      <a:avLst/>
                    </a:prstGeom>
                    <a:noFill/>
                    <a:ln>
                      <a:noFill/>
                    </a:ln>
                  </pic:spPr>
                </pic:pic>
              </a:graphicData>
            </a:graphic>
          </wp:inline>
        </w:drawing>
      </w:r>
    </w:p>
    <w:p w14:paraId="1AD7C783" w14:textId="77777777" w:rsidR="004C204B" w:rsidRPr="009A539C" w:rsidRDefault="004C204B" w:rsidP="00B90788">
      <w:pPr>
        <w:spacing w:line="360" w:lineRule="auto"/>
        <w:ind w:right="-1" w:firstLine="426"/>
        <w:jc w:val="both"/>
      </w:pPr>
    </w:p>
    <w:p w14:paraId="630DA648" w14:textId="77777777" w:rsidR="004C204B" w:rsidRPr="009A539C" w:rsidRDefault="0051387D" w:rsidP="00B90788">
      <w:pPr>
        <w:spacing w:line="360" w:lineRule="auto"/>
        <w:ind w:right="-1" w:firstLine="426"/>
        <w:jc w:val="both"/>
      </w:pPr>
      <w:r w:rsidRPr="009A539C">
        <w:t xml:space="preserve">Verifica-se, </w:t>
      </w:r>
      <w:r w:rsidR="004C204B" w:rsidRPr="009A539C">
        <w:t>também em 2019, a circunstância de algumas convenções se não limitarem a tratar das associações sindicais, reportando-se ainda ao estatuto de outras estruturas de representa</w:t>
      </w:r>
      <w:r w:rsidRPr="009A539C">
        <w:t xml:space="preserve">ção coletiva: comissões de </w:t>
      </w:r>
      <w:r w:rsidR="004C204B" w:rsidRPr="009A539C">
        <w:t>trabalhadores</w:t>
      </w:r>
      <w:r w:rsidR="004C204B" w:rsidRPr="009A539C">
        <w:rPr>
          <w:rStyle w:val="Refdenotaderodap"/>
        </w:rPr>
        <w:footnoteReference w:id="640"/>
      </w:r>
      <w:r w:rsidRPr="009A539C">
        <w:t xml:space="preserve"> e comissões de </w:t>
      </w:r>
      <w:r w:rsidR="004C204B" w:rsidRPr="009A539C">
        <w:t>r</w:t>
      </w:r>
      <w:r w:rsidRPr="009A539C">
        <w:t>epres</w:t>
      </w:r>
      <w:r w:rsidR="006C409B" w:rsidRPr="009A539C">
        <w:t xml:space="preserve">entantes dos trabalhadores para </w:t>
      </w:r>
      <w:r w:rsidR="004C204B" w:rsidRPr="009A539C">
        <w:t>a segurança e saúde no trabalho</w:t>
      </w:r>
      <w:r w:rsidR="004C204B" w:rsidRPr="009A539C">
        <w:rPr>
          <w:rStyle w:val="Refdenotaderodap"/>
        </w:rPr>
        <w:footnoteReference w:id="641"/>
      </w:r>
      <w:r w:rsidRPr="009A539C">
        <w:t xml:space="preserve">. Como nos relatórios anteriores, o capítulo foca-se </w:t>
      </w:r>
      <w:r w:rsidR="004C204B" w:rsidRPr="009A539C">
        <w:t>sobr</w:t>
      </w:r>
      <w:r w:rsidRPr="009A539C">
        <w:t xml:space="preserve">etudo na regulação convencional </w:t>
      </w:r>
      <w:r w:rsidR="004C204B" w:rsidRPr="009A539C">
        <w:t>coletiva da atividade sindical nas empresas.</w:t>
      </w:r>
    </w:p>
    <w:p w14:paraId="2D371C26" w14:textId="1B08FAF4" w:rsidR="004C204B" w:rsidRPr="009A539C" w:rsidRDefault="004C204B" w:rsidP="00D41785">
      <w:pPr>
        <w:spacing w:after="0" w:line="360" w:lineRule="auto"/>
        <w:ind w:right="-1" w:firstLine="426"/>
        <w:jc w:val="both"/>
      </w:pPr>
      <w:r w:rsidRPr="009A539C">
        <w:rPr>
          <w:b/>
          <w:sz w:val="24"/>
          <w:szCs w:val="24"/>
        </w:rPr>
        <w:t>III.</w:t>
      </w:r>
      <w:r w:rsidR="006F55CA" w:rsidRPr="009A539C">
        <w:t xml:space="preserve"> </w:t>
      </w:r>
      <w:r w:rsidR="0051387D" w:rsidRPr="009A539C">
        <w:t xml:space="preserve">A </w:t>
      </w:r>
      <w:r w:rsidRPr="009A539C">
        <w:t>fisionomia desta matéria reveste as habituais variações: nuns casos, a convenção limita-se a uma remissão genérica para a lei</w:t>
      </w:r>
      <w:r w:rsidRPr="009A539C">
        <w:rPr>
          <w:vertAlign w:val="superscript"/>
        </w:rPr>
        <w:footnoteReference w:id="642"/>
      </w:r>
      <w:r w:rsidRPr="009A539C">
        <w:t>, na maior parte dos casos, como veremos de seguida, são referidas matérias específicas, limitando-se essencialmente a reproduzir o regime legal mas com a previsão de soluções que, com maior ou menor extensão, desenvolvem e/ou melhoram aspetos desse regime legal</w:t>
      </w:r>
      <w:r w:rsidRPr="009A539C">
        <w:rPr>
          <w:vertAlign w:val="superscript"/>
        </w:rPr>
        <w:footnoteReference w:id="643"/>
      </w:r>
      <w:r w:rsidR="00D41785" w:rsidRPr="009A539C">
        <w:t>.</w:t>
      </w:r>
      <w:r w:rsidRPr="009A539C">
        <w:t xml:space="preserve">Persiste, como vem sendo </w:t>
      </w:r>
      <w:r w:rsidR="00D41785" w:rsidRPr="009A539C">
        <w:t>usual</w:t>
      </w:r>
      <w:r w:rsidRPr="009A539C">
        <w:t>, a referência:</w:t>
      </w:r>
    </w:p>
    <w:p w14:paraId="363FA4C3" w14:textId="77777777" w:rsidR="004C204B" w:rsidRPr="009A539C" w:rsidRDefault="004C204B" w:rsidP="00A95C56">
      <w:pPr>
        <w:pStyle w:val="PargrafodaLista"/>
        <w:numPr>
          <w:ilvl w:val="0"/>
          <w:numId w:val="18"/>
        </w:numPr>
        <w:spacing w:after="0" w:line="360" w:lineRule="auto"/>
        <w:ind w:left="709" w:right="-1" w:hanging="283"/>
        <w:contextualSpacing w:val="0"/>
        <w:jc w:val="both"/>
      </w:pPr>
      <w:r w:rsidRPr="009A539C">
        <w:t xml:space="preserve">ao direito de reunião nas instalações da empresa (art. 461.º do CT), incluindo dentro do PNT; </w:t>
      </w:r>
    </w:p>
    <w:p w14:paraId="42A0A734" w14:textId="77777777" w:rsidR="004C204B" w:rsidRPr="009A539C" w:rsidRDefault="004C204B" w:rsidP="00A95C56">
      <w:pPr>
        <w:pStyle w:val="PargrafodaLista"/>
        <w:numPr>
          <w:ilvl w:val="0"/>
          <w:numId w:val="18"/>
        </w:numPr>
        <w:spacing w:after="0" w:line="360" w:lineRule="auto"/>
        <w:ind w:left="709" w:right="-1" w:hanging="283"/>
        <w:contextualSpacing w:val="0"/>
        <w:jc w:val="both"/>
      </w:pPr>
      <w:r w:rsidRPr="009A539C">
        <w:t xml:space="preserve">ao direito a instalações (art. 464.º do CT); </w:t>
      </w:r>
    </w:p>
    <w:p w14:paraId="283B51FB" w14:textId="77777777" w:rsidR="004C204B" w:rsidRPr="009A539C" w:rsidRDefault="004C204B" w:rsidP="00A95C56">
      <w:pPr>
        <w:pStyle w:val="PargrafodaLista"/>
        <w:numPr>
          <w:ilvl w:val="0"/>
          <w:numId w:val="18"/>
        </w:numPr>
        <w:spacing w:after="0" w:line="360" w:lineRule="auto"/>
        <w:ind w:left="709" w:right="-1" w:hanging="283"/>
        <w:contextualSpacing w:val="0"/>
        <w:jc w:val="both"/>
      </w:pPr>
      <w:r w:rsidRPr="009A539C">
        <w:t xml:space="preserve">ao direito de afixação e distribuição de informação sindical (art. 465.º do CT); </w:t>
      </w:r>
    </w:p>
    <w:p w14:paraId="06C4C6BB" w14:textId="77777777" w:rsidR="004C204B" w:rsidRPr="009A539C" w:rsidRDefault="004C204B" w:rsidP="00A95C56">
      <w:pPr>
        <w:pStyle w:val="PargrafodaLista"/>
        <w:numPr>
          <w:ilvl w:val="0"/>
          <w:numId w:val="18"/>
        </w:numPr>
        <w:spacing w:after="0" w:line="360" w:lineRule="auto"/>
        <w:ind w:left="709" w:right="-1" w:hanging="283"/>
        <w:contextualSpacing w:val="0"/>
        <w:jc w:val="both"/>
        <w:rPr>
          <w:vertAlign w:val="superscript"/>
        </w:rPr>
      </w:pPr>
      <w:r w:rsidRPr="009A539C">
        <w:t>ao direito de informação e consulta (art. 466º do CT).</w:t>
      </w:r>
      <w:r w:rsidRPr="009A539C">
        <w:rPr>
          <w:vertAlign w:val="superscript"/>
        </w:rPr>
        <w:t xml:space="preserve"> </w:t>
      </w:r>
    </w:p>
    <w:p w14:paraId="46089E6B" w14:textId="77777777" w:rsidR="004C204B" w:rsidRPr="009A539C" w:rsidRDefault="004C204B" w:rsidP="00B90788">
      <w:pPr>
        <w:spacing w:line="360" w:lineRule="auto"/>
        <w:ind w:right="-1" w:firstLine="426"/>
        <w:jc w:val="both"/>
        <w:rPr>
          <w:sz w:val="23"/>
          <w:szCs w:val="23"/>
        </w:rPr>
      </w:pPr>
      <w:r w:rsidRPr="009A539C">
        <w:t>Por outro lado, o estatuto dos trabalhadores que integram as estruturas de representação coletiva é, frequentemente, previst</w:t>
      </w:r>
      <w:r w:rsidR="0051387D" w:rsidRPr="009A539C">
        <w:t>o</w:t>
      </w:r>
      <w:r w:rsidRPr="009A539C">
        <w:t xml:space="preserve"> nos textos convencionais, ou a propósito dos deveres da entidade empregadora</w:t>
      </w:r>
      <w:r w:rsidRPr="009A539C">
        <w:rPr>
          <w:vertAlign w:val="superscript"/>
        </w:rPr>
        <w:footnoteReference w:id="644"/>
      </w:r>
      <w:r w:rsidRPr="009A539C">
        <w:t>, ou como garantia dos trabalhadores e limitação aos poderes do</w:t>
      </w:r>
      <w:r w:rsidRPr="009A539C">
        <w:rPr>
          <w:sz w:val="23"/>
          <w:szCs w:val="23"/>
        </w:rPr>
        <w:t xml:space="preserve"> </w:t>
      </w:r>
      <w:r w:rsidRPr="009A539C">
        <w:t>empregador</w:t>
      </w:r>
      <w:r w:rsidRPr="009A539C">
        <w:rPr>
          <w:vertAlign w:val="superscript"/>
        </w:rPr>
        <w:footnoteReference w:id="645"/>
      </w:r>
      <w:r w:rsidRPr="009A539C">
        <w:t>. Também aqui, mantendo a linha sinalizada nos Relatórios anteriores, trata-se fundamentalmente de consagração convencional expressa do dever de cumprimento das prescrições legais neste domínio, tendendo a abarcar, em geral, os trabalhadores que protagonizam a representação coletiva enquanto delegados sindicais, dirigentes sindicais e, amiúde, membros das comissões de trabalhadores</w:t>
      </w:r>
      <w:r w:rsidRPr="009A539C">
        <w:rPr>
          <w:vertAlign w:val="superscript"/>
        </w:rPr>
        <w:footnoteReference w:id="646"/>
      </w:r>
      <w:r w:rsidRPr="009A539C">
        <w:t>.</w:t>
      </w:r>
    </w:p>
    <w:p w14:paraId="53B24856" w14:textId="107EF6A5" w:rsidR="004C204B" w:rsidRPr="009A539C" w:rsidRDefault="00D41785" w:rsidP="00B90788">
      <w:pPr>
        <w:spacing w:line="360" w:lineRule="auto"/>
        <w:ind w:right="-1" w:firstLine="426"/>
        <w:jc w:val="both"/>
      </w:pPr>
      <w:r w:rsidRPr="009A539C">
        <w:t>S</w:t>
      </w:r>
      <w:r w:rsidR="004C204B" w:rsidRPr="009A539C">
        <w:t>istematiza</w:t>
      </w:r>
      <w:r w:rsidR="0051387D" w:rsidRPr="009A539C">
        <w:t>m</w:t>
      </w:r>
      <w:r w:rsidR="004C204B" w:rsidRPr="009A539C">
        <w:t>-se, no quadro seguinte, alguns dos tópicos regulados nas convenções publicadas em 2019.</w:t>
      </w:r>
    </w:p>
    <w:p w14:paraId="73DB6E9E" w14:textId="77777777" w:rsidR="00D93F24" w:rsidRPr="009A539C" w:rsidRDefault="00D93F24" w:rsidP="00A47208">
      <w:pPr>
        <w:pStyle w:val="Legenda"/>
        <w:tabs>
          <w:tab w:val="left" w:pos="0"/>
        </w:tabs>
        <w:ind w:right="-1"/>
        <w:jc w:val="center"/>
        <w:rPr>
          <w:sz w:val="20"/>
          <w:szCs w:val="20"/>
        </w:rPr>
      </w:pPr>
      <w:bookmarkStart w:id="855" w:name="_Toc15655008"/>
    </w:p>
    <w:p w14:paraId="3EE495A8" w14:textId="656B4031" w:rsidR="00D93F24" w:rsidRPr="00876707" w:rsidRDefault="00D93F24" w:rsidP="00876707">
      <w:pPr>
        <w:pStyle w:val="Legenda"/>
        <w:jc w:val="center"/>
        <w:rPr>
          <w:b w:val="0"/>
          <w:sz w:val="20"/>
          <w:szCs w:val="20"/>
        </w:rPr>
      </w:pPr>
      <w:bookmarkStart w:id="856" w:name="_Toc45716693"/>
      <w:r w:rsidRPr="00876707">
        <w:rPr>
          <w:b w:val="0"/>
          <w:sz w:val="20"/>
          <w:szCs w:val="20"/>
        </w:rPr>
        <w:t xml:space="preserve">Quadro </w:t>
      </w:r>
      <w:r w:rsidR="00942C57" w:rsidRPr="00876707">
        <w:rPr>
          <w:b w:val="0"/>
          <w:sz w:val="20"/>
          <w:szCs w:val="20"/>
        </w:rPr>
        <w:fldChar w:fldCharType="begin"/>
      </w:r>
      <w:r w:rsidR="00942C57" w:rsidRPr="00876707">
        <w:rPr>
          <w:b w:val="0"/>
          <w:sz w:val="20"/>
          <w:szCs w:val="20"/>
        </w:rPr>
        <w:instrText xml:space="preserve"> SEQ Quadro \* ARABIC </w:instrText>
      </w:r>
      <w:r w:rsidR="00942C57" w:rsidRPr="00876707">
        <w:rPr>
          <w:b w:val="0"/>
          <w:sz w:val="20"/>
          <w:szCs w:val="20"/>
        </w:rPr>
        <w:fldChar w:fldCharType="separate"/>
      </w:r>
      <w:r w:rsidR="00D821DE" w:rsidRPr="00876707">
        <w:rPr>
          <w:b w:val="0"/>
          <w:noProof/>
          <w:sz w:val="20"/>
          <w:szCs w:val="20"/>
        </w:rPr>
        <w:t>72</w:t>
      </w:r>
      <w:r w:rsidR="00942C57" w:rsidRPr="00876707">
        <w:rPr>
          <w:b w:val="0"/>
          <w:noProof/>
          <w:sz w:val="20"/>
          <w:szCs w:val="20"/>
        </w:rPr>
        <w:fldChar w:fldCharType="end"/>
      </w:r>
      <w:r w:rsidR="004C204B" w:rsidRPr="00876707">
        <w:rPr>
          <w:b w:val="0"/>
          <w:sz w:val="20"/>
          <w:szCs w:val="20"/>
        </w:rPr>
        <w:t xml:space="preserve"> - Direitos dos Trabalhadores no exercício da atividade sindical na empresa</w:t>
      </w:r>
      <w:r w:rsidR="00875B7F" w:rsidRPr="00876707">
        <w:rPr>
          <w:b w:val="0"/>
          <w:sz w:val="20"/>
          <w:szCs w:val="20"/>
        </w:rPr>
        <w:t xml:space="preserve"> </w:t>
      </w:r>
      <w:r w:rsidR="008703B5">
        <w:rPr>
          <w:b w:val="0"/>
          <w:sz w:val="20"/>
          <w:szCs w:val="20"/>
        </w:rPr>
        <w:t>(</w:t>
      </w:r>
      <w:r w:rsidR="004C204B" w:rsidRPr="00876707">
        <w:rPr>
          <w:b w:val="0"/>
          <w:sz w:val="20"/>
          <w:szCs w:val="20"/>
        </w:rPr>
        <w:t>201</w:t>
      </w:r>
      <w:bookmarkEnd w:id="855"/>
      <w:r w:rsidR="004C204B" w:rsidRPr="00876707">
        <w:rPr>
          <w:b w:val="0"/>
          <w:sz w:val="20"/>
          <w:szCs w:val="20"/>
        </w:rPr>
        <w:t>9</w:t>
      </w:r>
      <w:r w:rsidR="008703B5">
        <w:rPr>
          <w:b w:val="0"/>
          <w:sz w:val="20"/>
          <w:szCs w:val="20"/>
        </w:rPr>
        <w:t>)</w:t>
      </w:r>
      <w:bookmarkEnd w:id="856"/>
    </w:p>
    <w:p w14:paraId="26FB4625" w14:textId="776F49B8" w:rsidR="004C204B" w:rsidRPr="009A539C" w:rsidRDefault="00A47208" w:rsidP="00A47208">
      <w:pPr>
        <w:pStyle w:val="Legenda"/>
        <w:tabs>
          <w:tab w:val="left" w:pos="0"/>
        </w:tabs>
        <w:ind w:right="-1"/>
        <w:jc w:val="center"/>
      </w:pPr>
      <w:r w:rsidRPr="009A539C">
        <w:rPr>
          <w:noProof/>
          <w:lang w:eastAsia="pt-PT"/>
        </w:rPr>
        <w:drawing>
          <wp:inline distT="0" distB="0" distL="0" distR="0" wp14:anchorId="704C82B4" wp14:editId="423F25F5">
            <wp:extent cx="4714395" cy="158750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715387" cy="1587834"/>
                    </a:xfrm>
                    <a:prstGeom prst="rect">
                      <a:avLst/>
                    </a:prstGeom>
                    <a:noFill/>
                    <a:ln>
                      <a:noFill/>
                    </a:ln>
                  </pic:spPr>
                </pic:pic>
              </a:graphicData>
            </a:graphic>
          </wp:inline>
        </w:drawing>
      </w:r>
    </w:p>
    <w:p w14:paraId="10BEB071" w14:textId="77777777" w:rsidR="004C204B" w:rsidRPr="009A539C" w:rsidRDefault="0051387D" w:rsidP="00A95C56">
      <w:pPr>
        <w:pStyle w:val="PargrafodaLista"/>
        <w:numPr>
          <w:ilvl w:val="0"/>
          <w:numId w:val="20"/>
        </w:numPr>
        <w:spacing w:after="0" w:line="360" w:lineRule="auto"/>
        <w:ind w:left="0" w:right="-1" w:firstLine="426"/>
        <w:contextualSpacing w:val="0"/>
        <w:jc w:val="both"/>
        <w:rPr>
          <w:b/>
        </w:rPr>
      </w:pPr>
      <w:r w:rsidRPr="009A539C">
        <w:t xml:space="preserve"> </w:t>
      </w:r>
      <w:r w:rsidR="004C204B" w:rsidRPr="009A539C">
        <w:t>O recorte</w:t>
      </w:r>
      <w:r w:rsidRPr="009A539C">
        <w:t xml:space="preserve"> das disposições convencionais </w:t>
      </w:r>
      <w:r w:rsidR="004C204B" w:rsidRPr="009A539C">
        <w:t>nas diversas matérias acima menciona</w:t>
      </w:r>
      <w:r w:rsidR="00474AF8" w:rsidRPr="009A539C">
        <w:t xml:space="preserve">das segue a tendência relatada nas edições </w:t>
      </w:r>
      <w:r w:rsidR="004C204B" w:rsidRPr="009A539C">
        <w:t>anteriores. Com efeito:</w:t>
      </w:r>
    </w:p>
    <w:p w14:paraId="7E839EF6" w14:textId="301CDE04" w:rsidR="004C204B" w:rsidRPr="009A539C" w:rsidRDefault="004C204B" w:rsidP="00A95C56">
      <w:pPr>
        <w:pStyle w:val="PargrafodaLista"/>
        <w:numPr>
          <w:ilvl w:val="0"/>
          <w:numId w:val="19"/>
        </w:numPr>
        <w:tabs>
          <w:tab w:val="left" w:pos="0"/>
        </w:tabs>
        <w:spacing w:after="0" w:line="360" w:lineRule="auto"/>
        <w:ind w:right="-1"/>
        <w:contextualSpacing w:val="0"/>
        <w:jc w:val="both"/>
      </w:pPr>
      <w:r w:rsidRPr="009A539C">
        <w:t xml:space="preserve">Quanto ao direito de reunião no local de trabalho, as convenções </w:t>
      </w:r>
      <w:r w:rsidR="00383663" w:rsidRPr="009A539C">
        <w:t>acompanham</w:t>
      </w:r>
      <w:r w:rsidRPr="009A539C">
        <w:t>, no essencial, o figurino legal, conjugado, por vezes, com a previsão de ligeiros desvios: limitando a antecedência da convocatória a 1 dia</w:t>
      </w:r>
      <w:r w:rsidRPr="009A539C">
        <w:rPr>
          <w:rStyle w:val="Refdenotaderodap"/>
        </w:rPr>
        <w:footnoteReference w:id="647"/>
      </w:r>
      <w:r w:rsidRPr="009A539C">
        <w:t xml:space="preserve"> ou admitindo a possibilidade de as reuniões serem convocadas pelos sindicatos</w:t>
      </w:r>
      <w:r w:rsidRPr="009A539C">
        <w:rPr>
          <w:rStyle w:val="Refdenotaderodap"/>
        </w:rPr>
        <w:footnoteReference w:id="648"/>
      </w:r>
      <w:r w:rsidRPr="009A539C">
        <w:t>. Predomina o limite da lei para a realização de reuniões no decurso do horário de</w:t>
      </w:r>
      <w:r w:rsidR="00474AF8" w:rsidRPr="009A539C">
        <w:t xml:space="preserve"> trabalho (15 horas por ano). </w:t>
      </w:r>
      <w:r w:rsidR="00383663" w:rsidRPr="009A539C">
        <w:t>São definidas, com regularidade, o</w:t>
      </w:r>
      <w:r w:rsidRPr="009A539C">
        <w:t>s termos da participação de elementos do sindicato sem ligação à empresa</w:t>
      </w:r>
      <w:r w:rsidR="00383663" w:rsidRPr="009A539C">
        <w:t xml:space="preserve"> nestas reuniões </w:t>
      </w:r>
      <w:r w:rsidRPr="009A539C">
        <w:rPr>
          <w:rStyle w:val="Refdenotaderodap"/>
        </w:rPr>
        <w:footnoteReference w:id="649"/>
      </w:r>
      <w:r w:rsidR="00474AF8" w:rsidRPr="009A539C">
        <w:t xml:space="preserve">. Algumas </w:t>
      </w:r>
      <w:r w:rsidRPr="009A539C">
        <w:t>convenções estabelecem regras precisas para assegurar a normalidade de laboração</w:t>
      </w:r>
      <w:r w:rsidRPr="009A539C">
        <w:rPr>
          <w:rStyle w:val="Refdenotaderodap"/>
        </w:rPr>
        <w:footnoteReference w:id="650"/>
      </w:r>
      <w:r w:rsidRPr="009A539C">
        <w:t>.</w:t>
      </w:r>
    </w:p>
    <w:p w14:paraId="1A764140" w14:textId="0F93C779" w:rsidR="004C204B" w:rsidRPr="009A539C" w:rsidRDefault="004C204B" w:rsidP="00A95C56">
      <w:pPr>
        <w:pStyle w:val="PargrafodaLista"/>
        <w:numPr>
          <w:ilvl w:val="0"/>
          <w:numId w:val="19"/>
        </w:numPr>
        <w:tabs>
          <w:tab w:val="left" w:pos="0"/>
        </w:tabs>
        <w:spacing w:after="0" w:line="360" w:lineRule="auto"/>
        <w:ind w:right="-1"/>
        <w:contextualSpacing w:val="0"/>
        <w:jc w:val="both"/>
        <w:rPr>
          <w:sz w:val="23"/>
          <w:szCs w:val="23"/>
        </w:rPr>
      </w:pPr>
      <w:r w:rsidRPr="009A539C">
        <w:t xml:space="preserve">Relativamente ao direito a instalações, embora a maior parte das convenções se limite a transcrever o regime legal, algumas </w:t>
      </w:r>
      <w:r w:rsidR="00D12B1D" w:rsidRPr="009A539C">
        <w:t>acolhem</w:t>
      </w:r>
      <w:r w:rsidRPr="009A539C">
        <w:t xml:space="preserve"> regras mais favoráveis para os</w:t>
      </w:r>
      <w:r w:rsidRPr="009A539C">
        <w:rPr>
          <w:sz w:val="23"/>
          <w:szCs w:val="23"/>
        </w:rPr>
        <w:t xml:space="preserve"> sindicatos, impondo, nuns casos, a disponibilizaç</w:t>
      </w:r>
      <w:r w:rsidR="00474AF8" w:rsidRPr="009A539C">
        <w:rPr>
          <w:sz w:val="23"/>
          <w:szCs w:val="23"/>
        </w:rPr>
        <w:t>ão permanente de local adequado</w:t>
      </w:r>
      <w:r w:rsidRPr="009A539C">
        <w:rPr>
          <w:sz w:val="23"/>
          <w:szCs w:val="23"/>
        </w:rPr>
        <w:t xml:space="preserve"> </w:t>
      </w:r>
      <w:r w:rsidRPr="009A539C">
        <w:t>independentemente do número de trabalhadores do estabelecimento</w:t>
      </w:r>
      <w:r w:rsidRPr="009A539C">
        <w:rPr>
          <w:rStyle w:val="Refdenotaderodap"/>
        </w:rPr>
        <w:footnoteReference w:id="651"/>
      </w:r>
      <w:r w:rsidR="00474AF8" w:rsidRPr="009A539C">
        <w:t xml:space="preserve">, noutros </w:t>
      </w:r>
      <w:r w:rsidRPr="009A539C">
        <w:t>exigindo um limiar inferior ao legal</w:t>
      </w:r>
      <w:r w:rsidRPr="009A539C">
        <w:rPr>
          <w:rStyle w:val="Refdenotaderodap"/>
        </w:rPr>
        <w:footnoteReference w:id="652"/>
      </w:r>
      <w:r w:rsidRPr="009A539C">
        <w:t>.</w:t>
      </w:r>
    </w:p>
    <w:p w14:paraId="45B1EDB8" w14:textId="70BD1D4D" w:rsidR="004C204B" w:rsidRPr="009A539C" w:rsidRDefault="00904808" w:rsidP="00A95C56">
      <w:pPr>
        <w:pStyle w:val="PargrafodaLista"/>
        <w:numPr>
          <w:ilvl w:val="0"/>
          <w:numId w:val="19"/>
        </w:numPr>
        <w:tabs>
          <w:tab w:val="left" w:pos="0"/>
        </w:tabs>
        <w:spacing w:after="0" w:line="360" w:lineRule="auto"/>
        <w:ind w:right="-1"/>
        <w:contextualSpacing w:val="0"/>
        <w:jc w:val="both"/>
      </w:pPr>
      <w:r w:rsidRPr="009A539C">
        <w:t xml:space="preserve">Sobre a </w:t>
      </w:r>
      <w:r w:rsidR="004C204B" w:rsidRPr="009A539C">
        <w:t>afixação e divulgação de informação sindical</w:t>
      </w:r>
      <w:r w:rsidR="00B1160F" w:rsidRPr="009A539C">
        <w:t>,</w:t>
      </w:r>
      <w:r w:rsidR="004C204B" w:rsidRPr="009A539C">
        <w:t xml:space="preserve"> </w:t>
      </w:r>
      <w:r w:rsidRPr="009A539C">
        <w:t>apenas se encontra a reprodução d</w:t>
      </w:r>
      <w:r w:rsidR="004C204B" w:rsidRPr="009A539C">
        <w:t>os direitos legalmente previstos.</w:t>
      </w:r>
    </w:p>
    <w:p w14:paraId="55F991E5" w14:textId="221A0FCE" w:rsidR="004C204B" w:rsidRPr="009A539C" w:rsidRDefault="004C204B" w:rsidP="00A95C56">
      <w:pPr>
        <w:pStyle w:val="PargrafodaLista"/>
        <w:numPr>
          <w:ilvl w:val="0"/>
          <w:numId w:val="19"/>
        </w:numPr>
        <w:tabs>
          <w:tab w:val="left" w:pos="0"/>
        </w:tabs>
        <w:spacing w:after="0" w:line="360" w:lineRule="auto"/>
        <w:ind w:right="-1"/>
        <w:contextualSpacing w:val="0"/>
        <w:jc w:val="both"/>
      </w:pPr>
      <w:r w:rsidRPr="009A539C">
        <w:t>Em sede de crédito de horas para exercício das funções dos representantes dos trabalhadores</w:t>
      </w:r>
      <w:r w:rsidR="00904808" w:rsidRPr="009A539C">
        <w:t>,</w:t>
      </w:r>
      <w:r w:rsidRPr="009A539C">
        <w:t xml:space="preserve"> persiste a tendência para a reprodução do regime legal (5 horas mensais para os delegados sindicais, 8 horas por mês se o delegado fizer parte da comissão intersindical e 4 dias mensais para os dirigentes sindicais)</w:t>
      </w:r>
      <w:r w:rsidRPr="009A539C">
        <w:rPr>
          <w:rStyle w:val="Refdenotaderodap"/>
        </w:rPr>
        <w:footnoteReference w:id="653"/>
      </w:r>
      <w:r w:rsidR="00474AF8" w:rsidRPr="009A539C">
        <w:t xml:space="preserve">, </w:t>
      </w:r>
      <w:r w:rsidRPr="009A539C">
        <w:t>embora se encontre  um número relevante de convenções que concedem tempos ligeiramente mais vantajosos ao delegado sindical (fixando um crédito de seis</w:t>
      </w:r>
      <w:r w:rsidRPr="009A539C">
        <w:rPr>
          <w:vertAlign w:val="superscript"/>
        </w:rPr>
        <w:footnoteReference w:id="654"/>
      </w:r>
      <w:r w:rsidRPr="009A539C">
        <w:t xml:space="preserve">, sete </w:t>
      </w:r>
      <w:r w:rsidRPr="009A539C">
        <w:rPr>
          <w:rStyle w:val="Refdenotaderodap"/>
        </w:rPr>
        <w:footnoteReference w:id="655"/>
      </w:r>
      <w:r w:rsidRPr="009A539C">
        <w:t>, oito</w:t>
      </w:r>
      <w:r w:rsidRPr="009A539C">
        <w:rPr>
          <w:vertAlign w:val="superscript"/>
        </w:rPr>
        <w:footnoteReference w:id="656"/>
      </w:r>
      <w:r w:rsidRPr="009A539C">
        <w:rPr>
          <w:vertAlign w:val="superscript"/>
        </w:rPr>
        <w:t xml:space="preserve">, </w:t>
      </w:r>
      <w:r w:rsidRPr="009A539C">
        <w:t>ou doze</w:t>
      </w:r>
      <w:r w:rsidRPr="009A539C">
        <w:rPr>
          <w:vertAlign w:val="superscript"/>
        </w:rPr>
        <w:footnoteReference w:id="657"/>
      </w:r>
      <w:r w:rsidRPr="009A539C">
        <w:t xml:space="preserve"> horas mensais) e/ou aos dirigentes sindicais (para 5</w:t>
      </w:r>
      <w:r w:rsidRPr="009A539C">
        <w:rPr>
          <w:vertAlign w:val="superscript"/>
        </w:rPr>
        <w:footnoteReference w:id="658"/>
      </w:r>
      <w:r w:rsidRPr="009A539C">
        <w:t xml:space="preserve"> ou 6</w:t>
      </w:r>
      <w:r w:rsidRPr="009A539C">
        <w:rPr>
          <w:vertAlign w:val="superscript"/>
        </w:rPr>
        <w:footnoteReference w:id="659"/>
      </w:r>
      <w:r w:rsidRPr="009A539C">
        <w:t xml:space="preserve">  dias mensais). Em alguns casos, o crédito conferido aos membros da comissão sindical é fixado conjuntamente, remetendo-se a sua distribuição para a própria comissão</w:t>
      </w:r>
      <w:r w:rsidRPr="009A539C">
        <w:rPr>
          <w:rStyle w:val="Refdenotaderodap"/>
        </w:rPr>
        <w:footnoteReference w:id="660"/>
      </w:r>
      <w:r w:rsidRPr="009A539C">
        <w:t>. Continuam, em 2019, a encontrar-se convenções que afastam a regra legal sobre antecedência da comunicação relativa à utilização do crédito de horas, prevendo, designadamente, um dia de antecedência</w:t>
      </w:r>
      <w:r w:rsidRPr="009A539C">
        <w:rPr>
          <w:vertAlign w:val="superscript"/>
        </w:rPr>
        <w:footnoteReference w:id="661"/>
      </w:r>
      <w:r w:rsidRPr="009A539C">
        <w:t xml:space="preserve">, em vez dos 2 dias previstos na lei (art. 408.º, 3, do CT), assim como convenções que admitem a gestão trimestral </w:t>
      </w:r>
      <w:r w:rsidR="00474AF8" w:rsidRPr="009A539C">
        <w:t xml:space="preserve">ou </w:t>
      </w:r>
      <w:r w:rsidRPr="009A539C">
        <w:t>semestral do crédito de horas, para participação em certas atividades de representação coletiva</w:t>
      </w:r>
      <w:r w:rsidRPr="009A539C">
        <w:rPr>
          <w:rStyle w:val="Refdenotaderodap"/>
        </w:rPr>
        <w:footnoteReference w:id="662"/>
      </w:r>
      <w:r w:rsidRPr="009A539C">
        <w:t xml:space="preserve"> ou a possibilidade de acumu</w:t>
      </w:r>
      <w:r w:rsidR="00474AF8" w:rsidRPr="009A539C">
        <w:t>lar o crédito de horas de vários dirigentes sindicais</w:t>
      </w:r>
      <w:r w:rsidRPr="009A539C">
        <w:t>, parcial o</w:t>
      </w:r>
      <w:r w:rsidR="00474AF8" w:rsidRPr="009A539C">
        <w:t>u totalmente, num só dirigente</w:t>
      </w:r>
      <w:r w:rsidRPr="009A539C">
        <w:rPr>
          <w:rStyle w:val="Refdenotaderodap"/>
        </w:rPr>
        <w:footnoteReference w:id="663"/>
      </w:r>
      <w:r w:rsidRPr="009A539C">
        <w:t>.</w:t>
      </w:r>
    </w:p>
    <w:p w14:paraId="625EE72A" w14:textId="77777777" w:rsidR="004C204B" w:rsidRPr="009A539C" w:rsidRDefault="004C204B" w:rsidP="00A95C56">
      <w:pPr>
        <w:pStyle w:val="PargrafodaLista"/>
        <w:numPr>
          <w:ilvl w:val="0"/>
          <w:numId w:val="19"/>
        </w:numPr>
        <w:tabs>
          <w:tab w:val="left" w:pos="0"/>
        </w:tabs>
        <w:spacing w:after="0" w:line="360" w:lineRule="auto"/>
        <w:ind w:right="-1"/>
        <w:contextualSpacing w:val="0"/>
        <w:jc w:val="both"/>
        <w:rPr>
          <w:sz w:val="23"/>
          <w:szCs w:val="23"/>
        </w:rPr>
      </w:pPr>
      <w:r w:rsidRPr="009A539C">
        <w:t>Algumas convenções preveem, por outro lado, e à semelhança da lei, a possibilidade de justificação de ausências para além do crédito de horas</w:t>
      </w:r>
      <w:r w:rsidRPr="009A539C">
        <w:rPr>
          <w:rStyle w:val="Refdenotaderodap"/>
        </w:rPr>
        <w:footnoteReference w:id="664"/>
      </w:r>
      <w:r w:rsidRPr="009A539C">
        <w:t>. Apesar de menos comuns, são reconhecidos créditos para frequência de iniciativas (v.g. cursos, seminários, colóquios no âmbito da atividade sindical) ou atribuídos horários especiais</w:t>
      </w:r>
      <w:r w:rsidRPr="009A539C">
        <w:rPr>
          <w:rStyle w:val="Refdenotaderodap"/>
        </w:rPr>
        <w:footnoteReference w:id="665"/>
      </w:r>
      <w:r w:rsidRPr="009A539C">
        <w:t>.</w:t>
      </w:r>
    </w:p>
    <w:p w14:paraId="6DD72274" w14:textId="77777777" w:rsidR="004C204B" w:rsidRPr="009A539C" w:rsidRDefault="004C204B" w:rsidP="00A95C56">
      <w:pPr>
        <w:pStyle w:val="PargrafodaLista"/>
        <w:numPr>
          <w:ilvl w:val="0"/>
          <w:numId w:val="19"/>
        </w:numPr>
        <w:tabs>
          <w:tab w:val="left" w:pos="0"/>
        </w:tabs>
        <w:spacing w:after="0" w:line="360" w:lineRule="auto"/>
        <w:ind w:right="-1"/>
        <w:contextualSpacing w:val="0"/>
        <w:jc w:val="both"/>
        <w:rPr>
          <w:sz w:val="23"/>
          <w:szCs w:val="23"/>
        </w:rPr>
      </w:pPr>
      <w:r w:rsidRPr="009A539C">
        <w:t>Várias convenções coletivas reproduzem parcialmente o estatuto legal dos membros das estruturas representativas dos trabalhadores, designadamente em matéria de procedimento</w:t>
      </w:r>
      <w:r w:rsidRPr="009A539C">
        <w:rPr>
          <w:sz w:val="23"/>
          <w:szCs w:val="23"/>
        </w:rPr>
        <w:t xml:space="preserve"> disciplinar e despedimento (art. 410.º, do CT)</w:t>
      </w:r>
      <w:r w:rsidRPr="009A539C">
        <w:rPr>
          <w:rStyle w:val="Refdenotaderodap"/>
          <w:sz w:val="23"/>
          <w:szCs w:val="23"/>
        </w:rPr>
        <w:footnoteReference w:id="666"/>
      </w:r>
      <w:r w:rsidRPr="009A539C">
        <w:rPr>
          <w:sz w:val="23"/>
          <w:szCs w:val="23"/>
        </w:rPr>
        <w:t xml:space="preserve"> e de transferência de local de trabalho (art. </w:t>
      </w:r>
      <w:r w:rsidRPr="009A539C">
        <w:t>411.º,do CTº)</w:t>
      </w:r>
      <w:r w:rsidRPr="009A539C">
        <w:rPr>
          <w:rStyle w:val="Refdenotaderodap"/>
        </w:rPr>
        <w:footnoteReference w:id="667"/>
      </w:r>
      <w:r w:rsidRPr="009A539C">
        <w:t>. Trata-se, quase sempre, da mera transcrição do regime legal, embora por vezes surjam previsões específicas, como seja a proteção contra mudança injustificada de serviço ou de horário de trabalho</w:t>
      </w:r>
      <w:r w:rsidRPr="009A539C">
        <w:rPr>
          <w:rStyle w:val="Refdenotaderodap"/>
        </w:rPr>
        <w:footnoteReference w:id="668"/>
      </w:r>
      <w:r w:rsidR="000418BD" w:rsidRPr="009A539C">
        <w:t xml:space="preserve">, a limitação à </w:t>
      </w:r>
      <w:r w:rsidRPr="009A539C">
        <w:t>possibilidade de transferência do dirigente sindical dentro da área de intervenção do respetivo sindicato</w:t>
      </w:r>
      <w:r w:rsidRPr="009A539C">
        <w:rPr>
          <w:rStyle w:val="Refdenotaderodap"/>
        </w:rPr>
        <w:footnoteReference w:id="669"/>
      </w:r>
      <w:r w:rsidRPr="009A539C">
        <w:t xml:space="preserve"> ou a exigência de parecer da comissão de trabalhadores para todos os trabalhadores sindicalizados</w:t>
      </w:r>
      <w:r w:rsidRPr="009A539C">
        <w:rPr>
          <w:rStyle w:val="Refdenotaderodap"/>
        </w:rPr>
        <w:footnoteReference w:id="670"/>
      </w:r>
      <w:r w:rsidRPr="009A539C">
        <w:t>.</w:t>
      </w:r>
    </w:p>
    <w:p w14:paraId="7151A111" w14:textId="77777777" w:rsidR="004C204B" w:rsidRPr="009A539C" w:rsidRDefault="004C204B" w:rsidP="00B90788">
      <w:pPr>
        <w:tabs>
          <w:tab w:val="left" w:pos="851"/>
        </w:tabs>
        <w:spacing w:line="360" w:lineRule="auto"/>
        <w:ind w:right="-1"/>
        <w:jc w:val="both"/>
      </w:pPr>
    </w:p>
    <w:p w14:paraId="639CFCCA" w14:textId="77777777" w:rsidR="004C204B" w:rsidRPr="009A539C" w:rsidRDefault="004C204B" w:rsidP="00A95C56">
      <w:pPr>
        <w:pStyle w:val="PargrafodaLista"/>
        <w:numPr>
          <w:ilvl w:val="0"/>
          <w:numId w:val="20"/>
        </w:numPr>
        <w:spacing w:after="0" w:line="360" w:lineRule="auto"/>
        <w:ind w:left="0" w:right="-1" w:firstLine="426"/>
        <w:contextualSpacing w:val="0"/>
        <w:jc w:val="both"/>
      </w:pPr>
      <w:r w:rsidRPr="009A539C">
        <w:t xml:space="preserve"> Na linha dos Relatórios anteriores, reserva-se um ponto específico para referir o tratamento dado pelas convenções coletivas ao direito de informação e consulta genericamente previsto no art. 466.º do Código do Trabalho.</w:t>
      </w:r>
    </w:p>
    <w:p w14:paraId="189AB5B7" w14:textId="01CEC380" w:rsidR="004C204B" w:rsidRPr="009A539C" w:rsidRDefault="004C204B" w:rsidP="00B90788">
      <w:pPr>
        <w:tabs>
          <w:tab w:val="left" w:pos="851"/>
        </w:tabs>
        <w:spacing w:line="360" w:lineRule="auto"/>
        <w:ind w:right="-1" w:firstLine="426"/>
        <w:jc w:val="both"/>
      </w:pPr>
      <w:r w:rsidRPr="009A539C">
        <w:t xml:space="preserve">Para além de referências dispersas ao longo do texto das convenções </w:t>
      </w:r>
      <w:r w:rsidR="00123E56" w:rsidRPr="009A539C">
        <w:t>os tópicos</w:t>
      </w:r>
      <w:r w:rsidRPr="009A539C">
        <w:t xml:space="preserve"> em que é necessária a audição dos representantes sindicais (várias delas </w:t>
      </w:r>
      <w:r w:rsidR="00596488" w:rsidRPr="009A539C">
        <w:t>indicadas</w:t>
      </w:r>
      <w:r w:rsidRPr="009A539C">
        <w:t xml:space="preserve"> presente Relatório), um número considerável de IRCT convencionais expressamente consagra e/ou desenvolve este direito. </w:t>
      </w:r>
    </w:p>
    <w:p w14:paraId="0239E947" w14:textId="1ED8A142" w:rsidR="004C204B" w:rsidRPr="009A539C" w:rsidRDefault="00123E56" w:rsidP="00B90788">
      <w:pPr>
        <w:tabs>
          <w:tab w:val="left" w:pos="851"/>
        </w:tabs>
        <w:spacing w:line="360" w:lineRule="auto"/>
        <w:ind w:right="-1" w:firstLine="426"/>
        <w:jc w:val="both"/>
      </w:pPr>
      <w:r w:rsidRPr="009A539C">
        <w:t>O</w:t>
      </w:r>
      <w:r w:rsidR="004C204B" w:rsidRPr="009A539C">
        <w:t>bserva-se</w:t>
      </w:r>
      <w:r w:rsidRPr="009A539C">
        <w:t xml:space="preserve">, </w:t>
      </w:r>
      <w:r w:rsidR="007B0A18" w:rsidRPr="009A539C">
        <w:t>a este propósito</w:t>
      </w:r>
      <w:r w:rsidRPr="009A539C">
        <w:t>,</w:t>
      </w:r>
      <w:r w:rsidR="004C204B" w:rsidRPr="009A539C">
        <w:t xml:space="preserve"> a exigência de participação sindical em aspetos associados à organização do tempo de trabalho e, em especial, aos regimes de flexibilização temporal da prestação do trabalho, como sejam a adaptabilidade e os bancos de horas</w:t>
      </w:r>
      <w:r w:rsidR="004C204B" w:rsidRPr="009A539C">
        <w:rPr>
          <w:rStyle w:val="Refdenotaderodap"/>
        </w:rPr>
        <w:footnoteReference w:id="671"/>
      </w:r>
      <w:r w:rsidR="000418BD" w:rsidRPr="009A539C">
        <w:t xml:space="preserve">; assim como </w:t>
      </w:r>
      <w:r w:rsidR="004C204B" w:rsidRPr="009A539C">
        <w:t>de matérias associ</w:t>
      </w:r>
      <w:r w:rsidR="000418BD" w:rsidRPr="009A539C">
        <w:t xml:space="preserve">adas às carreiras e categorias </w:t>
      </w:r>
      <w:r w:rsidR="004C204B" w:rsidRPr="009A539C">
        <w:t>profissionais, nomea</w:t>
      </w:r>
      <w:r w:rsidR="000418BD" w:rsidRPr="009A539C">
        <w:t>damente</w:t>
      </w:r>
      <w:r w:rsidR="007B0A18" w:rsidRPr="009A539C">
        <w:t>, em caso de</w:t>
      </w:r>
      <w:r w:rsidR="000418BD" w:rsidRPr="009A539C">
        <w:t xml:space="preserve"> mudança </w:t>
      </w:r>
      <w:r w:rsidR="004C204B" w:rsidRPr="009A539C">
        <w:t>definitiva de função, em resultado de um processo de mobilidade funcional</w:t>
      </w:r>
      <w:r w:rsidR="004C204B" w:rsidRPr="009A539C">
        <w:rPr>
          <w:rStyle w:val="Refdenotaderodap"/>
        </w:rPr>
        <w:footnoteReference w:id="672"/>
      </w:r>
      <w:r w:rsidR="000418BD" w:rsidRPr="009A539C">
        <w:t xml:space="preserve"> ou da criação </w:t>
      </w:r>
      <w:r w:rsidR="004C204B" w:rsidRPr="009A539C">
        <w:t>de novas categorias profissionais</w:t>
      </w:r>
      <w:r w:rsidR="004C204B" w:rsidRPr="009A539C">
        <w:rPr>
          <w:rStyle w:val="Refdenotaderodap"/>
        </w:rPr>
        <w:footnoteReference w:id="673"/>
      </w:r>
      <w:r w:rsidR="004C204B" w:rsidRPr="009A539C">
        <w:t xml:space="preserve">.     </w:t>
      </w:r>
    </w:p>
    <w:p w14:paraId="02B6FA53" w14:textId="751BB475" w:rsidR="004C204B" w:rsidRPr="009A539C" w:rsidRDefault="004C204B" w:rsidP="00B90788">
      <w:pPr>
        <w:tabs>
          <w:tab w:val="left" w:pos="851"/>
        </w:tabs>
        <w:spacing w:line="360" w:lineRule="auto"/>
        <w:ind w:right="-1" w:firstLine="426"/>
        <w:jc w:val="both"/>
      </w:pPr>
      <w:r w:rsidRPr="009A539C">
        <w:t>Por vezes, a convenção inclui um elenco das matérias em que, para além das referidas na lei ou pontualmente identificadas na convenção, existe direito á inform</w:t>
      </w:r>
      <w:r w:rsidR="000418BD" w:rsidRPr="009A539C">
        <w:t xml:space="preserve">ação e consulta, compreendendo, </w:t>
      </w:r>
      <w:r w:rsidRPr="009A539C">
        <w:t xml:space="preserve">designadamente, a informação sobre a evolução recente e a evolução provável das atividades da empresa ou do estabelecimento e a sua situação económica, a estrutura e a evolução provável do emprego na empresa </w:t>
      </w:r>
      <w:r w:rsidR="007B0A18" w:rsidRPr="009A539C">
        <w:t xml:space="preserve">(ou </w:t>
      </w:r>
      <w:r w:rsidRPr="009A539C">
        <w:t>estabelecimento</w:t>
      </w:r>
      <w:r w:rsidR="007B0A18" w:rsidRPr="009A539C">
        <w:t>)</w:t>
      </w:r>
      <w:r w:rsidRPr="009A539C">
        <w:t xml:space="preserve"> e sobre as eventuais me</w:t>
      </w:r>
      <w:r w:rsidR="007B0A18" w:rsidRPr="009A539C">
        <w:t>didas de antecipação previstas, por exemplo,</w:t>
      </w:r>
      <w:r w:rsidRPr="009A539C">
        <w:t xml:space="preserve"> em caso de ameaça </w:t>
      </w:r>
      <w:r w:rsidR="007B0A18" w:rsidRPr="009A539C">
        <w:t>a</w:t>
      </w:r>
      <w:r w:rsidRPr="009A539C">
        <w:t>o emprego</w:t>
      </w:r>
      <w:r w:rsidR="007B0A18" w:rsidRPr="009A539C">
        <w:t>,</w:t>
      </w:r>
      <w:r w:rsidRPr="009A539C">
        <w:t xml:space="preserve"> e as decisões suscetíveis de desencadear mudanças substanciais ao nível da organização do trabalho ou dos contratos de trabalho</w:t>
      </w:r>
      <w:r w:rsidRPr="009A539C">
        <w:rPr>
          <w:rStyle w:val="Refdenotaderodap"/>
        </w:rPr>
        <w:footnoteReference w:id="674"/>
      </w:r>
      <w:r w:rsidRPr="009A539C">
        <w:t>.</w:t>
      </w:r>
    </w:p>
    <w:p w14:paraId="40ADF81A" w14:textId="77777777" w:rsidR="004C204B" w:rsidRPr="009A539C" w:rsidRDefault="004C204B" w:rsidP="00B90788">
      <w:pPr>
        <w:tabs>
          <w:tab w:val="left" w:pos="851"/>
        </w:tabs>
        <w:spacing w:line="360" w:lineRule="auto"/>
        <w:ind w:right="-1" w:firstLine="426"/>
        <w:jc w:val="both"/>
      </w:pPr>
      <w:r w:rsidRPr="009A539C">
        <w:t>Noutros casos, o direito à informação e à consulta é consagrado como princípio geral, sendo frequente a referência à Diretiva 2002/14/CE, de 11 de março de 2002</w:t>
      </w:r>
      <w:r w:rsidRPr="009A539C">
        <w:rPr>
          <w:rStyle w:val="Refdenotaderodap"/>
        </w:rPr>
        <w:footnoteReference w:id="675"/>
      </w:r>
      <w:r w:rsidR="0012502F" w:rsidRPr="009A539C">
        <w:t xml:space="preserve">. </w:t>
      </w:r>
    </w:p>
    <w:p w14:paraId="6D13E5E3" w14:textId="4873A6C6" w:rsidR="004C204B" w:rsidRPr="009A539C" w:rsidRDefault="004C204B" w:rsidP="00A95C56">
      <w:pPr>
        <w:pStyle w:val="PargrafodaLista"/>
        <w:numPr>
          <w:ilvl w:val="0"/>
          <w:numId w:val="20"/>
        </w:numPr>
        <w:spacing w:after="0" w:line="360" w:lineRule="auto"/>
        <w:ind w:left="0" w:right="-1" w:firstLine="426"/>
        <w:contextualSpacing w:val="0"/>
        <w:jc w:val="both"/>
      </w:pPr>
      <w:r w:rsidRPr="009A539C">
        <w:t xml:space="preserve"> Acresce aos pontos mencionados</w:t>
      </w:r>
      <w:r w:rsidR="00F8519F" w:rsidRPr="009A539C">
        <w:t xml:space="preserve"> – que se traduz</w:t>
      </w:r>
      <w:r w:rsidR="005D0A8A" w:rsidRPr="009A539C">
        <w:t xml:space="preserve">, </w:t>
      </w:r>
      <w:r w:rsidR="005D0A8A" w:rsidRPr="009A539C">
        <w:rPr>
          <w:i/>
        </w:rPr>
        <w:t>grosso modo</w:t>
      </w:r>
      <w:r w:rsidR="005D0A8A" w:rsidRPr="009A539C">
        <w:t>,</w:t>
      </w:r>
      <w:r w:rsidR="00F8519F" w:rsidRPr="009A539C">
        <w:t xml:space="preserve"> na reprodução </w:t>
      </w:r>
      <w:r w:rsidRPr="009A539C">
        <w:t>ou aprofundam</w:t>
      </w:r>
      <w:r w:rsidR="00F8519F" w:rsidRPr="009A539C">
        <w:t xml:space="preserve">ento dos </w:t>
      </w:r>
      <w:r w:rsidRPr="009A539C">
        <w:t>direitos previstos na lei</w:t>
      </w:r>
      <w:r w:rsidR="00F8519F" w:rsidRPr="009A539C">
        <w:t xml:space="preserve"> – a alusão a</w:t>
      </w:r>
      <w:r w:rsidRPr="009A539C">
        <w:t xml:space="preserve"> garantias do exercício da atividade de representação coletiva que vão além do previsto no Código do Trabalho. Apontam-se, de seguida, algumas de maior relevância.</w:t>
      </w:r>
    </w:p>
    <w:p w14:paraId="1BA6D60E" w14:textId="77777777" w:rsidR="00F9242A" w:rsidRPr="009A539C" w:rsidRDefault="00F9242A" w:rsidP="00F9242A">
      <w:pPr>
        <w:pStyle w:val="PargrafodaLista"/>
        <w:spacing w:after="0" w:line="360" w:lineRule="auto"/>
        <w:ind w:left="426" w:right="-1"/>
        <w:contextualSpacing w:val="0"/>
        <w:jc w:val="both"/>
      </w:pPr>
    </w:p>
    <w:p w14:paraId="2F6735F8" w14:textId="3024AA56" w:rsidR="004C204B" w:rsidRPr="009A539C" w:rsidRDefault="004C204B" w:rsidP="00F65BF9">
      <w:pPr>
        <w:pStyle w:val="PargrafodaLista"/>
        <w:tabs>
          <w:tab w:val="left" w:pos="851"/>
        </w:tabs>
        <w:spacing w:after="0" w:line="360" w:lineRule="auto"/>
        <w:ind w:left="0" w:right="-1"/>
        <w:contextualSpacing w:val="0"/>
        <w:jc w:val="both"/>
      </w:pPr>
      <w:r w:rsidRPr="009A539C">
        <w:t>Com alguma frequência é concedido aos representantes sindicais o direito a reuniões com o órgão de gestão da empresa [</w:t>
      </w:r>
      <w:r w:rsidR="005D0A8A" w:rsidRPr="009A539C">
        <w:t>enquanto</w:t>
      </w:r>
      <w:r w:rsidRPr="009A539C">
        <w:t xml:space="preserve"> o Código do Trabalho só atribui esse direito às comissões de trabalhadores – art. 423.º, 1, g)]. </w:t>
      </w:r>
      <w:r w:rsidR="00C12DCE" w:rsidRPr="009A539C">
        <w:t>Continua a ser</w:t>
      </w:r>
      <w:r w:rsidRPr="009A539C">
        <w:t xml:space="preserve"> usual prever a realização de reuniões sempre que a parte patronal ou a parte sindical o solicitem</w:t>
      </w:r>
      <w:r w:rsidRPr="009A539C">
        <w:rPr>
          <w:vertAlign w:val="superscript"/>
        </w:rPr>
        <w:footnoteReference w:id="676"/>
      </w:r>
      <w:r w:rsidRPr="009A539C">
        <w:t>, especifica-se que as reuniões devem, normalmente, ter lugar dentro do horário de trabalho e indica-se que o tempo despendido é considerado como tempo de serviço efetivo, embora não seja computado para efeito de crédito de horas</w:t>
      </w:r>
      <w:r w:rsidRPr="009A539C">
        <w:rPr>
          <w:vertAlign w:val="superscript"/>
        </w:rPr>
        <w:footnoteReference w:id="677"/>
      </w:r>
      <w:r w:rsidRPr="009A539C">
        <w:rPr>
          <w:vertAlign w:val="superscript"/>
        </w:rPr>
        <w:t>.</w:t>
      </w:r>
      <w:r w:rsidRPr="009A539C">
        <w:t xml:space="preserve"> Encontra-se, também, a previsão de que ness</w:t>
      </w:r>
      <w:r w:rsidR="0012502F" w:rsidRPr="009A539C">
        <w:t xml:space="preserve">as reuniões poderão participar </w:t>
      </w:r>
      <w:r w:rsidRPr="009A539C">
        <w:t>dirigentes sindicais</w:t>
      </w:r>
      <w:r w:rsidRPr="009A539C">
        <w:rPr>
          <w:vertAlign w:val="superscript"/>
        </w:rPr>
        <w:footnoteReference w:id="678"/>
      </w:r>
      <w:r w:rsidRPr="009A539C">
        <w:t>.</w:t>
      </w:r>
    </w:p>
    <w:p w14:paraId="258E325A" w14:textId="77777777" w:rsidR="004C204B" w:rsidRPr="009A539C" w:rsidRDefault="004C204B" w:rsidP="00F65BF9">
      <w:pPr>
        <w:pStyle w:val="PargrafodaLista"/>
        <w:spacing w:line="360" w:lineRule="auto"/>
        <w:ind w:left="426" w:right="-1" w:firstLine="426"/>
        <w:jc w:val="both"/>
      </w:pPr>
    </w:p>
    <w:p w14:paraId="5B2E7691" w14:textId="77777777" w:rsidR="004C204B" w:rsidRPr="009A539C" w:rsidRDefault="004C204B" w:rsidP="00343774">
      <w:pPr>
        <w:pStyle w:val="PargrafodaLista"/>
        <w:numPr>
          <w:ilvl w:val="0"/>
          <w:numId w:val="20"/>
        </w:numPr>
        <w:tabs>
          <w:tab w:val="left" w:pos="851"/>
        </w:tabs>
        <w:spacing w:after="0" w:line="360" w:lineRule="auto"/>
        <w:ind w:left="0" w:right="-1" w:firstLine="426"/>
        <w:contextualSpacing w:val="0"/>
        <w:jc w:val="both"/>
      </w:pPr>
      <w:r w:rsidRPr="009A539C">
        <w:t xml:space="preserve"> Várias convenções admitem a possibilidade de requisição, em certos termos, de trabalhadores para o desempenho de cargos dirigentes nas associações sindicais permanecendo o empregador obrigado ao pagamento da respetiva retribuição</w:t>
      </w:r>
      <w:r w:rsidRPr="009A539C">
        <w:rPr>
          <w:vertAlign w:val="superscript"/>
        </w:rPr>
        <w:footnoteReference w:id="679"/>
      </w:r>
      <w:r w:rsidRPr="009A539C">
        <w:t>, ou a dispensa de outros trabalhadores a tempo inteiro (para além daqueles a quem seja conferido esse estatuto pela lei ou pela convenção), a solicitação do sindicato e com acordo do empregador, assumindo aquele os respetivos encargos</w:t>
      </w:r>
      <w:r w:rsidRPr="009A539C">
        <w:rPr>
          <w:vertAlign w:val="superscript"/>
        </w:rPr>
        <w:footnoteReference w:id="680"/>
      </w:r>
      <w:r w:rsidRPr="009A539C">
        <w:t>. Por outro lado, algumas convenções estabelecem o dever de os sindicatos comunicarem à empresa os nomes dos respetivos delegados sindicais</w:t>
      </w:r>
      <w:r w:rsidRPr="009A539C">
        <w:rPr>
          <w:vertAlign w:val="superscript"/>
        </w:rPr>
        <w:footnoteReference w:id="681"/>
      </w:r>
      <w:r w:rsidRPr="009A539C">
        <w:t>.</w:t>
      </w:r>
    </w:p>
    <w:p w14:paraId="20878AA5" w14:textId="77777777" w:rsidR="003A2FD6" w:rsidRPr="009A539C" w:rsidRDefault="003A2FD6" w:rsidP="00343774">
      <w:pPr>
        <w:spacing w:line="360" w:lineRule="auto"/>
        <w:ind w:left="709" w:right="-1"/>
        <w:jc w:val="both"/>
        <w:rPr>
          <w:rFonts w:ascii="Calibri" w:hAnsi="Calibri" w:cs="Calibri"/>
        </w:rPr>
      </w:pPr>
    </w:p>
    <w:p w14:paraId="3D26274D" w14:textId="77777777" w:rsidR="00B93491" w:rsidRPr="009A539C" w:rsidRDefault="00B93491" w:rsidP="00343774">
      <w:pPr>
        <w:spacing w:line="360" w:lineRule="auto"/>
        <w:ind w:left="709" w:right="-1"/>
        <w:jc w:val="both"/>
        <w:rPr>
          <w:rFonts w:ascii="Calibri" w:hAnsi="Calibri" w:cs="Calibri"/>
        </w:rPr>
      </w:pPr>
    </w:p>
    <w:p w14:paraId="7BBE8F8F" w14:textId="77777777" w:rsidR="00B93491" w:rsidRPr="009A539C" w:rsidRDefault="00B93491" w:rsidP="00343774">
      <w:pPr>
        <w:spacing w:line="360" w:lineRule="auto"/>
        <w:ind w:left="709" w:right="-1"/>
        <w:jc w:val="both"/>
        <w:rPr>
          <w:rFonts w:ascii="Calibri" w:hAnsi="Calibri" w:cs="Calibri"/>
        </w:rPr>
      </w:pPr>
    </w:p>
    <w:p w14:paraId="589651F1" w14:textId="19D26118" w:rsidR="00B93491" w:rsidRPr="009A539C" w:rsidRDefault="00B93491">
      <w:pPr>
        <w:rPr>
          <w:rFonts w:ascii="Calibri" w:hAnsi="Calibri" w:cs="Calibri"/>
        </w:rPr>
      </w:pPr>
      <w:r w:rsidRPr="009A539C">
        <w:rPr>
          <w:rFonts w:ascii="Calibri" w:hAnsi="Calibri" w:cs="Calibri"/>
        </w:rPr>
        <w:br w:type="page"/>
      </w:r>
    </w:p>
    <w:p w14:paraId="0ADE99FC" w14:textId="77777777" w:rsidR="005E7447" w:rsidRPr="009A539C" w:rsidRDefault="009D0CD2" w:rsidP="00AF188D">
      <w:pPr>
        <w:pStyle w:val="PargrafodaLista"/>
        <w:numPr>
          <w:ilvl w:val="2"/>
          <w:numId w:val="57"/>
        </w:numPr>
        <w:spacing w:line="360" w:lineRule="auto"/>
        <w:ind w:left="851" w:right="-1"/>
        <w:jc w:val="both"/>
        <w:outlineLvl w:val="2"/>
        <w:rPr>
          <w:rFonts w:ascii="Calibri" w:hAnsi="Calibri" w:cs="Calibri"/>
          <w:b/>
        </w:rPr>
      </w:pPr>
      <w:r w:rsidRPr="009A539C">
        <w:rPr>
          <w:rFonts w:ascii="Calibri" w:hAnsi="Calibri" w:cs="Calibri"/>
          <w:b/>
        </w:rPr>
        <w:t> </w:t>
      </w:r>
      <w:bookmarkStart w:id="858" w:name="_Toc45535743"/>
      <w:r w:rsidRPr="009A539C">
        <w:rPr>
          <w:rFonts w:ascii="Calibri" w:hAnsi="Calibri" w:cs="Calibri"/>
          <w:b/>
        </w:rPr>
        <w:t>Complementação de prestações previdenciais e atribuição de outros benefícios sociais</w:t>
      </w:r>
      <w:bookmarkEnd w:id="858"/>
    </w:p>
    <w:p w14:paraId="530AFE93" w14:textId="77777777" w:rsidR="00336A0F" w:rsidRPr="009A539C" w:rsidRDefault="006F55CA" w:rsidP="00B93491">
      <w:pPr>
        <w:spacing w:line="360" w:lineRule="auto"/>
        <w:ind w:firstLine="284"/>
        <w:jc w:val="both"/>
        <w:rPr>
          <w:rFonts w:ascii="Calibri" w:hAnsi="Calibri" w:cs="Calibri"/>
        </w:rPr>
      </w:pPr>
      <w:bookmarkStart w:id="859" w:name="_Toc42511836"/>
      <w:bookmarkStart w:id="860" w:name="_Toc42514600"/>
      <w:r w:rsidRPr="009A539C">
        <w:rPr>
          <w:rFonts w:ascii="Calibri" w:hAnsi="Calibri" w:cs="Calibri"/>
          <w:b/>
        </w:rPr>
        <w:t xml:space="preserve">I. </w:t>
      </w:r>
      <w:r w:rsidR="00786CCA" w:rsidRPr="009A539C">
        <w:rPr>
          <w:rFonts w:ascii="Calibri" w:hAnsi="Calibri" w:cs="Calibri"/>
        </w:rPr>
        <w:t>Cerca de um terço das convenções publicadas em 2019 estipula a atribuição de prestações complementares das concedidas pelo regime geral da segurança social para proteção de eventualidades cobertas por este regime – incluindo doença, velhice e invalidez. São também concedidos outros benefícios relacionados com a situação pessoal e familiar do trabalhador.</w:t>
      </w:r>
      <w:bookmarkStart w:id="861" w:name="_Toc42511837"/>
      <w:bookmarkStart w:id="862" w:name="_Toc42514601"/>
      <w:bookmarkEnd w:id="859"/>
      <w:bookmarkEnd w:id="860"/>
    </w:p>
    <w:p w14:paraId="03127979" w14:textId="45594E07" w:rsidR="00786CCA" w:rsidRPr="009A539C" w:rsidRDefault="00786CCA" w:rsidP="00B93491">
      <w:pPr>
        <w:spacing w:line="360" w:lineRule="auto"/>
        <w:ind w:firstLine="284"/>
        <w:jc w:val="both"/>
        <w:rPr>
          <w:rFonts w:ascii="Calibri" w:hAnsi="Calibri" w:cs="Calibri"/>
        </w:rPr>
      </w:pPr>
      <w:r w:rsidRPr="009A539C">
        <w:rPr>
          <w:rFonts w:ascii="Calibri" w:hAnsi="Calibri" w:cs="Calibri"/>
        </w:rPr>
        <w:t>Também neste tópico se preserva, em 2019, a mesma tipologia dos relatórios anteriores</w:t>
      </w:r>
      <w:r w:rsidRPr="009A539C">
        <w:rPr>
          <w:rFonts w:ascii="Calibri" w:hAnsi="Calibri" w:cs="Calibri"/>
          <w:vertAlign w:val="superscript"/>
        </w:rPr>
        <w:footnoteReference w:id="682"/>
      </w:r>
      <w:r w:rsidRPr="009A539C">
        <w:rPr>
          <w:rFonts w:ascii="Calibri" w:hAnsi="Calibri" w:cs="Calibri"/>
        </w:rPr>
        <w:t>, observando-se uma configuração idêntica, que revela o predomínio dos benefícios concedidos e um ligeiro acréscimo destes regimes no ano em análise.</w:t>
      </w:r>
      <w:bookmarkEnd w:id="861"/>
      <w:bookmarkEnd w:id="862"/>
    </w:p>
    <w:p w14:paraId="76CACD47" w14:textId="56E48EE8" w:rsidR="00786CCA" w:rsidRPr="008703B5" w:rsidRDefault="00D93F24" w:rsidP="00343774">
      <w:pPr>
        <w:pStyle w:val="Legenda"/>
        <w:jc w:val="center"/>
        <w:rPr>
          <w:rFonts w:ascii="Calibri" w:hAnsi="Calibri" w:cs="Calibri"/>
          <w:b w:val="0"/>
          <w:bCs w:val="0"/>
          <w:sz w:val="20"/>
          <w:szCs w:val="20"/>
        </w:rPr>
      </w:pPr>
      <w:bookmarkStart w:id="863" w:name="_Toc42511838"/>
      <w:bookmarkStart w:id="864" w:name="_Toc42514602"/>
      <w:bookmarkStart w:id="865" w:name="_Toc45716694"/>
      <w:r w:rsidRPr="008703B5">
        <w:rPr>
          <w:b w:val="0"/>
          <w:sz w:val="20"/>
          <w:szCs w:val="20"/>
        </w:rPr>
        <w:t xml:space="preserve">Quadro </w:t>
      </w:r>
      <w:r w:rsidR="000D71EA" w:rsidRPr="008703B5">
        <w:rPr>
          <w:b w:val="0"/>
          <w:sz w:val="20"/>
          <w:szCs w:val="20"/>
        </w:rPr>
        <w:fldChar w:fldCharType="begin"/>
      </w:r>
      <w:r w:rsidR="000D71EA" w:rsidRPr="008703B5">
        <w:rPr>
          <w:b w:val="0"/>
          <w:sz w:val="20"/>
          <w:szCs w:val="20"/>
        </w:rPr>
        <w:instrText xml:space="preserve"> SEQ Quadro \* ARABIC </w:instrText>
      </w:r>
      <w:r w:rsidR="000D71EA" w:rsidRPr="008703B5">
        <w:rPr>
          <w:b w:val="0"/>
          <w:sz w:val="20"/>
          <w:szCs w:val="20"/>
        </w:rPr>
        <w:fldChar w:fldCharType="separate"/>
      </w:r>
      <w:r w:rsidR="00D821DE" w:rsidRPr="008703B5">
        <w:rPr>
          <w:b w:val="0"/>
          <w:noProof/>
          <w:sz w:val="20"/>
          <w:szCs w:val="20"/>
        </w:rPr>
        <w:t>73</w:t>
      </w:r>
      <w:r w:rsidR="000D71EA" w:rsidRPr="008703B5">
        <w:rPr>
          <w:b w:val="0"/>
          <w:noProof/>
          <w:sz w:val="20"/>
          <w:szCs w:val="20"/>
        </w:rPr>
        <w:fldChar w:fldCharType="end"/>
      </w:r>
      <w:r w:rsidR="00786CCA" w:rsidRPr="008703B5">
        <w:rPr>
          <w:rFonts w:ascii="Calibri" w:hAnsi="Calibri" w:cs="Calibri"/>
          <w:b w:val="0"/>
          <w:bCs w:val="0"/>
          <w:sz w:val="20"/>
          <w:szCs w:val="20"/>
        </w:rPr>
        <w:t xml:space="preserve"> - convenções que abordam apoios sociais complementares (por tipo e subtipo)</w:t>
      </w:r>
      <w:bookmarkEnd w:id="863"/>
      <w:bookmarkEnd w:id="864"/>
      <w:r w:rsidR="008703B5" w:rsidRPr="008703B5">
        <w:rPr>
          <w:rFonts w:ascii="Calibri" w:hAnsi="Calibri" w:cs="Calibri"/>
          <w:b w:val="0"/>
          <w:bCs w:val="0"/>
          <w:sz w:val="20"/>
          <w:szCs w:val="20"/>
        </w:rPr>
        <w:t xml:space="preserve"> (2019-2018)</w:t>
      </w:r>
      <w:bookmarkEnd w:id="865"/>
    </w:p>
    <w:p w14:paraId="5D321115" w14:textId="77777777" w:rsidR="00786CCA" w:rsidRPr="009A539C" w:rsidRDefault="00786CCA" w:rsidP="00336A0F">
      <w:pPr>
        <w:jc w:val="center"/>
        <w:rPr>
          <w:rFonts w:ascii="Calibri" w:hAnsi="Calibri" w:cs="Calibri"/>
        </w:rPr>
      </w:pPr>
      <w:bookmarkStart w:id="866" w:name="_Toc42511839"/>
      <w:bookmarkStart w:id="867" w:name="_Toc42514603"/>
      <w:r w:rsidRPr="009A539C">
        <w:rPr>
          <w:rFonts w:ascii="Calibri" w:hAnsi="Calibri" w:cs="Calibri"/>
          <w:noProof/>
          <w:lang w:eastAsia="pt-PT"/>
        </w:rPr>
        <w:drawing>
          <wp:inline distT="0" distB="0" distL="0" distR="0" wp14:anchorId="4EE93059" wp14:editId="62F0B825">
            <wp:extent cx="5363365" cy="154800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363365" cy="1548000"/>
                    </a:xfrm>
                    <a:prstGeom prst="rect">
                      <a:avLst/>
                    </a:prstGeom>
                    <a:noFill/>
                    <a:ln>
                      <a:noFill/>
                    </a:ln>
                  </pic:spPr>
                </pic:pic>
              </a:graphicData>
            </a:graphic>
          </wp:inline>
        </w:drawing>
      </w:r>
      <w:bookmarkEnd w:id="866"/>
      <w:bookmarkEnd w:id="867"/>
    </w:p>
    <w:p w14:paraId="64C63FF3" w14:textId="77777777" w:rsidR="00786CCA" w:rsidRPr="009A539C" w:rsidRDefault="00786CCA" w:rsidP="00336A0F">
      <w:pPr>
        <w:rPr>
          <w:rFonts w:ascii="Calibri" w:hAnsi="Calibri" w:cs="Calibri"/>
        </w:rPr>
      </w:pPr>
    </w:p>
    <w:p w14:paraId="7C7BF311" w14:textId="21520CC3" w:rsidR="00F870CC" w:rsidRPr="009A539C" w:rsidRDefault="00786CCA" w:rsidP="00B93491">
      <w:pPr>
        <w:spacing w:line="360" w:lineRule="auto"/>
        <w:ind w:firstLine="284"/>
        <w:jc w:val="both"/>
        <w:rPr>
          <w:rFonts w:ascii="Calibri" w:hAnsi="Calibri" w:cs="Calibri"/>
        </w:rPr>
      </w:pPr>
      <w:bookmarkStart w:id="868" w:name="_Toc42511840"/>
      <w:bookmarkStart w:id="869" w:name="_Toc42514604"/>
      <w:r w:rsidRPr="009A539C">
        <w:rPr>
          <w:rFonts w:ascii="Calibri" w:hAnsi="Calibri" w:cs="Calibri"/>
        </w:rPr>
        <w:t>Em ocasiões anteriores</w:t>
      </w:r>
      <w:r w:rsidRPr="009A539C">
        <w:rPr>
          <w:rFonts w:ascii="Calibri" w:hAnsi="Calibri" w:cs="Calibri"/>
          <w:vertAlign w:val="superscript"/>
        </w:rPr>
        <w:footnoteReference w:id="683"/>
      </w:r>
      <w:r w:rsidR="006F55CA" w:rsidRPr="009A539C">
        <w:rPr>
          <w:rFonts w:ascii="Calibri" w:hAnsi="Calibri" w:cs="Calibri"/>
        </w:rPr>
        <w:t xml:space="preserve"> já se deu nota da conexão entre </w:t>
      </w:r>
      <w:r w:rsidRPr="009A539C">
        <w:rPr>
          <w:rFonts w:ascii="Calibri" w:hAnsi="Calibri" w:cs="Calibri"/>
        </w:rPr>
        <w:t>os setores de atividade abrangidos pelos IRCT e a estrutura dos regimes, bem como a previsão dos benefícios concedidos, no caso concreto. Aqui se destaca a especificidade do setor financeiro e segurador</w:t>
      </w:r>
      <w:r w:rsidRPr="009A539C">
        <w:rPr>
          <w:rFonts w:ascii="Calibri" w:hAnsi="Calibri" w:cs="Calibri"/>
          <w:vertAlign w:val="superscript"/>
        </w:rPr>
        <w:footnoteReference w:id="684"/>
      </w:r>
      <w:r w:rsidR="00600964" w:rsidRPr="009A539C">
        <w:rPr>
          <w:rFonts w:ascii="Calibri" w:hAnsi="Calibri" w:cs="Calibri"/>
        </w:rPr>
        <w:t>.</w:t>
      </w:r>
      <w:bookmarkEnd w:id="868"/>
      <w:bookmarkEnd w:id="869"/>
    </w:p>
    <w:p w14:paraId="50DFF8FF" w14:textId="77777777" w:rsidR="00F65BF9" w:rsidRPr="009A539C" w:rsidRDefault="00F65BF9" w:rsidP="00B93491">
      <w:pPr>
        <w:pStyle w:val="Legenda"/>
        <w:jc w:val="center"/>
        <w:rPr>
          <w:color w:val="1F497D" w:themeColor="text2"/>
          <w:sz w:val="20"/>
          <w:szCs w:val="20"/>
        </w:rPr>
      </w:pPr>
    </w:p>
    <w:p w14:paraId="56A50033" w14:textId="77777777" w:rsidR="00B93491" w:rsidRPr="009A539C" w:rsidRDefault="00B93491" w:rsidP="00B93491"/>
    <w:p w14:paraId="130588A2" w14:textId="77777777" w:rsidR="00B93491" w:rsidRPr="009A539C" w:rsidRDefault="00B93491" w:rsidP="00B93491"/>
    <w:p w14:paraId="56577C1A" w14:textId="77777777" w:rsidR="00B93491" w:rsidRPr="009A539C" w:rsidRDefault="00B93491" w:rsidP="00B93491"/>
    <w:p w14:paraId="7540D5B2" w14:textId="77777777" w:rsidR="00B93491" w:rsidRPr="009A539C" w:rsidRDefault="00B93491" w:rsidP="00B93491"/>
    <w:p w14:paraId="53530F37" w14:textId="77777777" w:rsidR="00B93491" w:rsidRPr="009A539C" w:rsidRDefault="00B93491" w:rsidP="00B93491"/>
    <w:p w14:paraId="347B8D12" w14:textId="593FFE7A" w:rsidR="00B93491" w:rsidRPr="009A539C" w:rsidRDefault="00B93491">
      <w:r w:rsidRPr="009A539C">
        <w:br w:type="page"/>
      </w:r>
    </w:p>
    <w:p w14:paraId="41334EAA" w14:textId="202A6468" w:rsidR="00786CCA" w:rsidRPr="00876707" w:rsidRDefault="00D93F24" w:rsidP="00343774">
      <w:pPr>
        <w:pStyle w:val="Legenda"/>
        <w:jc w:val="center"/>
        <w:rPr>
          <w:rFonts w:ascii="Calibri" w:hAnsi="Calibri" w:cs="Calibri"/>
          <w:b w:val="0"/>
          <w:bCs w:val="0"/>
          <w:color w:val="1F497D" w:themeColor="text2"/>
          <w:sz w:val="22"/>
          <w:szCs w:val="22"/>
        </w:rPr>
      </w:pPr>
      <w:bookmarkStart w:id="870" w:name="_Toc42511841"/>
      <w:bookmarkStart w:id="871" w:name="_Toc42514605"/>
      <w:bookmarkStart w:id="872" w:name="_Toc45716695"/>
      <w:r w:rsidRPr="00876707">
        <w:rPr>
          <w:b w:val="0"/>
          <w:sz w:val="22"/>
          <w:szCs w:val="22"/>
        </w:rPr>
        <w:t xml:space="preserve">Quadro </w:t>
      </w:r>
      <w:r w:rsidR="00B20462" w:rsidRPr="00876707">
        <w:rPr>
          <w:b w:val="0"/>
          <w:sz w:val="22"/>
          <w:szCs w:val="22"/>
        </w:rPr>
        <w:fldChar w:fldCharType="begin"/>
      </w:r>
      <w:r w:rsidR="00B20462" w:rsidRPr="00876707">
        <w:rPr>
          <w:b w:val="0"/>
          <w:sz w:val="22"/>
          <w:szCs w:val="22"/>
        </w:rPr>
        <w:instrText xml:space="preserve"> SEQ Quadro \* ARABIC </w:instrText>
      </w:r>
      <w:r w:rsidR="00B20462" w:rsidRPr="00876707">
        <w:rPr>
          <w:b w:val="0"/>
          <w:sz w:val="22"/>
          <w:szCs w:val="22"/>
        </w:rPr>
        <w:fldChar w:fldCharType="separate"/>
      </w:r>
      <w:r w:rsidR="00D821DE" w:rsidRPr="00876707">
        <w:rPr>
          <w:b w:val="0"/>
          <w:noProof/>
          <w:sz w:val="22"/>
          <w:szCs w:val="22"/>
        </w:rPr>
        <w:t>74</w:t>
      </w:r>
      <w:r w:rsidR="00B20462" w:rsidRPr="00876707">
        <w:rPr>
          <w:b w:val="0"/>
          <w:noProof/>
          <w:sz w:val="22"/>
          <w:szCs w:val="22"/>
        </w:rPr>
        <w:fldChar w:fldCharType="end"/>
      </w:r>
      <w:r w:rsidR="00786CCA" w:rsidRPr="00876707">
        <w:rPr>
          <w:rFonts w:ascii="Calibri" w:hAnsi="Calibri" w:cs="Calibri"/>
          <w:b w:val="0"/>
          <w:bCs w:val="0"/>
          <w:sz w:val="22"/>
          <w:szCs w:val="22"/>
        </w:rPr>
        <w:t xml:space="preserve"> - Convenções que abordam Apoios Sociais complementares – 2019</w:t>
      </w:r>
      <w:bookmarkEnd w:id="870"/>
      <w:bookmarkEnd w:id="871"/>
      <w:bookmarkEnd w:id="872"/>
    </w:p>
    <w:p w14:paraId="685DA09A" w14:textId="77777777" w:rsidR="00786CCA" w:rsidRPr="009A539C" w:rsidRDefault="00786CCA" w:rsidP="00336A0F">
      <w:pPr>
        <w:jc w:val="center"/>
        <w:rPr>
          <w:rFonts w:ascii="Calibri" w:hAnsi="Calibri" w:cs="Calibri"/>
        </w:rPr>
      </w:pPr>
      <w:bookmarkStart w:id="873" w:name="_Toc42511842"/>
      <w:bookmarkStart w:id="874" w:name="_Toc42514606"/>
      <w:r w:rsidRPr="009A539C">
        <w:rPr>
          <w:rFonts w:ascii="Calibri" w:hAnsi="Calibri" w:cs="Calibri"/>
          <w:noProof/>
          <w:lang w:eastAsia="pt-PT"/>
        </w:rPr>
        <w:drawing>
          <wp:inline distT="0" distB="0" distL="0" distR="0" wp14:anchorId="47D56046" wp14:editId="5FDB286E">
            <wp:extent cx="3826653" cy="2703443"/>
            <wp:effectExtent l="0" t="0" r="2540" b="190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826458" cy="2703305"/>
                    </a:xfrm>
                    <a:prstGeom prst="rect">
                      <a:avLst/>
                    </a:prstGeom>
                    <a:noFill/>
                    <a:ln>
                      <a:noFill/>
                    </a:ln>
                  </pic:spPr>
                </pic:pic>
              </a:graphicData>
            </a:graphic>
          </wp:inline>
        </w:drawing>
      </w:r>
      <w:bookmarkEnd w:id="873"/>
      <w:bookmarkEnd w:id="874"/>
    </w:p>
    <w:p w14:paraId="6AE733C5" w14:textId="77777777" w:rsidR="00786CCA" w:rsidRPr="009A539C" w:rsidRDefault="00786CCA" w:rsidP="00336A0F">
      <w:pPr>
        <w:rPr>
          <w:rFonts w:ascii="Calibri" w:hAnsi="Calibri" w:cs="Calibri"/>
        </w:rPr>
      </w:pPr>
      <w:bookmarkStart w:id="875" w:name="_Toc7789475"/>
      <w:bookmarkStart w:id="876" w:name="_Toc8908551"/>
      <w:bookmarkStart w:id="877" w:name="_Toc8913272"/>
      <w:bookmarkStart w:id="878" w:name="_Toc11145251"/>
    </w:p>
    <w:p w14:paraId="42BA0820" w14:textId="4F4D479F" w:rsidR="00786CCA" w:rsidRPr="009A539C" w:rsidRDefault="00786CCA" w:rsidP="00B93491">
      <w:pPr>
        <w:spacing w:line="360" w:lineRule="auto"/>
        <w:ind w:firstLine="284"/>
        <w:jc w:val="both"/>
        <w:rPr>
          <w:rFonts w:ascii="Calibri" w:hAnsi="Calibri" w:cs="Calibri"/>
        </w:rPr>
      </w:pPr>
      <w:bookmarkStart w:id="879" w:name="_Toc42511843"/>
      <w:bookmarkStart w:id="880" w:name="_Toc42514607"/>
      <w:bookmarkEnd w:id="875"/>
      <w:bookmarkEnd w:id="876"/>
      <w:bookmarkEnd w:id="877"/>
      <w:bookmarkEnd w:id="878"/>
      <w:r w:rsidRPr="009A539C">
        <w:rPr>
          <w:rFonts w:ascii="Calibri" w:hAnsi="Calibri" w:cs="Calibri"/>
          <w:b/>
        </w:rPr>
        <w:t>II.</w:t>
      </w:r>
      <w:r w:rsidRPr="009A539C">
        <w:rPr>
          <w:rFonts w:ascii="Calibri" w:hAnsi="Calibri" w:cs="Calibri"/>
        </w:rPr>
        <w:t xml:space="preserve"> Em 2019, mantém-se a prevalência de mecanismos de complementação do subsídio de doença atribuído pelo regime público de segurança social (surgem em 15% das convenções publicadas em 2019 </w:t>
      </w:r>
      <w:r w:rsidR="00F870CC" w:rsidRPr="009A539C">
        <w:rPr>
          <w:rFonts w:ascii="Calibri" w:hAnsi="Calibri" w:cs="Calibri"/>
        </w:rPr>
        <w:t xml:space="preserve"> - </w:t>
      </w:r>
      <w:r w:rsidRPr="009A539C">
        <w:rPr>
          <w:rFonts w:ascii="Calibri" w:hAnsi="Calibri" w:cs="Calibri"/>
        </w:rPr>
        <w:t xml:space="preserve">36 </w:t>
      </w:r>
      <w:r w:rsidR="00F870CC" w:rsidRPr="009A539C">
        <w:rPr>
          <w:rFonts w:ascii="Calibri" w:hAnsi="Calibri" w:cs="Calibri"/>
        </w:rPr>
        <w:t>de 240</w:t>
      </w:r>
      <w:r w:rsidRPr="009A539C">
        <w:rPr>
          <w:rFonts w:ascii="Calibri" w:hAnsi="Calibri" w:cs="Calibri"/>
        </w:rPr>
        <w:t>)</w:t>
      </w:r>
      <w:bookmarkEnd w:id="879"/>
      <w:bookmarkEnd w:id="880"/>
      <w:r w:rsidR="00F870CC" w:rsidRPr="009A539C">
        <w:rPr>
          <w:rFonts w:ascii="Calibri" w:hAnsi="Calibri" w:cs="Calibri"/>
        </w:rPr>
        <w:t>.</w:t>
      </w:r>
    </w:p>
    <w:p w14:paraId="75D67B54" w14:textId="6DAE8D17" w:rsidR="00786CCA" w:rsidRPr="009A539C" w:rsidRDefault="00F870CC" w:rsidP="00B93491">
      <w:pPr>
        <w:spacing w:line="360" w:lineRule="auto"/>
        <w:ind w:firstLine="284"/>
        <w:jc w:val="both"/>
        <w:rPr>
          <w:rFonts w:ascii="Calibri" w:hAnsi="Calibri" w:cs="Calibri"/>
        </w:rPr>
      </w:pPr>
      <w:bookmarkStart w:id="881" w:name="_Toc42511844"/>
      <w:bookmarkStart w:id="882" w:name="_Toc42514608"/>
      <w:r w:rsidRPr="009A539C">
        <w:rPr>
          <w:rFonts w:ascii="Calibri" w:hAnsi="Calibri" w:cs="Calibri"/>
        </w:rPr>
        <w:t>Nestes apoios</w:t>
      </w:r>
      <w:r w:rsidR="006F55CA" w:rsidRPr="009A539C">
        <w:rPr>
          <w:rFonts w:ascii="Calibri" w:hAnsi="Calibri" w:cs="Calibri"/>
        </w:rPr>
        <w:t xml:space="preserve">, embora se observe grande variedade de regimes, </w:t>
      </w:r>
      <w:r w:rsidR="00D87C3D" w:rsidRPr="009A539C">
        <w:rPr>
          <w:rFonts w:ascii="Calibri" w:hAnsi="Calibri" w:cs="Calibri"/>
        </w:rPr>
        <w:t xml:space="preserve">o ponto comum consiste </w:t>
      </w:r>
      <w:r w:rsidR="00786CCA" w:rsidRPr="009A539C">
        <w:rPr>
          <w:rFonts w:ascii="Calibri" w:hAnsi="Calibri" w:cs="Calibri"/>
        </w:rPr>
        <w:t>na atribuição de uma presta</w:t>
      </w:r>
      <w:r w:rsidR="00875B7F" w:rsidRPr="009A539C">
        <w:rPr>
          <w:rFonts w:ascii="Calibri" w:hAnsi="Calibri" w:cs="Calibri"/>
        </w:rPr>
        <w:t xml:space="preserve">ção pecuniária que visa cobrir </w:t>
      </w:r>
      <w:r w:rsidR="00786CCA" w:rsidRPr="009A539C">
        <w:rPr>
          <w:rFonts w:ascii="Calibri" w:hAnsi="Calibri" w:cs="Calibri"/>
        </w:rPr>
        <w:t xml:space="preserve">a diferença entre o valor da retribuição que o trabalhador aufere e o montante do subsídio de doença pago pela Segurança Social. Quanto ao perfil destes mecanismos não há novidades a assinalar face ao </w:t>
      </w:r>
      <w:r w:rsidR="00234577" w:rsidRPr="009A539C">
        <w:rPr>
          <w:rFonts w:ascii="Calibri" w:hAnsi="Calibri" w:cs="Calibri"/>
        </w:rPr>
        <w:t>já conhecido de anos</w:t>
      </w:r>
      <w:r w:rsidR="006F55CA" w:rsidRPr="009A539C">
        <w:rPr>
          <w:rFonts w:ascii="Calibri" w:hAnsi="Calibri" w:cs="Calibri"/>
        </w:rPr>
        <w:t xml:space="preserve"> anteriores. O figurino encontrado </w:t>
      </w:r>
      <w:r w:rsidR="00786CCA" w:rsidRPr="009A539C">
        <w:rPr>
          <w:rFonts w:ascii="Calibri" w:hAnsi="Calibri" w:cs="Calibri"/>
        </w:rPr>
        <w:t>apresenta as seguintes especificidades:</w:t>
      </w:r>
      <w:bookmarkEnd w:id="881"/>
      <w:bookmarkEnd w:id="882"/>
    </w:p>
    <w:p w14:paraId="40463F33" w14:textId="1FEEE6BD" w:rsidR="00786CCA" w:rsidRPr="009A539C" w:rsidRDefault="003E73DB" w:rsidP="00922B44">
      <w:pPr>
        <w:pStyle w:val="PargrafodaLista"/>
        <w:numPr>
          <w:ilvl w:val="0"/>
          <w:numId w:val="69"/>
        </w:numPr>
        <w:spacing w:line="360" w:lineRule="auto"/>
        <w:ind w:left="851" w:hanging="567"/>
        <w:jc w:val="both"/>
        <w:rPr>
          <w:rFonts w:ascii="Calibri" w:hAnsi="Calibri" w:cs="Calibri"/>
        </w:rPr>
      </w:pPr>
      <w:bookmarkStart w:id="883" w:name="_Toc42511845"/>
      <w:bookmarkStart w:id="884" w:name="_Toc42514609"/>
      <w:r w:rsidRPr="009A539C">
        <w:rPr>
          <w:rFonts w:ascii="Calibri" w:hAnsi="Calibri" w:cs="Calibri"/>
        </w:rPr>
        <w:t>a maioria</w:t>
      </w:r>
      <w:r w:rsidR="00786CCA" w:rsidRPr="009A539C">
        <w:rPr>
          <w:rFonts w:ascii="Calibri" w:hAnsi="Calibri" w:cs="Calibri"/>
        </w:rPr>
        <w:t xml:space="preserve"> das convenções prevê-se o pagamento deste complemento  enquanto durar a situação de doença</w:t>
      </w:r>
      <w:r w:rsidR="00786CCA" w:rsidRPr="009A539C">
        <w:rPr>
          <w:vertAlign w:val="superscript"/>
        </w:rPr>
        <w:footnoteReference w:id="685"/>
      </w:r>
      <w:r w:rsidR="00786CCA" w:rsidRPr="009A539C">
        <w:rPr>
          <w:rFonts w:ascii="Calibri" w:hAnsi="Calibri" w:cs="Calibri"/>
        </w:rPr>
        <w:t>, verificando-se que</w:t>
      </w:r>
      <w:r w:rsidRPr="009A539C">
        <w:rPr>
          <w:rFonts w:ascii="Calibri" w:hAnsi="Calibri" w:cs="Calibri"/>
        </w:rPr>
        <w:t>,</w:t>
      </w:r>
      <w:r w:rsidR="00786CCA" w:rsidRPr="009A539C">
        <w:rPr>
          <w:rFonts w:ascii="Calibri" w:hAnsi="Calibri" w:cs="Calibri"/>
        </w:rPr>
        <w:t xml:space="preserve"> por vezes</w:t>
      </w:r>
      <w:r w:rsidRPr="009A539C">
        <w:rPr>
          <w:rFonts w:ascii="Calibri" w:hAnsi="Calibri" w:cs="Calibri"/>
        </w:rPr>
        <w:t>,</w:t>
      </w:r>
      <w:r w:rsidR="00786CCA" w:rsidRPr="009A539C">
        <w:rPr>
          <w:rFonts w:ascii="Calibri" w:hAnsi="Calibri" w:cs="Calibri"/>
        </w:rPr>
        <w:t xml:space="preserve"> os três primeiros dias</w:t>
      </w:r>
      <w:r w:rsidR="00786CCA" w:rsidRPr="009A539C">
        <w:rPr>
          <w:vertAlign w:val="superscript"/>
        </w:rPr>
        <w:footnoteReference w:id="686"/>
      </w:r>
      <w:r w:rsidR="00786CCA" w:rsidRPr="009A539C">
        <w:rPr>
          <w:rFonts w:ascii="Calibri" w:hAnsi="Calibri" w:cs="Calibri"/>
        </w:rPr>
        <w:t xml:space="preserve"> de incapacidade temporária para o trabalho serão pagos pelo empregador, em detrimento de outras </w:t>
      </w:r>
      <w:r w:rsidRPr="009A539C">
        <w:rPr>
          <w:rFonts w:ascii="Calibri" w:hAnsi="Calibri" w:cs="Calibri"/>
        </w:rPr>
        <w:t>onde o empregador</w:t>
      </w:r>
      <w:r w:rsidR="00786CCA" w:rsidRPr="009A539C">
        <w:rPr>
          <w:rFonts w:ascii="Calibri" w:hAnsi="Calibri" w:cs="Calibri"/>
        </w:rPr>
        <w:t xml:space="preserve"> só procede ao pagamento destes três dias, consoante a frequência de  ausências por esse motivo</w:t>
      </w:r>
      <w:r w:rsidR="00786CCA" w:rsidRPr="009A539C">
        <w:rPr>
          <w:vertAlign w:val="superscript"/>
        </w:rPr>
        <w:footnoteReference w:id="687"/>
      </w:r>
      <w:r w:rsidR="00786CCA" w:rsidRPr="009A539C">
        <w:rPr>
          <w:rFonts w:ascii="Calibri" w:hAnsi="Calibri" w:cs="Calibri"/>
        </w:rPr>
        <w:t>;</w:t>
      </w:r>
      <w:bookmarkEnd w:id="883"/>
      <w:bookmarkEnd w:id="884"/>
    </w:p>
    <w:p w14:paraId="61F360C4" w14:textId="2B16B255" w:rsidR="00786CCA" w:rsidRPr="009A539C" w:rsidRDefault="00786CCA" w:rsidP="00922B44">
      <w:pPr>
        <w:pStyle w:val="PargrafodaLista"/>
        <w:numPr>
          <w:ilvl w:val="0"/>
          <w:numId w:val="69"/>
        </w:numPr>
        <w:spacing w:line="360" w:lineRule="auto"/>
        <w:ind w:left="851" w:hanging="567"/>
        <w:jc w:val="both"/>
        <w:rPr>
          <w:rFonts w:ascii="Calibri" w:hAnsi="Calibri" w:cs="Calibri"/>
        </w:rPr>
      </w:pPr>
      <w:bookmarkStart w:id="885" w:name="_Toc42511846"/>
      <w:bookmarkStart w:id="886" w:name="_Toc42514610"/>
      <w:r w:rsidRPr="009A539C">
        <w:rPr>
          <w:rFonts w:ascii="Calibri" w:hAnsi="Calibri" w:cs="Calibri"/>
        </w:rPr>
        <w:t>ocasionalmente, a atribuição do benefício só sucede em caso de internamento hospitalar</w:t>
      </w:r>
      <w:r w:rsidRPr="009A539C">
        <w:rPr>
          <w:vertAlign w:val="superscript"/>
        </w:rPr>
        <w:footnoteReference w:id="688"/>
      </w:r>
      <w:bookmarkEnd w:id="885"/>
      <w:bookmarkEnd w:id="886"/>
      <w:r w:rsidR="003E73DB" w:rsidRPr="009A539C">
        <w:rPr>
          <w:rFonts w:ascii="Calibri" w:hAnsi="Calibri" w:cs="Calibri"/>
        </w:rPr>
        <w:t>;</w:t>
      </w:r>
    </w:p>
    <w:p w14:paraId="50D425DB" w14:textId="20C44045" w:rsidR="00786CCA" w:rsidRPr="009A539C" w:rsidRDefault="00786CCA" w:rsidP="00922B44">
      <w:pPr>
        <w:pStyle w:val="PargrafodaLista"/>
        <w:numPr>
          <w:ilvl w:val="0"/>
          <w:numId w:val="69"/>
        </w:numPr>
        <w:spacing w:line="360" w:lineRule="auto"/>
        <w:ind w:left="851" w:hanging="567"/>
        <w:jc w:val="both"/>
        <w:rPr>
          <w:rFonts w:ascii="Calibri" w:hAnsi="Calibri" w:cs="Calibri"/>
        </w:rPr>
      </w:pPr>
      <w:bookmarkStart w:id="887" w:name="_Toc42511847"/>
      <w:bookmarkStart w:id="888" w:name="_Toc42514611"/>
      <w:r w:rsidRPr="009A539C">
        <w:rPr>
          <w:rFonts w:ascii="Calibri" w:hAnsi="Calibri" w:cs="Calibri"/>
        </w:rPr>
        <w:t>por vezes não est</w:t>
      </w:r>
      <w:r w:rsidR="003E73DB" w:rsidRPr="009A539C">
        <w:rPr>
          <w:rFonts w:ascii="Calibri" w:hAnsi="Calibri" w:cs="Calibri"/>
        </w:rPr>
        <w:t>á</w:t>
      </w:r>
      <w:r w:rsidRPr="009A539C">
        <w:rPr>
          <w:rFonts w:ascii="Calibri" w:hAnsi="Calibri" w:cs="Calibri"/>
        </w:rPr>
        <w:t xml:space="preserve"> contemplado o pagamento dos primeiros três dias</w:t>
      </w:r>
      <w:r w:rsidRPr="009A539C">
        <w:rPr>
          <w:vertAlign w:val="superscript"/>
        </w:rPr>
        <w:footnoteReference w:id="689"/>
      </w:r>
      <w:r w:rsidRPr="009A539C">
        <w:rPr>
          <w:rFonts w:ascii="Calibri" w:hAnsi="Calibri" w:cs="Calibri"/>
        </w:rPr>
        <w:t xml:space="preserve"> por parte do empregador ou só o atribuem em ausências superiores a oito dias</w:t>
      </w:r>
      <w:r w:rsidRPr="009A539C">
        <w:rPr>
          <w:vertAlign w:val="superscript"/>
        </w:rPr>
        <w:footnoteReference w:id="690"/>
      </w:r>
      <w:r w:rsidRPr="009A539C">
        <w:rPr>
          <w:rFonts w:ascii="Calibri" w:hAnsi="Calibri" w:cs="Calibri"/>
        </w:rPr>
        <w:t>; noutras apenas ausências duradouras (por exemplo, quando ultrapassem 30 dias</w:t>
      </w:r>
      <w:r w:rsidRPr="009A539C">
        <w:rPr>
          <w:vertAlign w:val="superscript"/>
        </w:rPr>
        <w:footnoteReference w:id="691"/>
      </w:r>
      <w:r w:rsidRPr="009A539C">
        <w:rPr>
          <w:rFonts w:ascii="Calibri" w:hAnsi="Calibri" w:cs="Calibri"/>
        </w:rPr>
        <w:t>);</w:t>
      </w:r>
      <w:bookmarkEnd w:id="887"/>
      <w:bookmarkEnd w:id="888"/>
    </w:p>
    <w:p w14:paraId="75BD168D" w14:textId="23E2654B" w:rsidR="00786CCA" w:rsidRPr="009A539C" w:rsidRDefault="00600964" w:rsidP="00922B44">
      <w:pPr>
        <w:pStyle w:val="PargrafodaLista"/>
        <w:numPr>
          <w:ilvl w:val="0"/>
          <w:numId w:val="69"/>
        </w:numPr>
        <w:spacing w:line="360" w:lineRule="auto"/>
        <w:ind w:left="851" w:hanging="567"/>
        <w:jc w:val="both"/>
        <w:rPr>
          <w:rFonts w:ascii="Calibri" w:hAnsi="Calibri" w:cs="Calibri"/>
        </w:rPr>
      </w:pPr>
      <w:bookmarkStart w:id="889" w:name="_Toc42511848"/>
      <w:bookmarkStart w:id="890" w:name="_Toc42514612"/>
      <w:r w:rsidRPr="009A539C">
        <w:rPr>
          <w:rFonts w:ascii="Calibri" w:hAnsi="Calibri" w:cs="Calibri"/>
        </w:rPr>
        <w:t>p</w:t>
      </w:r>
      <w:r w:rsidR="00786CCA" w:rsidRPr="009A539C">
        <w:rPr>
          <w:rFonts w:ascii="Calibri" w:hAnsi="Calibri" w:cs="Calibri"/>
        </w:rPr>
        <w:t xml:space="preserve">odem existir limites </w:t>
      </w:r>
      <w:r w:rsidR="006F55CA" w:rsidRPr="009A539C">
        <w:rPr>
          <w:rFonts w:ascii="Calibri" w:hAnsi="Calibri" w:cs="Calibri"/>
        </w:rPr>
        <w:t>para atribuição</w:t>
      </w:r>
      <w:r w:rsidR="00786CCA" w:rsidRPr="009A539C">
        <w:rPr>
          <w:rFonts w:ascii="Calibri" w:hAnsi="Calibri" w:cs="Calibri"/>
        </w:rPr>
        <w:t xml:space="preserve"> desse benefício (por exemplo, 30</w:t>
      </w:r>
      <w:r w:rsidR="00786CCA" w:rsidRPr="009A539C">
        <w:rPr>
          <w:vertAlign w:val="superscript"/>
        </w:rPr>
        <w:footnoteReference w:id="692"/>
      </w:r>
      <w:r w:rsidR="00786CCA" w:rsidRPr="009A539C">
        <w:rPr>
          <w:rFonts w:ascii="Calibri" w:hAnsi="Calibri" w:cs="Calibri"/>
        </w:rPr>
        <w:t>, 40</w:t>
      </w:r>
      <w:r w:rsidR="00786CCA" w:rsidRPr="009A539C">
        <w:rPr>
          <w:vertAlign w:val="superscript"/>
        </w:rPr>
        <w:footnoteReference w:id="693"/>
      </w:r>
      <w:r w:rsidR="00786CCA" w:rsidRPr="009A539C">
        <w:rPr>
          <w:rFonts w:ascii="Calibri" w:hAnsi="Calibri" w:cs="Calibri"/>
        </w:rPr>
        <w:t>, 90</w:t>
      </w:r>
      <w:r w:rsidR="00786CCA" w:rsidRPr="009A539C">
        <w:rPr>
          <w:vertAlign w:val="superscript"/>
        </w:rPr>
        <w:footnoteReference w:id="694"/>
      </w:r>
      <w:r w:rsidR="00786CCA" w:rsidRPr="009A539C">
        <w:rPr>
          <w:rFonts w:ascii="Calibri" w:hAnsi="Calibri" w:cs="Calibri"/>
        </w:rPr>
        <w:t xml:space="preserve"> dias ou 12</w:t>
      </w:r>
      <w:r w:rsidR="00786CCA" w:rsidRPr="009A539C">
        <w:rPr>
          <w:vertAlign w:val="superscript"/>
        </w:rPr>
        <w:footnoteReference w:id="695"/>
      </w:r>
      <w:r w:rsidR="00786CCA" w:rsidRPr="009A539C">
        <w:rPr>
          <w:rFonts w:ascii="Calibri" w:hAnsi="Calibri" w:cs="Calibri"/>
        </w:rPr>
        <w:t xml:space="preserve"> meses por ano);</w:t>
      </w:r>
      <w:bookmarkEnd w:id="889"/>
      <w:bookmarkEnd w:id="890"/>
    </w:p>
    <w:p w14:paraId="721710D0" w14:textId="3F54BA00" w:rsidR="00786CCA" w:rsidRPr="009A539C" w:rsidRDefault="00786CCA" w:rsidP="00922B44">
      <w:pPr>
        <w:pStyle w:val="PargrafodaLista"/>
        <w:numPr>
          <w:ilvl w:val="0"/>
          <w:numId w:val="69"/>
        </w:numPr>
        <w:spacing w:line="360" w:lineRule="auto"/>
        <w:ind w:left="851" w:hanging="567"/>
        <w:jc w:val="both"/>
        <w:rPr>
          <w:rFonts w:ascii="Calibri" w:hAnsi="Calibri" w:cs="Calibri"/>
        </w:rPr>
      </w:pPr>
      <w:bookmarkStart w:id="891" w:name="_Toc42511849"/>
      <w:bookmarkStart w:id="892" w:name="_Toc42514613"/>
      <w:r w:rsidRPr="009A539C">
        <w:rPr>
          <w:rFonts w:ascii="Calibri" w:hAnsi="Calibri" w:cs="Calibri"/>
        </w:rPr>
        <w:t>também se encontra</w:t>
      </w:r>
      <w:r w:rsidR="003E73DB" w:rsidRPr="009A539C">
        <w:rPr>
          <w:rFonts w:ascii="Calibri" w:hAnsi="Calibri" w:cs="Calibri"/>
        </w:rPr>
        <w:t xml:space="preserve"> </w:t>
      </w:r>
      <w:r w:rsidRPr="009A539C">
        <w:rPr>
          <w:rFonts w:ascii="Calibri" w:hAnsi="Calibri" w:cs="Calibri"/>
        </w:rPr>
        <w:t>a possibilidade de suspensão deste complemento</w:t>
      </w:r>
      <w:r w:rsidRPr="009A539C">
        <w:rPr>
          <w:vertAlign w:val="superscript"/>
        </w:rPr>
        <w:footnoteReference w:id="696"/>
      </w:r>
      <w:r w:rsidRPr="009A539C">
        <w:rPr>
          <w:rFonts w:ascii="Calibri" w:hAnsi="Calibri" w:cs="Calibri"/>
        </w:rPr>
        <w:t>;</w:t>
      </w:r>
      <w:bookmarkEnd w:id="891"/>
      <w:bookmarkEnd w:id="892"/>
    </w:p>
    <w:p w14:paraId="79ECE37C" w14:textId="30705DFB" w:rsidR="00786CCA" w:rsidRPr="009A539C" w:rsidRDefault="00786CCA" w:rsidP="00922B44">
      <w:pPr>
        <w:pStyle w:val="PargrafodaLista"/>
        <w:numPr>
          <w:ilvl w:val="0"/>
          <w:numId w:val="69"/>
        </w:numPr>
        <w:spacing w:line="360" w:lineRule="auto"/>
        <w:ind w:left="851" w:hanging="567"/>
        <w:jc w:val="both"/>
        <w:rPr>
          <w:rFonts w:ascii="Calibri" w:hAnsi="Calibri" w:cs="Calibri"/>
        </w:rPr>
      </w:pPr>
      <w:bookmarkStart w:id="893" w:name="_Toc42511850"/>
      <w:bookmarkStart w:id="894" w:name="_Toc42514614"/>
      <w:r w:rsidRPr="009A539C">
        <w:rPr>
          <w:rFonts w:ascii="Calibri" w:hAnsi="Calibri" w:cs="Calibri"/>
        </w:rPr>
        <w:t xml:space="preserve">embora na grande maioria </w:t>
      </w:r>
      <w:r w:rsidR="00610F5E" w:rsidRPr="009A539C">
        <w:rPr>
          <w:rFonts w:ascii="Calibri" w:hAnsi="Calibri" w:cs="Calibri"/>
        </w:rPr>
        <w:t>das ocorrências a</w:t>
      </w:r>
      <w:r w:rsidRPr="009A539C">
        <w:rPr>
          <w:rFonts w:ascii="Calibri" w:hAnsi="Calibri" w:cs="Calibri"/>
        </w:rPr>
        <w:t xml:space="preserve"> atribuição do benefício decorra automaticamente da ausência por doença, noutros exige-se ponderação casuística</w:t>
      </w:r>
      <w:r w:rsidRPr="009A539C">
        <w:rPr>
          <w:vertAlign w:val="superscript"/>
        </w:rPr>
        <w:footnoteReference w:id="697"/>
      </w:r>
      <w:r w:rsidRPr="009A539C">
        <w:rPr>
          <w:rFonts w:ascii="Calibri" w:hAnsi="Calibri" w:cs="Calibri"/>
        </w:rPr>
        <w:t>;</w:t>
      </w:r>
      <w:bookmarkEnd w:id="893"/>
      <w:bookmarkEnd w:id="894"/>
    </w:p>
    <w:p w14:paraId="0FE009DB" w14:textId="61D220B3" w:rsidR="00786CCA" w:rsidRPr="009A539C" w:rsidRDefault="00786CCA" w:rsidP="00922B44">
      <w:pPr>
        <w:pStyle w:val="PargrafodaLista"/>
        <w:numPr>
          <w:ilvl w:val="0"/>
          <w:numId w:val="69"/>
        </w:numPr>
        <w:spacing w:line="360" w:lineRule="auto"/>
        <w:ind w:left="851" w:hanging="567"/>
        <w:jc w:val="both"/>
        <w:rPr>
          <w:rFonts w:ascii="Calibri" w:hAnsi="Calibri" w:cs="Calibri"/>
        </w:rPr>
      </w:pPr>
      <w:bookmarkStart w:id="895" w:name="_Toc42511851"/>
      <w:bookmarkStart w:id="896" w:name="_Toc42514615"/>
      <w:r w:rsidRPr="009A539C">
        <w:rPr>
          <w:rFonts w:ascii="Calibri" w:hAnsi="Calibri" w:cs="Calibri"/>
        </w:rPr>
        <w:t xml:space="preserve">os montantes em causa são bastante variáveis, compreendendo, </w:t>
      </w:r>
      <w:r w:rsidR="007B0A18" w:rsidRPr="009A539C">
        <w:rPr>
          <w:rFonts w:ascii="Calibri" w:hAnsi="Calibri" w:cs="Calibri"/>
        </w:rPr>
        <w:t>sobretudo</w:t>
      </w:r>
      <w:r w:rsidRPr="009A539C">
        <w:rPr>
          <w:rFonts w:ascii="Calibri" w:hAnsi="Calibri" w:cs="Calibri"/>
        </w:rPr>
        <w:t>, a diferença entre o subsídio de doença e a retribuição auferida à data da baixa por doença</w:t>
      </w:r>
      <w:r w:rsidRPr="009A539C">
        <w:rPr>
          <w:vertAlign w:val="superscript"/>
        </w:rPr>
        <w:footnoteReference w:id="698"/>
      </w:r>
      <w:r w:rsidRPr="009A539C">
        <w:rPr>
          <w:rFonts w:ascii="Calibri" w:hAnsi="Calibri" w:cs="Calibri"/>
        </w:rPr>
        <w:t>, a remuneração líquida</w:t>
      </w:r>
      <w:r w:rsidRPr="009A539C">
        <w:rPr>
          <w:vertAlign w:val="superscript"/>
        </w:rPr>
        <w:footnoteReference w:id="699"/>
      </w:r>
      <w:r w:rsidRPr="009A539C">
        <w:rPr>
          <w:rFonts w:ascii="Calibri" w:hAnsi="Calibri" w:cs="Calibri"/>
        </w:rPr>
        <w:t>, a retribuição efetiva</w:t>
      </w:r>
      <w:r w:rsidRPr="009A539C">
        <w:rPr>
          <w:vertAlign w:val="superscript"/>
        </w:rPr>
        <w:footnoteReference w:id="700"/>
      </w:r>
      <w:r w:rsidRPr="009A539C">
        <w:rPr>
          <w:rFonts w:ascii="Calibri" w:hAnsi="Calibri" w:cs="Calibri"/>
        </w:rPr>
        <w:t xml:space="preserve"> ou a que integre um conjunto preciso de componentes</w:t>
      </w:r>
      <w:r w:rsidRPr="009A539C">
        <w:rPr>
          <w:vertAlign w:val="superscript"/>
        </w:rPr>
        <w:footnoteReference w:id="701"/>
      </w:r>
      <w:r w:rsidRPr="009A539C">
        <w:rPr>
          <w:rFonts w:ascii="Calibri" w:hAnsi="Calibri" w:cs="Calibri"/>
        </w:rPr>
        <w:t>.</w:t>
      </w:r>
      <w:bookmarkEnd w:id="895"/>
      <w:bookmarkEnd w:id="896"/>
    </w:p>
    <w:p w14:paraId="20E6C923" w14:textId="3D1EEE60" w:rsidR="00786CCA" w:rsidRPr="009A539C" w:rsidRDefault="00786CCA" w:rsidP="00B93491">
      <w:pPr>
        <w:spacing w:line="360" w:lineRule="auto"/>
        <w:ind w:firstLine="284"/>
        <w:jc w:val="both"/>
        <w:rPr>
          <w:rFonts w:ascii="Calibri" w:hAnsi="Calibri" w:cs="Calibri"/>
        </w:rPr>
      </w:pPr>
      <w:bookmarkStart w:id="897" w:name="_Toc42511852"/>
      <w:bookmarkStart w:id="898" w:name="_Toc42514616"/>
      <w:r w:rsidRPr="009A539C">
        <w:rPr>
          <w:rFonts w:ascii="Calibri" w:hAnsi="Calibri" w:cs="Calibri"/>
        </w:rPr>
        <w:t>Em regra, são beneficiários do complemento de subsídio de doença os trabalhadores que perfaçam o período de garantia, previsto na lei (no regime previdencial público</w:t>
      </w:r>
      <w:r w:rsidRPr="009A539C">
        <w:rPr>
          <w:rFonts w:ascii="Calibri" w:hAnsi="Calibri" w:cs="Calibri"/>
          <w:vertAlign w:val="superscript"/>
        </w:rPr>
        <w:footnoteReference w:id="702"/>
      </w:r>
      <w:r w:rsidRPr="009A539C">
        <w:rPr>
          <w:rFonts w:ascii="Calibri" w:hAnsi="Calibri" w:cs="Calibri"/>
        </w:rPr>
        <w:t xml:space="preserve">). Existem, contudo, convenções que alargam esse direito mesmo aos trabalhadores que ainda não tenham </w:t>
      </w:r>
      <w:r w:rsidR="00111C4D" w:rsidRPr="009A539C">
        <w:rPr>
          <w:rFonts w:ascii="Calibri" w:hAnsi="Calibri" w:cs="Calibri"/>
        </w:rPr>
        <w:t>cumprido esse prazo de garantia</w:t>
      </w:r>
      <w:r w:rsidRPr="009A539C">
        <w:rPr>
          <w:rFonts w:ascii="Calibri" w:hAnsi="Calibri" w:cs="Calibri"/>
          <w:vertAlign w:val="superscript"/>
        </w:rPr>
        <w:footnoteReference w:id="703"/>
      </w:r>
      <w:r w:rsidRPr="009A539C">
        <w:rPr>
          <w:rFonts w:ascii="Calibri" w:hAnsi="Calibri" w:cs="Calibri"/>
        </w:rPr>
        <w:t xml:space="preserve"> ou em situações em que a entidade empregadora não procedeu aos descontos que lhe competia</w:t>
      </w:r>
      <w:r w:rsidRPr="009A539C">
        <w:rPr>
          <w:rFonts w:ascii="Calibri" w:hAnsi="Calibri" w:cs="Calibri"/>
          <w:vertAlign w:val="superscript"/>
        </w:rPr>
        <w:footnoteReference w:id="704"/>
      </w:r>
      <w:r w:rsidRPr="009A539C">
        <w:rPr>
          <w:rFonts w:ascii="Calibri" w:hAnsi="Calibri" w:cs="Calibri"/>
        </w:rPr>
        <w:t>.</w:t>
      </w:r>
      <w:bookmarkEnd w:id="897"/>
      <w:bookmarkEnd w:id="898"/>
    </w:p>
    <w:p w14:paraId="50BF0E7E" w14:textId="77777777" w:rsidR="00786CCA" w:rsidRPr="009A539C" w:rsidRDefault="00786CCA" w:rsidP="00B93491">
      <w:pPr>
        <w:spacing w:line="360" w:lineRule="auto"/>
        <w:ind w:firstLine="284"/>
        <w:jc w:val="both"/>
        <w:rPr>
          <w:rFonts w:ascii="Calibri" w:hAnsi="Calibri" w:cs="Calibri"/>
        </w:rPr>
      </w:pPr>
      <w:bookmarkStart w:id="899" w:name="_Toc42511853"/>
      <w:bookmarkStart w:id="900" w:name="_Toc42514617"/>
      <w:r w:rsidRPr="009A539C">
        <w:rPr>
          <w:rFonts w:ascii="Calibri" w:hAnsi="Calibri" w:cs="Calibri"/>
          <w:b/>
        </w:rPr>
        <w:t>III.</w:t>
      </w:r>
      <w:r w:rsidR="006F55CA" w:rsidRPr="009A539C">
        <w:rPr>
          <w:rFonts w:ascii="Calibri" w:hAnsi="Calibri" w:cs="Calibri"/>
        </w:rPr>
        <w:t xml:space="preserve"> </w:t>
      </w:r>
      <w:r w:rsidRPr="009A539C">
        <w:rPr>
          <w:rFonts w:ascii="Calibri" w:hAnsi="Calibri" w:cs="Calibri"/>
        </w:rPr>
        <w:t>Continua a observar-se a presença de outros benefícios relacionados com a proteção em situação de doença. Tal é o caso de:</w:t>
      </w:r>
      <w:bookmarkEnd w:id="899"/>
      <w:bookmarkEnd w:id="900"/>
    </w:p>
    <w:p w14:paraId="4C9BDC40" w14:textId="2BA436F6" w:rsidR="00786CCA" w:rsidRPr="009A539C" w:rsidRDefault="00786CCA" w:rsidP="00922B44">
      <w:pPr>
        <w:pStyle w:val="PargrafodaLista"/>
        <w:numPr>
          <w:ilvl w:val="0"/>
          <w:numId w:val="70"/>
        </w:numPr>
        <w:spacing w:line="360" w:lineRule="auto"/>
        <w:ind w:left="851" w:hanging="567"/>
        <w:jc w:val="both"/>
        <w:rPr>
          <w:rFonts w:ascii="Calibri" w:hAnsi="Calibri" w:cs="Calibri"/>
        </w:rPr>
      </w:pPr>
      <w:bookmarkStart w:id="901" w:name="_Toc42511854"/>
      <w:bookmarkStart w:id="902" w:name="_Toc42514618"/>
      <w:r w:rsidRPr="009A539C">
        <w:rPr>
          <w:rFonts w:ascii="Calibri" w:hAnsi="Calibri" w:cs="Calibri"/>
        </w:rPr>
        <w:t xml:space="preserve">sistemas de saúde próprios (solução típica do </w:t>
      </w:r>
      <w:r w:rsidR="00295F4E" w:rsidRPr="009A539C">
        <w:rPr>
          <w:rFonts w:ascii="Calibri" w:hAnsi="Calibri" w:cs="Calibri"/>
        </w:rPr>
        <w:t>Setor</w:t>
      </w:r>
      <w:r w:rsidRPr="009A539C">
        <w:rPr>
          <w:rFonts w:ascii="Calibri" w:hAnsi="Calibri" w:cs="Calibri"/>
        </w:rPr>
        <w:t xml:space="preserve"> bancário)</w:t>
      </w:r>
      <w:r w:rsidRPr="009A539C">
        <w:rPr>
          <w:vertAlign w:val="superscript"/>
        </w:rPr>
        <w:footnoteReference w:id="705"/>
      </w:r>
      <w:r w:rsidRPr="009A539C">
        <w:rPr>
          <w:rFonts w:ascii="Calibri" w:hAnsi="Calibri" w:cs="Calibri"/>
        </w:rPr>
        <w:t>;</w:t>
      </w:r>
      <w:bookmarkEnd w:id="901"/>
      <w:bookmarkEnd w:id="902"/>
      <w:r w:rsidRPr="009A539C">
        <w:rPr>
          <w:rFonts w:ascii="Calibri" w:hAnsi="Calibri" w:cs="Calibri"/>
        </w:rPr>
        <w:t xml:space="preserve"> </w:t>
      </w:r>
    </w:p>
    <w:p w14:paraId="125D7359" w14:textId="55DD555B" w:rsidR="00786CCA" w:rsidRPr="009A539C" w:rsidRDefault="00786CCA" w:rsidP="00922B44">
      <w:pPr>
        <w:pStyle w:val="PargrafodaLista"/>
        <w:numPr>
          <w:ilvl w:val="0"/>
          <w:numId w:val="70"/>
        </w:numPr>
        <w:spacing w:line="360" w:lineRule="auto"/>
        <w:ind w:left="851" w:hanging="567"/>
        <w:jc w:val="both"/>
        <w:rPr>
          <w:rFonts w:ascii="Calibri" w:hAnsi="Calibri" w:cs="Calibri"/>
        </w:rPr>
      </w:pPr>
      <w:bookmarkStart w:id="903" w:name="_Toc42511855"/>
      <w:bookmarkStart w:id="904" w:name="_Toc42514619"/>
      <w:r w:rsidRPr="009A539C">
        <w:rPr>
          <w:rFonts w:ascii="Calibri" w:hAnsi="Calibri" w:cs="Calibri"/>
        </w:rPr>
        <w:t>comparticipação em internamento hospitalar</w:t>
      </w:r>
      <w:r w:rsidRPr="009A539C">
        <w:rPr>
          <w:vertAlign w:val="superscript"/>
        </w:rPr>
        <w:footnoteReference w:id="706"/>
      </w:r>
      <w:r w:rsidRPr="009A539C">
        <w:rPr>
          <w:rFonts w:ascii="Calibri" w:hAnsi="Calibri" w:cs="Calibri"/>
        </w:rPr>
        <w:t xml:space="preserve"> e intervenção cirúrgica</w:t>
      </w:r>
      <w:r w:rsidRPr="009A539C">
        <w:rPr>
          <w:vertAlign w:val="superscript"/>
        </w:rPr>
        <w:footnoteReference w:id="707"/>
      </w:r>
      <w:r w:rsidRPr="009A539C">
        <w:rPr>
          <w:rFonts w:ascii="Calibri" w:hAnsi="Calibri" w:cs="Calibri"/>
        </w:rPr>
        <w:t>;</w:t>
      </w:r>
      <w:bookmarkEnd w:id="903"/>
      <w:bookmarkEnd w:id="904"/>
    </w:p>
    <w:p w14:paraId="261EC69F" w14:textId="272063AB" w:rsidR="00786CCA" w:rsidRPr="009A539C" w:rsidRDefault="00786CCA" w:rsidP="00922B44">
      <w:pPr>
        <w:pStyle w:val="PargrafodaLista"/>
        <w:numPr>
          <w:ilvl w:val="0"/>
          <w:numId w:val="70"/>
        </w:numPr>
        <w:spacing w:line="360" w:lineRule="auto"/>
        <w:ind w:left="851" w:hanging="567"/>
        <w:jc w:val="both"/>
        <w:rPr>
          <w:rFonts w:ascii="Calibri" w:hAnsi="Calibri" w:cs="Calibri"/>
        </w:rPr>
      </w:pPr>
      <w:bookmarkStart w:id="905" w:name="_Toc42511856"/>
      <w:bookmarkStart w:id="906" w:name="_Toc42514620"/>
      <w:r w:rsidRPr="009A539C">
        <w:rPr>
          <w:rFonts w:ascii="Calibri" w:hAnsi="Calibri" w:cs="Calibri"/>
        </w:rPr>
        <w:t>contratação por parte da entidade empregadora de seguro de saúde para o trabalhador</w:t>
      </w:r>
      <w:r w:rsidRPr="009A539C">
        <w:rPr>
          <w:vertAlign w:val="superscript"/>
        </w:rPr>
        <w:footnoteReference w:id="708"/>
      </w:r>
      <w:r w:rsidRPr="009A539C">
        <w:rPr>
          <w:rFonts w:ascii="Calibri" w:hAnsi="Calibri" w:cs="Calibri"/>
        </w:rPr>
        <w:t xml:space="preserve"> e, nalguns casos, admitindo o seu alargamento  aos  familiares do trabalhador </w:t>
      </w:r>
      <w:r w:rsidRPr="009A539C">
        <w:rPr>
          <w:vertAlign w:val="superscript"/>
        </w:rPr>
        <w:footnoteReference w:id="709"/>
      </w:r>
      <w:r w:rsidRPr="009A539C">
        <w:rPr>
          <w:rFonts w:ascii="Calibri" w:hAnsi="Calibri" w:cs="Calibri"/>
        </w:rPr>
        <w:t>;</w:t>
      </w:r>
      <w:bookmarkEnd w:id="905"/>
      <w:bookmarkEnd w:id="906"/>
    </w:p>
    <w:p w14:paraId="05B67877" w14:textId="5A5DEABB" w:rsidR="00786CCA" w:rsidRPr="009A539C" w:rsidRDefault="00F65BF9" w:rsidP="00922B44">
      <w:pPr>
        <w:pStyle w:val="PargrafodaLista"/>
        <w:numPr>
          <w:ilvl w:val="0"/>
          <w:numId w:val="70"/>
        </w:numPr>
        <w:spacing w:line="360" w:lineRule="auto"/>
        <w:ind w:left="851" w:hanging="567"/>
        <w:jc w:val="both"/>
        <w:rPr>
          <w:rFonts w:ascii="Calibri" w:hAnsi="Calibri" w:cs="Calibri"/>
        </w:rPr>
      </w:pPr>
      <w:bookmarkStart w:id="907" w:name="_Toc42511857"/>
      <w:bookmarkStart w:id="908" w:name="_Toc42514621"/>
      <w:r w:rsidRPr="009A539C">
        <w:rPr>
          <w:rFonts w:ascii="Calibri" w:hAnsi="Calibri" w:cs="Calibri"/>
        </w:rPr>
        <w:t>c</w:t>
      </w:r>
      <w:r w:rsidR="00786CCA" w:rsidRPr="009A539C">
        <w:rPr>
          <w:rFonts w:ascii="Calibri" w:hAnsi="Calibri" w:cs="Calibri"/>
        </w:rPr>
        <w:t>omparticipação dos custos da assistência médica e medicamentosa</w:t>
      </w:r>
      <w:r w:rsidR="00786CCA" w:rsidRPr="009A539C">
        <w:rPr>
          <w:vertAlign w:val="superscript"/>
        </w:rPr>
        <w:footnoteReference w:id="710"/>
      </w:r>
      <w:r w:rsidR="00786CCA" w:rsidRPr="009A539C">
        <w:rPr>
          <w:rFonts w:ascii="Calibri" w:hAnsi="Calibri" w:cs="Calibri"/>
        </w:rPr>
        <w:t>.</w:t>
      </w:r>
      <w:bookmarkEnd w:id="907"/>
      <w:bookmarkEnd w:id="908"/>
    </w:p>
    <w:p w14:paraId="44381145" w14:textId="77777777" w:rsidR="00786CCA" w:rsidRPr="009A539C" w:rsidRDefault="00786CCA" w:rsidP="00343774">
      <w:pPr>
        <w:spacing w:line="360" w:lineRule="auto"/>
        <w:ind w:firstLine="567"/>
        <w:jc w:val="both"/>
        <w:rPr>
          <w:rFonts w:ascii="Calibri" w:hAnsi="Calibri" w:cs="Calibri"/>
        </w:rPr>
      </w:pPr>
      <w:bookmarkStart w:id="909" w:name="_Toc42511858"/>
      <w:bookmarkStart w:id="910" w:name="_Toc42514622"/>
      <w:r w:rsidRPr="009A539C">
        <w:rPr>
          <w:rFonts w:ascii="Calibri" w:hAnsi="Calibri" w:cs="Calibri"/>
        </w:rPr>
        <w:t>É possível ainda verificar a existência de convenções que para além da proteção em casos de incapacidade em resultado de acidente de trabalho, abrangem igualmente doenças oncológicas</w:t>
      </w:r>
      <w:r w:rsidRPr="009A539C">
        <w:rPr>
          <w:rFonts w:ascii="Calibri" w:hAnsi="Calibri" w:cs="Calibri"/>
          <w:vertAlign w:val="superscript"/>
        </w:rPr>
        <w:footnoteReference w:id="711"/>
      </w:r>
      <w:r w:rsidRPr="009A539C">
        <w:rPr>
          <w:rFonts w:ascii="Calibri" w:hAnsi="Calibri" w:cs="Calibri"/>
        </w:rPr>
        <w:t>.</w:t>
      </w:r>
      <w:bookmarkEnd w:id="909"/>
      <w:bookmarkEnd w:id="910"/>
    </w:p>
    <w:p w14:paraId="35FB6C11" w14:textId="31C11ADD" w:rsidR="00786CCA" w:rsidRPr="009A539C" w:rsidRDefault="00786CCA" w:rsidP="00343774">
      <w:pPr>
        <w:spacing w:line="360" w:lineRule="auto"/>
        <w:ind w:firstLine="567"/>
        <w:jc w:val="both"/>
        <w:rPr>
          <w:rFonts w:ascii="Calibri" w:hAnsi="Calibri" w:cs="Calibri"/>
        </w:rPr>
      </w:pPr>
      <w:bookmarkStart w:id="911" w:name="_Toc42511859"/>
      <w:bookmarkStart w:id="912" w:name="_Toc42514623"/>
      <w:r w:rsidRPr="009A539C">
        <w:rPr>
          <w:rFonts w:ascii="Calibri" w:hAnsi="Calibri" w:cs="Calibri"/>
        </w:rPr>
        <w:t>Por outro lado, cumpre referir que o conj</w:t>
      </w:r>
      <w:r w:rsidR="00A24773" w:rsidRPr="009A539C">
        <w:rPr>
          <w:rFonts w:ascii="Calibri" w:hAnsi="Calibri" w:cs="Calibri"/>
        </w:rPr>
        <w:t>unto de benefícios relacionados</w:t>
      </w:r>
      <w:r w:rsidRPr="009A539C">
        <w:rPr>
          <w:rFonts w:ascii="Calibri" w:hAnsi="Calibri" w:cs="Calibri"/>
        </w:rPr>
        <w:t xml:space="preserve"> com a proteção da saúde  constitui uma matéria onde, por vezes, se prevê a auscultação das estruturas de representação coletiva do trabalhadores</w:t>
      </w:r>
      <w:r w:rsidRPr="009A539C">
        <w:rPr>
          <w:rFonts w:ascii="Calibri" w:hAnsi="Calibri" w:cs="Calibri"/>
          <w:vertAlign w:val="superscript"/>
        </w:rPr>
        <w:footnoteReference w:id="712"/>
      </w:r>
      <w:r w:rsidRPr="009A539C">
        <w:rPr>
          <w:rFonts w:ascii="Calibri" w:hAnsi="Calibri" w:cs="Calibri"/>
        </w:rPr>
        <w:t>.</w:t>
      </w:r>
      <w:bookmarkEnd w:id="911"/>
      <w:bookmarkEnd w:id="912"/>
      <w:r w:rsidRPr="009A539C">
        <w:rPr>
          <w:rFonts w:ascii="Calibri" w:hAnsi="Calibri" w:cs="Calibri"/>
        </w:rPr>
        <w:t xml:space="preserve">  </w:t>
      </w:r>
    </w:p>
    <w:p w14:paraId="096DA684" w14:textId="77777777" w:rsidR="00786CCA" w:rsidRPr="009A539C" w:rsidRDefault="00786CCA" w:rsidP="00343774">
      <w:pPr>
        <w:spacing w:line="360" w:lineRule="auto"/>
        <w:ind w:firstLine="567"/>
        <w:jc w:val="both"/>
        <w:rPr>
          <w:rFonts w:ascii="Calibri" w:hAnsi="Calibri" w:cs="Calibri"/>
        </w:rPr>
      </w:pPr>
      <w:bookmarkStart w:id="913" w:name="_Toc42511860"/>
      <w:bookmarkStart w:id="914" w:name="_Toc42514624"/>
      <w:r w:rsidRPr="009A539C">
        <w:rPr>
          <w:rFonts w:ascii="Calibri" w:hAnsi="Calibri" w:cs="Calibri"/>
        </w:rPr>
        <w:t>Por fim, salienta-se uma convenção que confina a atribuição de benefícios complementares, nomeadamente, seguro de doença, complemento de reforma e seguro de vida aos trabalhadores vinculados por contrato sem termo</w:t>
      </w:r>
      <w:r w:rsidRPr="009A539C">
        <w:rPr>
          <w:rFonts w:ascii="Calibri" w:hAnsi="Calibri" w:cs="Calibri"/>
          <w:vertAlign w:val="superscript"/>
        </w:rPr>
        <w:footnoteReference w:id="713"/>
      </w:r>
      <w:r w:rsidRPr="009A539C">
        <w:rPr>
          <w:rFonts w:ascii="Calibri" w:hAnsi="Calibri" w:cs="Calibri"/>
        </w:rPr>
        <w:t>, em contrapartida uma outra prevê o seu alargamento a trabalhadores com contrato a termo, decorridos seis meses sobre a prestação efetiva de trabalho.</w:t>
      </w:r>
      <w:r w:rsidRPr="009A539C">
        <w:rPr>
          <w:rFonts w:ascii="Calibri" w:hAnsi="Calibri" w:cs="Calibri"/>
          <w:vertAlign w:val="superscript"/>
        </w:rPr>
        <w:footnoteReference w:id="714"/>
      </w:r>
      <w:bookmarkEnd w:id="913"/>
      <w:bookmarkEnd w:id="914"/>
    </w:p>
    <w:p w14:paraId="4E99BD5D" w14:textId="40E9BAFC" w:rsidR="00786CCA" w:rsidRPr="009A539C" w:rsidRDefault="00786CCA" w:rsidP="00343774">
      <w:pPr>
        <w:spacing w:line="360" w:lineRule="auto"/>
        <w:ind w:firstLine="567"/>
        <w:jc w:val="both"/>
        <w:rPr>
          <w:rFonts w:ascii="Calibri" w:hAnsi="Calibri" w:cs="Calibri"/>
        </w:rPr>
      </w:pPr>
      <w:bookmarkStart w:id="915" w:name="_Toc42511861"/>
      <w:bookmarkStart w:id="916" w:name="_Toc42514625"/>
      <w:r w:rsidRPr="009A539C">
        <w:rPr>
          <w:rFonts w:ascii="Calibri" w:hAnsi="Calibri" w:cs="Calibri"/>
          <w:b/>
          <w:bCs/>
        </w:rPr>
        <w:t>IV.</w:t>
      </w:r>
      <w:r w:rsidRPr="009A539C">
        <w:rPr>
          <w:rFonts w:ascii="Calibri" w:hAnsi="Calibri" w:cs="Calibri"/>
        </w:rPr>
        <w:t xml:space="preserve"> A previsão de benefícios relativos a complementação  da retribuição  em caso de ausência  decorrente  de acidente de trabalho ou doença profissional</w:t>
      </w:r>
      <w:r w:rsidRPr="009A539C">
        <w:rPr>
          <w:rFonts w:ascii="Calibri" w:hAnsi="Calibri" w:cs="Calibri"/>
          <w:vertAlign w:val="superscript"/>
        </w:rPr>
        <w:footnoteReference w:id="715"/>
      </w:r>
      <w:r w:rsidRPr="009A539C">
        <w:rPr>
          <w:rFonts w:ascii="Calibri" w:hAnsi="Calibri" w:cs="Calibri"/>
        </w:rPr>
        <w:t xml:space="preserve"> continua a ser usual. O pressuposto assenta na obrigação da entidade empregadora proceder ao pagamento da retribuição enquanto durar o impedimento do trabalhador</w:t>
      </w:r>
      <w:r w:rsidRPr="009A539C">
        <w:rPr>
          <w:rFonts w:ascii="Calibri" w:hAnsi="Calibri" w:cs="Calibri"/>
          <w:vertAlign w:val="superscript"/>
        </w:rPr>
        <w:footnoteReference w:id="716"/>
      </w:r>
      <w:r w:rsidRPr="009A539C">
        <w:rPr>
          <w:rFonts w:ascii="Calibri" w:hAnsi="Calibri" w:cs="Calibri"/>
        </w:rPr>
        <w:t>, devendo este devolver a quantia que receber da companhia seguradora</w:t>
      </w:r>
      <w:r w:rsidRPr="009A539C">
        <w:rPr>
          <w:rFonts w:ascii="Calibri" w:hAnsi="Calibri" w:cs="Calibri"/>
          <w:vertAlign w:val="superscript"/>
        </w:rPr>
        <w:footnoteReference w:id="717"/>
      </w:r>
      <w:r w:rsidRPr="009A539C">
        <w:rPr>
          <w:rFonts w:ascii="Calibri" w:hAnsi="Calibri" w:cs="Calibri"/>
        </w:rPr>
        <w:t xml:space="preserve">. </w:t>
      </w:r>
      <w:r w:rsidR="009A09B5" w:rsidRPr="009A539C">
        <w:rPr>
          <w:rFonts w:ascii="Calibri" w:hAnsi="Calibri" w:cs="Calibri"/>
        </w:rPr>
        <w:t>A fruição</w:t>
      </w:r>
      <w:r w:rsidR="002A40F4" w:rsidRPr="009A539C">
        <w:rPr>
          <w:rFonts w:ascii="Calibri" w:hAnsi="Calibri" w:cs="Calibri"/>
        </w:rPr>
        <w:t xml:space="preserve"> deste benefício</w:t>
      </w:r>
      <w:r w:rsidR="009A09B5" w:rsidRPr="009A539C">
        <w:rPr>
          <w:rFonts w:ascii="Calibri" w:hAnsi="Calibri" w:cs="Calibri"/>
        </w:rPr>
        <w:t xml:space="preserve"> pode ter </w:t>
      </w:r>
      <w:r w:rsidRPr="009A539C">
        <w:rPr>
          <w:rFonts w:ascii="Calibri" w:hAnsi="Calibri" w:cs="Calibri"/>
        </w:rPr>
        <w:t xml:space="preserve">limitações </w:t>
      </w:r>
      <w:r w:rsidR="009A09B5" w:rsidRPr="009A539C">
        <w:rPr>
          <w:rFonts w:ascii="Calibri" w:hAnsi="Calibri" w:cs="Calibri"/>
        </w:rPr>
        <w:t xml:space="preserve">de ordem </w:t>
      </w:r>
      <w:r w:rsidRPr="009A539C">
        <w:rPr>
          <w:rFonts w:ascii="Calibri" w:hAnsi="Calibri" w:cs="Calibri"/>
        </w:rPr>
        <w:t>tempora</w:t>
      </w:r>
      <w:r w:rsidR="009A09B5" w:rsidRPr="009A539C">
        <w:rPr>
          <w:rFonts w:ascii="Calibri" w:hAnsi="Calibri" w:cs="Calibri"/>
        </w:rPr>
        <w:t>l</w:t>
      </w:r>
      <w:r w:rsidRPr="009A539C">
        <w:rPr>
          <w:rFonts w:ascii="Calibri" w:hAnsi="Calibri" w:cs="Calibri"/>
          <w:vertAlign w:val="superscript"/>
        </w:rPr>
        <w:footnoteReference w:id="718"/>
      </w:r>
      <w:r w:rsidRPr="009A539C">
        <w:rPr>
          <w:rFonts w:ascii="Calibri" w:hAnsi="Calibri" w:cs="Calibri"/>
        </w:rPr>
        <w:t xml:space="preserve"> ou qu</w:t>
      </w:r>
      <w:r w:rsidR="009A09B5" w:rsidRPr="009A539C">
        <w:rPr>
          <w:rFonts w:ascii="Calibri" w:hAnsi="Calibri" w:cs="Calibri"/>
        </w:rPr>
        <w:t>antitativo</w:t>
      </w:r>
      <w:r w:rsidRPr="009A539C">
        <w:rPr>
          <w:rFonts w:ascii="Calibri" w:hAnsi="Calibri" w:cs="Calibri"/>
          <w:vertAlign w:val="superscript"/>
        </w:rPr>
        <w:footnoteReference w:id="719"/>
      </w:r>
      <w:r w:rsidR="002A40F4" w:rsidRPr="009A539C">
        <w:rPr>
          <w:rFonts w:ascii="Calibri" w:hAnsi="Calibri" w:cs="Calibri"/>
        </w:rPr>
        <w:t>.</w:t>
      </w:r>
      <w:r w:rsidRPr="009A539C">
        <w:rPr>
          <w:rFonts w:ascii="Calibri" w:hAnsi="Calibri" w:cs="Calibri"/>
        </w:rPr>
        <w:t xml:space="preserve"> </w:t>
      </w:r>
      <w:bookmarkEnd w:id="915"/>
      <w:bookmarkEnd w:id="916"/>
    </w:p>
    <w:p w14:paraId="7B028773" w14:textId="77777777" w:rsidR="00786CCA" w:rsidRPr="009A539C" w:rsidRDefault="0092688B" w:rsidP="00343774">
      <w:pPr>
        <w:spacing w:line="360" w:lineRule="auto"/>
        <w:ind w:firstLine="567"/>
        <w:jc w:val="both"/>
        <w:rPr>
          <w:rFonts w:ascii="Calibri" w:hAnsi="Calibri" w:cs="Calibri"/>
        </w:rPr>
      </w:pPr>
      <w:bookmarkStart w:id="917" w:name="_Toc42511862"/>
      <w:bookmarkStart w:id="918" w:name="_Toc42514626"/>
      <w:r w:rsidRPr="009A539C">
        <w:rPr>
          <w:rFonts w:ascii="Calibri" w:hAnsi="Calibri" w:cs="Calibri"/>
        </w:rPr>
        <w:t xml:space="preserve">Por outro lado, diversas convenções </w:t>
      </w:r>
      <w:r w:rsidR="00786CCA" w:rsidRPr="009A539C">
        <w:rPr>
          <w:rFonts w:ascii="Calibri" w:hAnsi="Calibri" w:cs="Calibri"/>
        </w:rPr>
        <w:t>regulam, de forma expressa, a obrigação da entidade empregadora encontrar uma função compatível com a incapacidade permanente que resultou de acidente de trabalho ou de doença profissional, assegurando que o trabalhador mantém a retribuição auferida no momento da baixa</w:t>
      </w:r>
      <w:r w:rsidR="00786CCA" w:rsidRPr="009A539C">
        <w:rPr>
          <w:rFonts w:ascii="Calibri" w:hAnsi="Calibri" w:cs="Calibri"/>
          <w:vertAlign w:val="superscript"/>
        </w:rPr>
        <w:footnoteReference w:id="720"/>
      </w:r>
      <w:r w:rsidR="00786CCA" w:rsidRPr="009A539C">
        <w:rPr>
          <w:rFonts w:ascii="Calibri" w:hAnsi="Calibri" w:cs="Calibri"/>
        </w:rPr>
        <w:t>.</w:t>
      </w:r>
      <w:bookmarkEnd w:id="917"/>
      <w:bookmarkEnd w:id="918"/>
    </w:p>
    <w:p w14:paraId="2B1351D9" w14:textId="77777777" w:rsidR="00786CCA" w:rsidRPr="009A539C" w:rsidRDefault="00786CCA" w:rsidP="00B93491">
      <w:pPr>
        <w:spacing w:line="360" w:lineRule="auto"/>
        <w:ind w:firstLine="284"/>
        <w:jc w:val="both"/>
        <w:rPr>
          <w:rFonts w:ascii="Calibri" w:hAnsi="Calibri" w:cs="Calibri"/>
        </w:rPr>
      </w:pPr>
      <w:bookmarkStart w:id="919" w:name="_Toc42511863"/>
      <w:bookmarkStart w:id="920" w:name="_Toc42514627"/>
      <w:r w:rsidRPr="009A539C">
        <w:rPr>
          <w:rFonts w:ascii="Calibri" w:hAnsi="Calibri" w:cs="Calibri"/>
          <w:b/>
        </w:rPr>
        <w:t>V</w:t>
      </w:r>
      <w:r w:rsidRPr="009A539C">
        <w:rPr>
          <w:rFonts w:ascii="Calibri" w:hAnsi="Calibri" w:cs="Calibri"/>
        </w:rPr>
        <w:t xml:space="preserve">. Relativamente aos benefícios complementares de reforma por velhice ou invalidez, continuam a registar -se no </w:t>
      </w:r>
      <w:r w:rsidR="00295F4E" w:rsidRPr="009A539C">
        <w:rPr>
          <w:rFonts w:ascii="Calibri" w:hAnsi="Calibri" w:cs="Calibri"/>
        </w:rPr>
        <w:t>setor</w:t>
      </w:r>
      <w:r w:rsidRPr="009A539C">
        <w:rPr>
          <w:rFonts w:ascii="Calibri" w:hAnsi="Calibri" w:cs="Calibri"/>
        </w:rPr>
        <w:t xml:space="preserve"> bancário</w:t>
      </w:r>
      <w:r w:rsidRPr="009A539C">
        <w:rPr>
          <w:rFonts w:ascii="Calibri" w:hAnsi="Calibri" w:cs="Calibri"/>
          <w:vertAlign w:val="superscript"/>
        </w:rPr>
        <w:footnoteReference w:id="721"/>
      </w:r>
      <w:r w:rsidRPr="009A539C">
        <w:rPr>
          <w:rFonts w:ascii="Calibri" w:hAnsi="Calibri" w:cs="Calibri"/>
        </w:rPr>
        <w:t xml:space="preserve"> e segurador</w:t>
      </w:r>
      <w:r w:rsidRPr="009A539C">
        <w:rPr>
          <w:rFonts w:ascii="Calibri" w:hAnsi="Calibri" w:cs="Calibri"/>
          <w:vertAlign w:val="superscript"/>
        </w:rPr>
        <w:footnoteReference w:id="722"/>
      </w:r>
      <w:r w:rsidRPr="009A539C">
        <w:rPr>
          <w:rFonts w:ascii="Calibri" w:hAnsi="Calibri" w:cs="Calibri"/>
        </w:rPr>
        <w:t xml:space="preserve">, mas surgem também no </w:t>
      </w:r>
      <w:r w:rsidR="00295F4E" w:rsidRPr="009A539C">
        <w:rPr>
          <w:rFonts w:ascii="Calibri" w:hAnsi="Calibri" w:cs="Calibri"/>
        </w:rPr>
        <w:t>setor</w:t>
      </w:r>
      <w:r w:rsidRPr="009A539C">
        <w:rPr>
          <w:rFonts w:ascii="Calibri" w:hAnsi="Calibri" w:cs="Calibri"/>
        </w:rPr>
        <w:t xml:space="preserve"> das Indústrias transformadoras</w:t>
      </w:r>
      <w:r w:rsidRPr="009A539C">
        <w:rPr>
          <w:rFonts w:ascii="Calibri" w:hAnsi="Calibri" w:cs="Calibri"/>
          <w:vertAlign w:val="superscript"/>
        </w:rPr>
        <w:footnoteReference w:id="723"/>
      </w:r>
      <w:r w:rsidRPr="009A539C">
        <w:rPr>
          <w:rFonts w:ascii="Calibri" w:hAnsi="Calibri" w:cs="Calibri"/>
        </w:rPr>
        <w:t xml:space="preserve"> e transportes</w:t>
      </w:r>
      <w:r w:rsidRPr="009A539C">
        <w:rPr>
          <w:rFonts w:ascii="Calibri" w:hAnsi="Calibri" w:cs="Calibri"/>
          <w:vertAlign w:val="superscript"/>
        </w:rPr>
        <w:footnoteReference w:id="724"/>
      </w:r>
      <w:r w:rsidRPr="009A539C">
        <w:rPr>
          <w:rFonts w:ascii="Calibri" w:hAnsi="Calibri" w:cs="Calibri"/>
        </w:rPr>
        <w:t>. Nos outros setores, as convenções, de um modo geral e quase sempre, limitam-se a prever um regime de carater geral, mantendo a proteção dos trabalhadores admitidos até certa data</w:t>
      </w:r>
      <w:r w:rsidRPr="009A539C">
        <w:rPr>
          <w:rFonts w:ascii="Calibri" w:hAnsi="Calibri" w:cs="Calibri"/>
          <w:vertAlign w:val="superscript"/>
        </w:rPr>
        <w:footnoteReference w:id="725"/>
      </w:r>
      <w:r w:rsidRPr="009A539C">
        <w:rPr>
          <w:rFonts w:ascii="Calibri" w:hAnsi="Calibri" w:cs="Calibri"/>
        </w:rPr>
        <w:t>.</w:t>
      </w:r>
      <w:bookmarkEnd w:id="919"/>
      <w:bookmarkEnd w:id="920"/>
      <w:r w:rsidRPr="009A539C">
        <w:rPr>
          <w:rFonts w:ascii="Calibri" w:hAnsi="Calibri" w:cs="Calibri"/>
        </w:rPr>
        <w:t xml:space="preserve"> </w:t>
      </w:r>
    </w:p>
    <w:p w14:paraId="1F37AA1B" w14:textId="2FF4A5DC" w:rsidR="00786CCA" w:rsidRPr="009A539C" w:rsidRDefault="00786CCA" w:rsidP="00343774">
      <w:pPr>
        <w:spacing w:line="360" w:lineRule="auto"/>
        <w:ind w:firstLine="567"/>
        <w:jc w:val="both"/>
        <w:rPr>
          <w:rFonts w:ascii="Calibri" w:hAnsi="Calibri" w:cs="Calibri"/>
        </w:rPr>
      </w:pPr>
      <w:bookmarkStart w:id="921" w:name="_Toc42511864"/>
      <w:bookmarkStart w:id="922" w:name="_Toc42514628"/>
      <w:r w:rsidRPr="009A539C">
        <w:rPr>
          <w:rFonts w:ascii="Calibri" w:hAnsi="Calibri" w:cs="Calibri"/>
          <w:b/>
        </w:rPr>
        <w:t>VI.</w:t>
      </w:r>
      <w:r w:rsidRPr="009A539C">
        <w:rPr>
          <w:rFonts w:ascii="Calibri" w:hAnsi="Calibri" w:cs="Calibri"/>
        </w:rPr>
        <w:t xml:space="preserve"> Encontra-se em alguns conteúdos convencionais os benefícios do complemento da pensão de sobrevivência</w:t>
      </w:r>
      <w:r w:rsidRPr="009A539C">
        <w:rPr>
          <w:rFonts w:ascii="Calibri" w:hAnsi="Calibri" w:cs="Calibri"/>
          <w:vertAlign w:val="superscript"/>
        </w:rPr>
        <w:footnoteReference w:id="726"/>
      </w:r>
      <w:r w:rsidRPr="009A539C">
        <w:rPr>
          <w:rFonts w:ascii="Calibri" w:hAnsi="Calibri" w:cs="Calibri"/>
        </w:rPr>
        <w:t>. Em outros casos, a convenção estabelece um seguro de vida</w:t>
      </w:r>
      <w:r w:rsidRPr="009A539C">
        <w:rPr>
          <w:rFonts w:ascii="Calibri" w:hAnsi="Calibri" w:cs="Calibri"/>
          <w:vertAlign w:val="superscript"/>
        </w:rPr>
        <w:footnoteReference w:id="727"/>
      </w:r>
      <w:r w:rsidRPr="009A539C">
        <w:rPr>
          <w:rFonts w:ascii="Calibri" w:hAnsi="Calibri" w:cs="Calibri"/>
        </w:rPr>
        <w:t xml:space="preserve">  - no </w:t>
      </w:r>
      <w:r w:rsidR="00A24773" w:rsidRPr="009A539C">
        <w:rPr>
          <w:rFonts w:ascii="Calibri" w:hAnsi="Calibri" w:cs="Calibri"/>
        </w:rPr>
        <w:t xml:space="preserve"> </w:t>
      </w:r>
      <w:r w:rsidRPr="009A539C">
        <w:rPr>
          <w:rFonts w:ascii="Calibri" w:hAnsi="Calibri" w:cs="Calibri"/>
        </w:rPr>
        <w:t xml:space="preserve"> setor segurador,  </w:t>
      </w:r>
      <w:r w:rsidR="00A24773" w:rsidRPr="009A539C">
        <w:rPr>
          <w:rFonts w:ascii="Calibri" w:hAnsi="Calibri" w:cs="Calibri"/>
        </w:rPr>
        <w:t>é defini</w:t>
      </w:r>
      <w:r w:rsidRPr="009A539C">
        <w:rPr>
          <w:rFonts w:ascii="Calibri" w:hAnsi="Calibri" w:cs="Calibri"/>
        </w:rPr>
        <w:t>do o valor do capital a segurar</w:t>
      </w:r>
      <w:r w:rsidRPr="009A539C">
        <w:rPr>
          <w:rFonts w:ascii="Calibri" w:hAnsi="Calibri" w:cs="Calibri"/>
          <w:vertAlign w:val="superscript"/>
        </w:rPr>
        <w:footnoteReference w:id="728"/>
      </w:r>
      <w:r w:rsidR="00600964" w:rsidRPr="009A539C">
        <w:rPr>
          <w:rFonts w:ascii="Calibri" w:hAnsi="Calibri" w:cs="Calibri"/>
        </w:rPr>
        <w:t xml:space="preserve">  -</w:t>
      </w:r>
      <w:r w:rsidRPr="009A539C">
        <w:rPr>
          <w:rFonts w:ascii="Calibri" w:hAnsi="Calibri" w:cs="Calibri"/>
        </w:rPr>
        <w:t>, bem como a previsão de complemento ao subsídio de funeral</w:t>
      </w:r>
      <w:r w:rsidRPr="009A539C">
        <w:rPr>
          <w:rFonts w:ascii="Calibri" w:hAnsi="Calibri" w:cs="Calibri"/>
          <w:vertAlign w:val="superscript"/>
        </w:rPr>
        <w:footnoteReference w:id="729"/>
      </w:r>
      <w:r w:rsidRPr="009A539C">
        <w:rPr>
          <w:rFonts w:ascii="Calibri" w:hAnsi="Calibri" w:cs="Calibri"/>
        </w:rPr>
        <w:t>.</w:t>
      </w:r>
      <w:bookmarkEnd w:id="921"/>
      <w:bookmarkEnd w:id="922"/>
    </w:p>
    <w:p w14:paraId="35859118" w14:textId="77777777" w:rsidR="00786CCA" w:rsidRPr="009A539C" w:rsidRDefault="00786CCA" w:rsidP="00343774">
      <w:pPr>
        <w:spacing w:line="360" w:lineRule="auto"/>
        <w:ind w:firstLine="567"/>
        <w:jc w:val="both"/>
        <w:rPr>
          <w:rFonts w:ascii="Calibri" w:hAnsi="Calibri" w:cs="Calibri"/>
        </w:rPr>
      </w:pPr>
      <w:bookmarkStart w:id="923" w:name="_Toc42511865"/>
      <w:bookmarkStart w:id="924" w:name="_Toc42514629"/>
      <w:r w:rsidRPr="009A539C">
        <w:rPr>
          <w:rFonts w:ascii="Calibri" w:hAnsi="Calibri" w:cs="Calibri"/>
          <w:b/>
        </w:rPr>
        <w:t>VII.</w:t>
      </w:r>
      <w:r w:rsidRPr="009A539C">
        <w:rPr>
          <w:rFonts w:ascii="Calibri" w:hAnsi="Calibri" w:cs="Calibri"/>
        </w:rPr>
        <w:t xml:space="preserve"> Relacionado com a situação pessoal e familiar do trabalhador, nas convenções publicadas em 2019, verificam-se os seguintes de benefícios, num padrão de continuidade relativamente ao Relatório de 2018:</w:t>
      </w:r>
      <w:bookmarkEnd w:id="923"/>
      <w:bookmarkEnd w:id="924"/>
    </w:p>
    <w:p w14:paraId="601C23E7" w14:textId="702D4961" w:rsidR="00786CCA" w:rsidRPr="009A539C" w:rsidRDefault="00786CCA" w:rsidP="00922B44">
      <w:pPr>
        <w:pStyle w:val="PargrafodaLista"/>
        <w:numPr>
          <w:ilvl w:val="0"/>
          <w:numId w:val="71"/>
        </w:numPr>
        <w:spacing w:line="360" w:lineRule="auto"/>
        <w:jc w:val="both"/>
        <w:rPr>
          <w:rFonts w:ascii="Calibri" w:hAnsi="Calibri" w:cs="Calibri"/>
        </w:rPr>
      </w:pPr>
      <w:bookmarkStart w:id="925" w:name="_Toc42511866"/>
      <w:bookmarkStart w:id="926" w:name="_Toc42514630"/>
      <w:r w:rsidRPr="009A539C">
        <w:rPr>
          <w:rFonts w:ascii="Calibri" w:hAnsi="Calibri" w:cs="Calibri"/>
        </w:rPr>
        <w:t>comparticipação nas despesas de estudo dos filhos, não só em idade escolar</w:t>
      </w:r>
      <w:r w:rsidRPr="009A539C">
        <w:rPr>
          <w:vertAlign w:val="superscript"/>
        </w:rPr>
        <w:footnoteReference w:id="730"/>
      </w:r>
      <w:r w:rsidRPr="009A539C">
        <w:rPr>
          <w:rFonts w:ascii="Calibri" w:hAnsi="Calibri" w:cs="Calibri"/>
        </w:rPr>
        <w:t xml:space="preserve"> mas até aos 25 anos de idade</w:t>
      </w:r>
      <w:r w:rsidRPr="009A539C">
        <w:rPr>
          <w:vertAlign w:val="superscript"/>
        </w:rPr>
        <w:footnoteReference w:id="731"/>
      </w:r>
      <w:r w:rsidRPr="009A539C">
        <w:rPr>
          <w:rFonts w:ascii="Calibri" w:hAnsi="Calibri" w:cs="Calibri"/>
        </w:rPr>
        <w:t>.</w:t>
      </w:r>
      <w:r w:rsidR="00A24773" w:rsidRPr="009A539C">
        <w:rPr>
          <w:rFonts w:ascii="Calibri" w:hAnsi="Calibri" w:cs="Calibri"/>
        </w:rPr>
        <w:t xml:space="preserve"> </w:t>
      </w:r>
      <w:r w:rsidRPr="009A539C">
        <w:rPr>
          <w:rFonts w:ascii="Calibri" w:hAnsi="Calibri" w:cs="Calibri"/>
        </w:rPr>
        <w:t>Este</w:t>
      </w:r>
      <w:r w:rsidR="00A24773" w:rsidRPr="009A539C">
        <w:rPr>
          <w:rFonts w:ascii="Calibri" w:hAnsi="Calibri" w:cs="Calibri"/>
        </w:rPr>
        <w:t xml:space="preserve"> benefício pode variar consoante os </w:t>
      </w:r>
      <w:r w:rsidRPr="009A539C">
        <w:rPr>
          <w:rFonts w:ascii="Calibri" w:hAnsi="Calibri" w:cs="Calibri"/>
        </w:rPr>
        <w:t>ciclo de estudos</w:t>
      </w:r>
      <w:r w:rsidRPr="009A539C">
        <w:rPr>
          <w:vertAlign w:val="superscript"/>
        </w:rPr>
        <w:footnoteReference w:id="732"/>
      </w:r>
      <w:r w:rsidRPr="009A539C">
        <w:rPr>
          <w:rFonts w:ascii="Calibri" w:hAnsi="Calibri" w:cs="Calibri"/>
        </w:rPr>
        <w:t xml:space="preserve"> ou da idade do educando</w:t>
      </w:r>
      <w:r w:rsidRPr="009A539C">
        <w:rPr>
          <w:vertAlign w:val="superscript"/>
        </w:rPr>
        <w:footnoteReference w:id="733"/>
      </w:r>
      <w:r w:rsidRPr="009A539C">
        <w:rPr>
          <w:rFonts w:ascii="Calibri" w:hAnsi="Calibri" w:cs="Calibri"/>
        </w:rPr>
        <w:t>;</w:t>
      </w:r>
      <w:bookmarkEnd w:id="925"/>
      <w:bookmarkEnd w:id="926"/>
    </w:p>
    <w:p w14:paraId="329A3B1F" w14:textId="14650168" w:rsidR="00786CCA" w:rsidRPr="009A539C" w:rsidRDefault="00786CCA" w:rsidP="00922B44">
      <w:pPr>
        <w:pStyle w:val="PargrafodaLista"/>
        <w:numPr>
          <w:ilvl w:val="0"/>
          <w:numId w:val="71"/>
        </w:numPr>
        <w:spacing w:line="360" w:lineRule="auto"/>
        <w:jc w:val="both"/>
        <w:rPr>
          <w:rFonts w:ascii="Calibri" w:hAnsi="Calibri" w:cs="Calibri"/>
        </w:rPr>
      </w:pPr>
      <w:bookmarkStart w:id="927" w:name="_Toc42511867"/>
      <w:bookmarkStart w:id="928" w:name="_Toc42514631"/>
      <w:r w:rsidRPr="009A539C">
        <w:rPr>
          <w:rFonts w:ascii="Calibri" w:hAnsi="Calibri" w:cs="Calibri"/>
        </w:rPr>
        <w:t>subsídio infantil, em regra associado à frequência de berçários, creches ou infantários/jardins-de-infância</w:t>
      </w:r>
      <w:r w:rsidRPr="009A539C">
        <w:rPr>
          <w:rFonts w:ascii="Calibri" w:hAnsi="Calibri" w:cs="Calibri"/>
          <w:vertAlign w:val="superscript"/>
        </w:rPr>
        <w:t xml:space="preserve"> </w:t>
      </w:r>
      <w:r w:rsidRPr="009A539C">
        <w:rPr>
          <w:vertAlign w:val="superscript"/>
        </w:rPr>
        <w:footnoteReference w:id="734"/>
      </w:r>
      <w:r w:rsidRPr="009A539C">
        <w:rPr>
          <w:rFonts w:ascii="Calibri" w:hAnsi="Calibri" w:cs="Calibri"/>
        </w:rPr>
        <w:t>;</w:t>
      </w:r>
      <w:bookmarkEnd w:id="927"/>
      <w:bookmarkEnd w:id="928"/>
    </w:p>
    <w:p w14:paraId="61DAE4CF" w14:textId="01F3AD4E" w:rsidR="00786CCA" w:rsidRPr="009A539C" w:rsidRDefault="00786CCA" w:rsidP="00922B44">
      <w:pPr>
        <w:pStyle w:val="PargrafodaLista"/>
        <w:numPr>
          <w:ilvl w:val="0"/>
          <w:numId w:val="71"/>
        </w:numPr>
        <w:spacing w:line="360" w:lineRule="auto"/>
        <w:jc w:val="both"/>
        <w:rPr>
          <w:rFonts w:ascii="Calibri" w:hAnsi="Calibri" w:cs="Calibri"/>
        </w:rPr>
      </w:pPr>
      <w:bookmarkStart w:id="929" w:name="_Toc42511868"/>
      <w:bookmarkStart w:id="930" w:name="_Toc42514632"/>
      <w:r w:rsidRPr="009A539C">
        <w:rPr>
          <w:rFonts w:ascii="Calibri" w:hAnsi="Calibri" w:cs="Calibri"/>
        </w:rPr>
        <w:t>subsídio para apoio à educação especial</w:t>
      </w:r>
      <w:r w:rsidRPr="009A539C">
        <w:rPr>
          <w:vertAlign w:val="superscript"/>
        </w:rPr>
        <w:footnoteReference w:id="735"/>
      </w:r>
      <w:r w:rsidRPr="009A539C">
        <w:rPr>
          <w:rFonts w:ascii="Calibri" w:hAnsi="Calibri" w:cs="Calibri"/>
        </w:rPr>
        <w:t>;</w:t>
      </w:r>
      <w:bookmarkEnd w:id="929"/>
      <w:bookmarkEnd w:id="930"/>
    </w:p>
    <w:p w14:paraId="2588BD28" w14:textId="103E94F5" w:rsidR="00786CCA" w:rsidRPr="009A539C" w:rsidRDefault="00F65BF9" w:rsidP="00922B44">
      <w:pPr>
        <w:pStyle w:val="PargrafodaLista"/>
        <w:numPr>
          <w:ilvl w:val="0"/>
          <w:numId w:val="71"/>
        </w:numPr>
        <w:spacing w:line="360" w:lineRule="auto"/>
        <w:jc w:val="both"/>
        <w:rPr>
          <w:rFonts w:ascii="Calibri" w:hAnsi="Calibri" w:cs="Calibri"/>
        </w:rPr>
      </w:pPr>
      <w:bookmarkStart w:id="931" w:name="_Toc42511869"/>
      <w:bookmarkStart w:id="932" w:name="_Toc42514633"/>
      <w:r w:rsidRPr="009A539C">
        <w:rPr>
          <w:rFonts w:ascii="Calibri" w:hAnsi="Calibri" w:cs="Calibri"/>
        </w:rPr>
        <w:t>s</w:t>
      </w:r>
      <w:r w:rsidR="00786CCA" w:rsidRPr="009A539C">
        <w:rPr>
          <w:rFonts w:ascii="Calibri" w:hAnsi="Calibri" w:cs="Calibri"/>
        </w:rPr>
        <w:t>ubsídio para recuperação de filhos portadores de deficiência motora, mental, linguagem</w:t>
      </w:r>
      <w:r w:rsidR="00786CCA" w:rsidRPr="009A539C">
        <w:rPr>
          <w:vertAlign w:val="superscript"/>
        </w:rPr>
        <w:footnoteReference w:id="736"/>
      </w:r>
      <w:r w:rsidR="00786CCA" w:rsidRPr="009A539C">
        <w:rPr>
          <w:rFonts w:ascii="Calibri" w:hAnsi="Calibri" w:cs="Calibri"/>
        </w:rPr>
        <w:t>;</w:t>
      </w:r>
      <w:bookmarkEnd w:id="931"/>
      <w:bookmarkEnd w:id="932"/>
    </w:p>
    <w:p w14:paraId="09CD66D9" w14:textId="4BE52590" w:rsidR="00786CCA" w:rsidRPr="009A539C" w:rsidRDefault="00786CCA" w:rsidP="00922B44">
      <w:pPr>
        <w:pStyle w:val="PargrafodaLista"/>
        <w:numPr>
          <w:ilvl w:val="0"/>
          <w:numId w:val="71"/>
        </w:numPr>
        <w:spacing w:line="360" w:lineRule="auto"/>
        <w:jc w:val="both"/>
        <w:rPr>
          <w:rFonts w:ascii="Calibri" w:hAnsi="Calibri" w:cs="Calibri"/>
        </w:rPr>
      </w:pPr>
      <w:bookmarkStart w:id="933" w:name="_Toc42511870"/>
      <w:bookmarkStart w:id="934" w:name="_Toc42514634"/>
      <w:r w:rsidRPr="009A539C">
        <w:rPr>
          <w:rFonts w:ascii="Calibri" w:hAnsi="Calibri" w:cs="Calibri"/>
        </w:rPr>
        <w:t>subsídio de nascimento ou adopção, em certos casos denominado como apoio à natalidade</w:t>
      </w:r>
      <w:r w:rsidRPr="009A539C">
        <w:rPr>
          <w:vertAlign w:val="superscript"/>
        </w:rPr>
        <w:footnoteReference w:id="737"/>
      </w:r>
      <w:r w:rsidRPr="009A539C">
        <w:rPr>
          <w:rFonts w:ascii="Calibri" w:hAnsi="Calibri" w:cs="Calibri"/>
        </w:rPr>
        <w:t>.</w:t>
      </w:r>
      <w:bookmarkEnd w:id="933"/>
      <w:bookmarkEnd w:id="934"/>
    </w:p>
    <w:p w14:paraId="27EF58F7" w14:textId="1703D1EA" w:rsidR="00786CCA" w:rsidRPr="009A539C" w:rsidRDefault="00BE45EF" w:rsidP="00343774">
      <w:pPr>
        <w:spacing w:line="360" w:lineRule="auto"/>
        <w:ind w:firstLine="567"/>
        <w:jc w:val="both"/>
        <w:rPr>
          <w:rFonts w:ascii="Calibri" w:hAnsi="Calibri" w:cs="Calibri"/>
          <w:b/>
        </w:rPr>
      </w:pPr>
      <w:bookmarkStart w:id="935" w:name="_Toc42511871"/>
      <w:bookmarkStart w:id="936" w:name="_Toc42514635"/>
      <w:r w:rsidRPr="009A539C">
        <w:rPr>
          <w:rFonts w:ascii="Calibri" w:hAnsi="Calibri" w:cs="Calibri"/>
          <w:b/>
        </w:rPr>
        <w:t>VIII.</w:t>
      </w:r>
      <w:r w:rsidRPr="009A539C">
        <w:rPr>
          <w:rFonts w:ascii="Calibri" w:hAnsi="Calibri" w:cs="Calibri"/>
        </w:rPr>
        <w:t xml:space="preserve"> </w:t>
      </w:r>
      <w:r w:rsidR="00A03F69" w:rsidRPr="009A539C">
        <w:rPr>
          <w:rFonts w:ascii="Calibri" w:hAnsi="Calibri" w:cs="Calibri"/>
          <w:bCs/>
        </w:rPr>
        <w:t>Nalgumas convenções coletivas,</w:t>
      </w:r>
      <w:r w:rsidR="00A24773" w:rsidRPr="009A539C">
        <w:rPr>
          <w:rFonts w:ascii="Calibri" w:hAnsi="Calibri" w:cs="Calibri"/>
          <w:bCs/>
        </w:rPr>
        <w:t xml:space="preserve"> estão, ainda, previstos</w:t>
      </w:r>
      <w:r w:rsidR="00786CCA" w:rsidRPr="009A539C">
        <w:rPr>
          <w:rFonts w:ascii="Calibri" w:hAnsi="Calibri" w:cs="Calibri"/>
          <w:bCs/>
        </w:rPr>
        <w:t xml:space="preserve"> </w:t>
      </w:r>
      <w:r w:rsidR="00A03F69" w:rsidRPr="009A539C">
        <w:rPr>
          <w:rFonts w:ascii="Calibri" w:hAnsi="Calibri" w:cs="Calibri"/>
          <w:bCs/>
        </w:rPr>
        <w:t xml:space="preserve">seguro de viagens, </w:t>
      </w:r>
      <w:r w:rsidR="00786CCA" w:rsidRPr="009A539C">
        <w:rPr>
          <w:rFonts w:ascii="Calibri" w:hAnsi="Calibri" w:cs="Calibri"/>
          <w:bCs/>
        </w:rPr>
        <w:t>no caso de deslocações</w:t>
      </w:r>
      <w:r w:rsidR="00786CCA" w:rsidRPr="009A539C">
        <w:rPr>
          <w:rFonts w:ascii="Calibri" w:hAnsi="Calibri" w:cs="Calibri"/>
          <w:bCs/>
          <w:vertAlign w:val="superscript"/>
        </w:rPr>
        <w:footnoteReference w:id="738"/>
      </w:r>
      <w:r w:rsidR="00A24773" w:rsidRPr="009A539C">
        <w:rPr>
          <w:rFonts w:ascii="Calibri" w:hAnsi="Calibri" w:cs="Calibri"/>
          <w:bCs/>
        </w:rPr>
        <w:t>.Menciona</w:t>
      </w:r>
      <w:r w:rsidR="00786CCA" w:rsidRPr="009A539C">
        <w:rPr>
          <w:rFonts w:ascii="Calibri" w:hAnsi="Calibri" w:cs="Calibri"/>
          <w:bCs/>
        </w:rPr>
        <w:t>-se, por fim, a existência de algumas convenções coletivas que consagram o apoio ao agregado familiar do trabalhador  sujeito a medida de coação penal privativa de liberdade</w:t>
      </w:r>
      <w:r w:rsidR="00786CCA" w:rsidRPr="009A539C">
        <w:rPr>
          <w:rFonts w:ascii="Calibri" w:hAnsi="Calibri" w:cs="Calibri"/>
          <w:bCs/>
          <w:vertAlign w:val="superscript"/>
        </w:rPr>
        <w:footnoteReference w:id="739"/>
      </w:r>
      <w:r w:rsidR="00786CCA" w:rsidRPr="009A539C">
        <w:rPr>
          <w:rFonts w:ascii="Calibri" w:hAnsi="Calibri" w:cs="Calibri"/>
          <w:bCs/>
        </w:rPr>
        <w:t>.</w:t>
      </w:r>
      <w:bookmarkEnd w:id="935"/>
      <w:bookmarkEnd w:id="936"/>
    </w:p>
    <w:p w14:paraId="5450C351" w14:textId="77777777" w:rsidR="000F5EB4" w:rsidRPr="009A539C" w:rsidRDefault="000F5EB4" w:rsidP="00BE45EF">
      <w:pPr>
        <w:pStyle w:val="PargrafodaLista"/>
        <w:spacing w:line="360" w:lineRule="auto"/>
        <w:ind w:left="786" w:right="-1"/>
        <w:jc w:val="both"/>
        <w:rPr>
          <w:rFonts w:ascii="Calibri" w:hAnsi="Calibri" w:cs="Calibri"/>
        </w:rPr>
      </w:pPr>
    </w:p>
    <w:p w14:paraId="65ABCF19" w14:textId="77777777" w:rsidR="000C46F3" w:rsidRPr="009A539C" w:rsidRDefault="000C46F3" w:rsidP="00BE45EF">
      <w:pPr>
        <w:pStyle w:val="PargrafodaLista"/>
        <w:spacing w:line="360" w:lineRule="auto"/>
        <w:ind w:left="786" w:right="-1"/>
        <w:jc w:val="both"/>
        <w:rPr>
          <w:rFonts w:ascii="Calibri" w:hAnsi="Calibri" w:cs="Calibri"/>
        </w:rPr>
      </w:pPr>
    </w:p>
    <w:p w14:paraId="1A3445F6" w14:textId="77777777" w:rsidR="00F65BF9" w:rsidRPr="009A539C" w:rsidRDefault="00F65BF9" w:rsidP="00BE45EF">
      <w:pPr>
        <w:pStyle w:val="PargrafodaLista"/>
        <w:spacing w:line="360" w:lineRule="auto"/>
        <w:ind w:left="786" w:right="-1"/>
        <w:jc w:val="both"/>
        <w:rPr>
          <w:rFonts w:ascii="Calibri" w:hAnsi="Calibri" w:cs="Calibri"/>
        </w:rPr>
      </w:pPr>
    </w:p>
    <w:p w14:paraId="626CB2A0" w14:textId="7F0D902B" w:rsidR="00F65BF9" w:rsidRPr="009A539C" w:rsidRDefault="00F65BF9">
      <w:pPr>
        <w:rPr>
          <w:rFonts w:ascii="Calibri" w:hAnsi="Calibri" w:cs="Calibri"/>
        </w:rPr>
      </w:pPr>
      <w:r w:rsidRPr="009A539C">
        <w:rPr>
          <w:rFonts w:ascii="Calibri" w:hAnsi="Calibri" w:cs="Calibri"/>
        </w:rPr>
        <w:br w:type="page"/>
      </w:r>
    </w:p>
    <w:p w14:paraId="4660BEFA" w14:textId="77777777" w:rsidR="00F65BF9" w:rsidRPr="009A539C" w:rsidRDefault="00F65BF9" w:rsidP="00BE45EF">
      <w:pPr>
        <w:pStyle w:val="PargrafodaLista"/>
        <w:spacing w:line="360" w:lineRule="auto"/>
        <w:ind w:left="786" w:right="-1"/>
        <w:jc w:val="both"/>
        <w:rPr>
          <w:rFonts w:ascii="Calibri" w:hAnsi="Calibri" w:cs="Calibri"/>
        </w:rPr>
      </w:pPr>
    </w:p>
    <w:p w14:paraId="12A8811E" w14:textId="50F03959" w:rsidR="000C46F3" w:rsidRPr="009A539C" w:rsidRDefault="000C46F3" w:rsidP="00AF188D">
      <w:pPr>
        <w:pStyle w:val="PargrafodaLista"/>
        <w:numPr>
          <w:ilvl w:val="2"/>
          <w:numId w:val="57"/>
        </w:numPr>
        <w:spacing w:line="360" w:lineRule="auto"/>
        <w:ind w:left="851" w:right="-1"/>
        <w:outlineLvl w:val="2"/>
        <w:rPr>
          <w:rFonts w:ascii="Calibri" w:hAnsi="Calibri" w:cs="Calibri"/>
          <w:b/>
        </w:rPr>
      </w:pPr>
      <w:bookmarkStart w:id="937" w:name="_Toc45535744"/>
      <w:r w:rsidRPr="009A539C">
        <w:rPr>
          <w:rFonts w:ascii="Calibri" w:hAnsi="Calibri" w:cs="Calibri"/>
          <w:b/>
        </w:rPr>
        <w:t xml:space="preserve">Panorâmica dos </w:t>
      </w:r>
      <w:r w:rsidR="000A7FA0" w:rsidRPr="009A539C">
        <w:rPr>
          <w:rFonts w:ascii="Calibri" w:hAnsi="Calibri" w:cs="Calibri"/>
          <w:b/>
        </w:rPr>
        <w:t xml:space="preserve">conteúdos </w:t>
      </w:r>
      <w:r w:rsidRPr="009A539C">
        <w:rPr>
          <w:rFonts w:ascii="Calibri" w:hAnsi="Calibri" w:cs="Calibri"/>
          <w:b/>
        </w:rPr>
        <w:t>convencionais face à Revisão do Código do Trabalho</w:t>
      </w:r>
      <w:bookmarkEnd w:id="937"/>
    </w:p>
    <w:p w14:paraId="088B5251" w14:textId="77777777" w:rsidR="00F65BF9" w:rsidRPr="009A539C" w:rsidRDefault="00F65BF9" w:rsidP="00F65BF9">
      <w:pPr>
        <w:pStyle w:val="PargrafodaLista"/>
        <w:spacing w:line="360" w:lineRule="auto"/>
        <w:ind w:left="851" w:right="-1"/>
        <w:outlineLvl w:val="2"/>
        <w:rPr>
          <w:rFonts w:ascii="Calibri" w:hAnsi="Calibri" w:cs="Calibri"/>
          <w:b/>
        </w:rPr>
      </w:pPr>
    </w:p>
    <w:p w14:paraId="7BDC0155" w14:textId="77777777" w:rsidR="000C46F3" w:rsidRPr="009A539C" w:rsidRDefault="000C46F3" w:rsidP="00B93491">
      <w:pPr>
        <w:pStyle w:val="PargrafodaLista"/>
        <w:numPr>
          <w:ilvl w:val="0"/>
          <w:numId w:val="93"/>
        </w:numPr>
        <w:spacing w:line="360" w:lineRule="auto"/>
        <w:ind w:left="0" w:right="-1" w:firstLine="284"/>
        <w:jc w:val="both"/>
        <w:rPr>
          <w:rFonts w:eastAsia="Cambria" w:cstheme="minorHAnsi"/>
        </w:rPr>
      </w:pPr>
      <w:r w:rsidRPr="009A539C">
        <w:rPr>
          <w:rFonts w:eastAsia="Cambria" w:cstheme="minorHAnsi"/>
        </w:rPr>
        <w:t>No contexto normativo, apresentam-se as principais alterações legislativas, ocorridas em 2019, que poderão ter impacto na contratação coletiva. Desse elenco destacam-se as alterações ao Código do Trabalho, em particular a Lei n.º 93/2019, de 4 de setembro, com efeitos a partir de 1 de outubro de 2019 e, por conseguinte, dentro do perímetro temporal abrangido pelo presente relatório, embora sem impacto imediato na contratação coletiva de 2019.</w:t>
      </w:r>
    </w:p>
    <w:p w14:paraId="422C1895" w14:textId="06F425AA" w:rsidR="000C46F3" w:rsidRPr="009A539C" w:rsidRDefault="000C46F3" w:rsidP="00BD2803">
      <w:pPr>
        <w:spacing w:line="360" w:lineRule="auto"/>
        <w:ind w:right="-1" w:firstLine="284"/>
        <w:jc w:val="both"/>
        <w:rPr>
          <w:rFonts w:eastAsia="Cambria" w:cstheme="minorHAnsi"/>
        </w:rPr>
      </w:pPr>
      <w:r w:rsidRPr="009A539C">
        <w:rPr>
          <w:rFonts w:eastAsia="Cambria" w:cstheme="minorHAnsi"/>
        </w:rPr>
        <w:t xml:space="preserve">Na maioria das situações, as convenções publicadas ao longo de 2019 respaldam-se, ou reproduzem, o figurino normativo constante da versão do Código do Trabalho anterior às alterações </w:t>
      </w:r>
      <w:r w:rsidR="00992B22" w:rsidRPr="009A539C">
        <w:rPr>
          <w:rFonts w:eastAsia="Cambria" w:cstheme="minorHAnsi"/>
        </w:rPr>
        <w:t>da</w:t>
      </w:r>
      <w:r w:rsidRPr="009A539C">
        <w:rPr>
          <w:rFonts w:eastAsia="Cambria" w:cstheme="minorHAnsi"/>
        </w:rPr>
        <w:t xml:space="preserve"> Lei n.º 93/2019, de 4 de setembro. </w:t>
      </w:r>
    </w:p>
    <w:p w14:paraId="30B7EBF7" w14:textId="7A2FA93A" w:rsidR="000C46F3" w:rsidRPr="009A539C" w:rsidRDefault="00992B22" w:rsidP="00BD2803">
      <w:pPr>
        <w:spacing w:line="360" w:lineRule="auto"/>
        <w:ind w:right="-1" w:firstLine="284"/>
        <w:jc w:val="both"/>
        <w:rPr>
          <w:rFonts w:cs="Calibri"/>
        </w:rPr>
      </w:pPr>
      <w:r w:rsidRPr="009A539C">
        <w:rPr>
          <w:rFonts w:eastAsia="Cambria" w:cstheme="minorHAnsi"/>
        </w:rPr>
        <w:t>As modificações</w:t>
      </w:r>
      <w:r w:rsidR="000C46F3" w:rsidRPr="009A539C">
        <w:rPr>
          <w:rFonts w:eastAsia="Cambria" w:cstheme="minorHAnsi"/>
        </w:rPr>
        <w:t xml:space="preserve"> introduzidas na Lei em 2019 </w:t>
      </w:r>
      <w:r w:rsidRPr="009A539C">
        <w:rPr>
          <w:rFonts w:eastAsia="Cambria" w:cstheme="minorHAnsi"/>
        </w:rPr>
        <w:t>model</w:t>
      </w:r>
      <w:r w:rsidR="000C46F3" w:rsidRPr="009A539C">
        <w:rPr>
          <w:rFonts w:eastAsia="Cambria" w:cstheme="minorHAnsi"/>
        </w:rPr>
        <w:t xml:space="preserve">am o conteúdo da contratação coletiva na medida em que lhe introduzem condicionantes, impondo menor disponibilidade sobre o conteúdo das convenções coletivas. É por esta razão que o artigo  </w:t>
      </w:r>
      <w:r w:rsidR="000C46F3" w:rsidRPr="009A539C">
        <w:rPr>
          <w:rFonts w:cs="Calibri"/>
        </w:rPr>
        <w:t>art.11.º, n.2, Lei n.º 93/2019, de 4 de setembro</w:t>
      </w:r>
      <w:r w:rsidR="000C46F3" w:rsidRPr="009A539C">
        <w:rPr>
          <w:rFonts w:eastAsia="Cambria" w:cstheme="minorHAnsi"/>
        </w:rPr>
        <w:t xml:space="preserve">  estabelece um regime transitório</w:t>
      </w:r>
      <w:r w:rsidR="000C46F3" w:rsidRPr="009A539C">
        <w:rPr>
          <w:rFonts w:cs="Calibri"/>
        </w:rPr>
        <w:t xml:space="preserve"> para que as partes alterem as disposições do instrumento de regulamentação coletiva de trabalho “contrárias a normas imperativas do Código do Trabalho, na primeira revisão que ocorra nos 12 meses posteriores à entrada em vigor da presente lei” (art.11.º,n.2, Lei n.º 93/2019, de 4 de setembro). Este regime transitório aconselha a que se proceda a uma cotejo entre os conteúdos das convenções coletivas publicadas em 2019 e as normas alteradas do Código do Trabalho através da matéria regulada para que seja possível verificar se a disposição transitória deve ser utilizada</w:t>
      </w:r>
      <w:r w:rsidR="00DD1D0F" w:rsidRPr="009A539C">
        <w:rPr>
          <w:rFonts w:cs="Calibri"/>
        </w:rPr>
        <w:t>,</w:t>
      </w:r>
      <w:r w:rsidR="000C46F3" w:rsidRPr="009A539C">
        <w:rPr>
          <w:rFonts w:cs="Calibri"/>
        </w:rPr>
        <w:t xml:space="preserve"> ou não</w:t>
      </w:r>
      <w:r w:rsidR="00DD1D0F" w:rsidRPr="009A539C">
        <w:rPr>
          <w:rFonts w:cs="Calibri"/>
        </w:rPr>
        <w:t>,</w:t>
      </w:r>
      <w:r w:rsidR="000C46F3" w:rsidRPr="009A539C">
        <w:rPr>
          <w:rFonts w:cs="Calibri"/>
        </w:rPr>
        <w:t xml:space="preserve"> de acordo com o entendimento que as partes tiverem sobre a valid</w:t>
      </w:r>
      <w:r w:rsidR="000A7FA0" w:rsidRPr="009A539C">
        <w:rPr>
          <w:rFonts w:cs="Calibri"/>
        </w:rPr>
        <w:t xml:space="preserve">ade da cláusulas inseridas nas </w:t>
      </w:r>
      <w:r w:rsidR="000C46F3" w:rsidRPr="009A539C">
        <w:rPr>
          <w:rFonts w:cs="Calibri"/>
        </w:rPr>
        <w:t>convenções coletivas.</w:t>
      </w:r>
    </w:p>
    <w:p w14:paraId="1AE4226C" w14:textId="77777777" w:rsidR="000C46F3" w:rsidRPr="009A539C" w:rsidRDefault="000C46F3" w:rsidP="00BD2803">
      <w:pPr>
        <w:spacing w:line="360" w:lineRule="auto"/>
        <w:ind w:right="-1" w:firstLine="284"/>
        <w:jc w:val="both"/>
        <w:rPr>
          <w:rFonts w:eastAsia="Cambria" w:cstheme="minorHAnsi"/>
        </w:rPr>
      </w:pPr>
      <w:r w:rsidRPr="009A539C">
        <w:rPr>
          <w:rFonts w:eastAsia="Cambria" w:cstheme="minorHAnsi"/>
        </w:rPr>
        <w:t>Nos capítulos precedentes</w:t>
      </w:r>
      <w:r w:rsidRPr="009A539C">
        <w:rPr>
          <w:rStyle w:val="Refdenotaderodap"/>
          <w:rFonts w:eastAsia="Cambria" w:cstheme="minorHAnsi"/>
        </w:rPr>
        <w:footnoteReference w:id="740"/>
      </w:r>
      <w:r w:rsidRPr="009A539C">
        <w:rPr>
          <w:rFonts w:eastAsia="Cambria" w:cstheme="minorHAnsi"/>
        </w:rPr>
        <w:t xml:space="preserve"> aprofundámos o conhecimento da contratação coletiva pelo prisma qualitativo, incluindo o mapeamento dos principais  temas versados nas convenções. </w:t>
      </w:r>
    </w:p>
    <w:p w14:paraId="3D094BD9" w14:textId="77777777" w:rsidR="000C46F3" w:rsidRPr="009A539C" w:rsidRDefault="000C46F3" w:rsidP="00B93491">
      <w:pPr>
        <w:pStyle w:val="PargrafodaLista"/>
        <w:numPr>
          <w:ilvl w:val="0"/>
          <w:numId w:val="93"/>
        </w:numPr>
        <w:spacing w:line="360" w:lineRule="auto"/>
        <w:ind w:left="0" w:right="-1" w:firstLine="284"/>
        <w:jc w:val="both"/>
        <w:rPr>
          <w:rFonts w:eastAsia="Cambria" w:cstheme="minorHAnsi"/>
        </w:rPr>
      </w:pPr>
      <w:r w:rsidRPr="009A539C">
        <w:rPr>
          <w:rFonts w:eastAsia="Cambria" w:cstheme="minorHAnsi"/>
        </w:rPr>
        <w:t xml:space="preserve">Neste ponto, embora sem carater exaustivo, procura-se sinalizar quais desses conteúdos estão no perímetro das alterações do Código do Trabalho operado pela Lei n.º 93/2019 e que poderá implicar, a curto prazo, uma revisão do clausulado correspondente. Sinalizaremos, de seguida, e de forma sumária, os aspetos versados na contratação coletiva, em 2019, em torno de quatro tópicos:  </w:t>
      </w:r>
    </w:p>
    <w:p w14:paraId="28AF89AB" w14:textId="77777777" w:rsidR="000C46F3" w:rsidRPr="009A539C" w:rsidRDefault="000C46F3" w:rsidP="00AF188D">
      <w:pPr>
        <w:pStyle w:val="PargrafodaLista"/>
        <w:numPr>
          <w:ilvl w:val="0"/>
          <w:numId w:val="60"/>
        </w:numPr>
        <w:spacing w:line="360" w:lineRule="auto"/>
        <w:ind w:right="-1"/>
        <w:jc w:val="both"/>
        <w:rPr>
          <w:rFonts w:eastAsia="Cambria" w:cstheme="minorHAnsi"/>
        </w:rPr>
      </w:pPr>
      <w:r w:rsidRPr="009A539C">
        <w:rPr>
          <w:rFonts w:eastAsia="Cambria" w:cstheme="minorHAnsi"/>
        </w:rPr>
        <w:t>Direitos dos trabalhadores;</w:t>
      </w:r>
    </w:p>
    <w:p w14:paraId="714123AF" w14:textId="77777777" w:rsidR="000C46F3" w:rsidRPr="009A539C" w:rsidRDefault="000C46F3" w:rsidP="00AF188D">
      <w:pPr>
        <w:pStyle w:val="PargrafodaLista"/>
        <w:numPr>
          <w:ilvl w:val="0"/>
          <w:numId w:val="60"/>
        </w:numPr>
        <w:spacing w:line="360" w:lineRule="auto"/>
        <w:ind w:right="-1"/>
        <w:jc w:val="both"/>
        <w:rPr>
          <w:rFonts w:eastAsia="Cambria" w:cstheme="minorHAnsi"/>
        </w:rPr>
      </w:pPr>
      <w:r w:rsidRPr="009A539C">
        <w:rPr>
          <w:rFonts w:eastAsia="Cambria" w:cstheme="minorHAnsi"/>
        </w:rPr>
        <w:t>Modalidades de contrato de trabalho e período experimental;</w:t>
      </w:r>
    </w:p>
    <w:p w14:paraId="6B02E41D" w14:textId="77777777" w:rsidR="000C46F3" w:rsidRPr="009A539C" w:rsidRDefault="000C46F3" w:rsidP="00AF188D">
      <w:pPr>
        <w:pStyle w:val="PargrafodaLista"/>
        <w:numPr>
          <w:ilvl w:val="0"/>
          <w:numId w:val="60"/>
        </w:numPr>
        <w:spacing w:line="360" w:lineRule="auto"/>
        <w:ind w:right="-1"/>
        <w:jc w:val="both"/>
        <w:rPr>
          <w:rFonts w:eastAsia="Cambria" w:cstheme="minorHAnsi"/>
        </w:rPr>
      </w:pPr>
      <w:r w:rsidRPr="009A539C">
        <w:rPr>
          <w:rFonts w:eastAsia="Cambria" w:cstheme="minorHAnsi"/>
        </w:rPr>
        <w:t xml:space="preserve">Organização do tempo de trabalho . </w:t>
      </w:r>
    </w:p>
    <w:p w14:paraId="68F609F8" w14:textId="77777777" w:rsidR="000C46F3" w:rsidRPr="009A539C" w:rsidRDefault="000C46F3" w:rsidP="00AF188D">
      <w:pPr>
        <w:pStyle w:val="PargrafodaLista"/>
        <w:numPr>
          <w:ilvl w:val="0"/>
          <w:numId w:val="60"/>
        </w:numPr>
        <w:spacing w:line="360" w:lineRule="auto"/>
        <w:ind w:right="-1"/>
        <w:jc w:val="both"/>
        <w:rPr>
          <w:rFonts w:eastAsia="Cambria" w:cstheme="minorHAnsi"/>
        </w:rPr>
      </w:pPr>
      <w:r w:rsidRPr="009A539C">
        <w:rPr>
          <w:rFonts w:eastAsia="Cambria" w:cstheme="minorHAnsi"/>
        </w:rPr>
        <w:t>Sistema de contratação coletiva</w:t>
      </w:r>
    </w:p>
    <w:p w14:paraId="365DB0C5" w14:textId="41E95C6A" w:rsidR="00875B7F" w:rsidRPr="009A539C" w:rsidRDefault="000C46F3" w:rsidP="000C46F3">
      <w:pPr>
        <w:spacing w:line="360" w:lineRule="auto"/>
        <w:ind w:right="-1"/>
        <w:jc w:val="both"/>
        <w:rPr>
          <w:rFonts w:ascii="Calibri" w:hAnsi="Calibri" w:cs="Calibri"/>
        </w:rPr>
      </w:pPr>
      <w:r w:rsidRPr="009A539C">
        <w:rPr>
          <w:rFonts w:cs="Calibri"/>
        </w:rPr>
        <w:t>A representação quantitativa de vários tópicos localizados na contratação coletiva figura no quadro seguinte.</w:t>
      </w:r>
    </w:p>
    <w:p w14:paraId="76497A08" w14:textId="77777777" w:rsidR="009E480F" w:rsidRPr="009A539C" w:rsidRDefault="009E480F" w:rsidP="00BB3D53">
      <w:pPr>
        <w:spacing w:line="360" w:lineRule="auto"/>
        <w:ind w:left="360" w:right="-1"/>
        <w:jc w:val="center"/>
        <w:outlineLvl w:val="2"/>
        <w:rPr>
          <w:rFonts w:ascii="Calibri" w:hAnsi="Calibri" w:cs="Calibri"/>
          <w:b/>
          <w:bCs/>
          <w:color w:val="4F81BD" w:themeColor="accent1"/>
          <w:sz w:val="20"/>
          <w:szCs w:val="20"/>
        </w:rPr>
      </w:pPr>
    </w:p>
    <w:p w14:paraId="435341EB" w14:textId="757D1F83" w:rsidR="00875B7F" w:rsidRPr="00876707" w:rsidRDefault="00D93F24" w:rsidP="00343774">
      <w:pPr>
        <w:pStyle w:val="Legenda"/>
        <w:jc w:val="center"/>
        <w:rPr>
          <w:rFonts w:ascii="Calibri" w:hAnsi="Calibri" w:cs="Calibri"/>
          <w:b w:val="0"/>
          <w:bCs w:val="0"/>
          <w:sz w:val="20"/>
          <w:szCs w:val="20"/>
        </w:rPr>
      </w:pPr>
      <w:bookmarkStart w:id="938" w:name="_Toc45716696"/>
      <w:r w:rsidRPr="00876707">
        <w:rPr>
          <w:b w:val="0"/>
          <w:sz w:val="20"/>
          <w:szCs w:val="20"/>
        </w:rPr>
        <w:t xml:space="preserve">Quadro </w:t>
      </w:r>
      <w:r w:rsidR="000D71EA" w:rsidRPr="00876707">
        <w:rPr>
          <w:b w:val="0"/>
          <w:sz w:val="20"/>
          <w:szCs w:val="20"/>
        </w:rPr>
        <w:fldChar w:fldCharType="begin"/>
      </w:r>
      <w:r w:rsidR="000D71EA" w:rsidRPr="00876707">
        <w:rPr>
          <w:b w:val="0"/>
          <w:sz w:val="20"/>
          <w:szCs w:val="20"/>
        </w:rPr>
        <w:instrText xml:space="preserve"> SEQ Quadro \* ARABIC </w:instrText>
      </w:r>
      <w:r w:rsidR="000D71EA" w:rsidRPr="00876707">
        <w:rPr>
          <w:b w:val="0"/>
          <w:sz w:val="20"/>
          <w:szCs w:val="20"/>
        </w:rPr>
        <w:fldChar w:fldCharType="separate"/>
      </w:r>
      <w:r w:rsidR="00D821DE" w:rsidRPr="00876707">
        <w:rPr>
          <w:b w:val="0"/>
          <w:noProof/>
          <w:sz w:val="20"/>
          <w:szCs w:val="20"/>
        </w:rPr>
        <w:t>75</w:t>
      </w:r>
      <w:r w:rsidR="000D71EA" w:rsidRPr="00876707">
        <w:rPr>
          <w:b w:val="0"/>
          <w:noProof/>
          <w:sz w:val="20"/>
          <w:szCs w:val="20"/>
        </w:rPr>
        <w:fldChar w:fldCharType="end"/>
      </w:r>
      <w:r w:rsidR="00875B7F" w:rsidRPr="00876707">
        <w:rPr>
          <w:rFonts w:ascii="Calibri" w:hAnsi="Calibri" w:cs="Calibri"/>
          <w:b w:val="0"/>
          <w:bCs w:val="0"/>
          <w:sz w:val="20"/>
          <w:szCs w:val="20"/>
        </w:rPr>
        <w:t xml:space="preserve"> – </w:t>
      </w:r>
      <w:r w:rsidR="00BB3D53" w:rsidRPr="00876707">
        <w:rPr>
          <w:rFonts w:ascii="Calibri" w:hAnsi="Calibri" w:cs="Calibri"/>
          <w:b w:val="0"/>
          <w:bCs w:val="0"/>
          <w:sz w:val="20"/>
          <w:szCs w:val="20"/>
        </w:rPr>
        <w:t xml:space="preserve">Alterações ao Código do Trabalho pela </w:t>
      </w:r>
      <w:r w:rsidR="00875B7F" w:rsidRPr="00876707">
        <w:rPr>
          <w:rFonts w:ascii="Calibri" w:hAnsi="Calibri" w:cs="Calibri"/>
          <w:b w:val="0"/>
          <w:bCs w:val="0"/>
          <w:sz w:val="20"/>
          <w:szCs w:val="20"/>
        </w:rPr>
        <w:t>Lei n.º 93/2019</w:t>
      </w:r>
      <w:r w:rsidR="00BB3D53" w:rsidRPr="00876707">
        <w:rPr>
          <w:rFonts w:ascii="Calibri" w:hAnsi="Calibri" w:cs="Calibri"/>
          <w:b w:val="0"/>
          <w:bCs w:val="0"/>
          <w:sz w:val="20"/>
          <w:szCs w:val="20"/>
        </w:rPr>
        <w:t xml:space="preserve">, 4/9 </w:t>
      </w:r>
      <w:r w:rsidR="00B37DE7" w:rsidRPr="00876707">
        <w:rPr>
          <w:rFonts w:ascii="Calibri" w:hAnsi="Calibri" w:cs="Calibri"/>
          <w:b w:val="0"/>
          <w:bCs w:val="0"/>
          <w:sz w:val="20"/>
          <w:szCs w:val="20"/>
        </w:rPr>
        <w:t>face às</w:t>
      </w:r>
      <w:r w:rsidR="00875B7F" w:rsidRPr="00876707">
        <w:rPr>
          <w:rFonts w:ascii="Calibri" w:hAnsi="Calibri" w:cs="Calibri"/>
          <w:b w:val="0"/>
          <w:bCs w:val="0"/>
          <w:sz w:val="20"/>
          <w:szCs w:val="20"/>
        </w:rPr>
        <w:t xml:space="preserve"> convenções</w:t>
      </w:r>
      <w:r w:rsidR="00B37DE7" w:rsidRPr="00876707">
        <w:rPr>
          <w:rFonts w:ascii="Calibri" w:hAnsi="Calibri" w:cs="Calibri"/>
          <w:b w:val="0"/>
          <w:bCs w:val="0"/>
          <w:sz w:val="20"/>
          <w:szCs w:val="20"/>
        </w:rPr>
        <w:t xml:space="preserve"> de</w:t>
      </w:r>
      <w:r w:rsidR="00875B7F" w:rsidRPr="00876707">
        <w:rPr>
          <w:rFonts w:ascii="Calibri" w:hAnsi="Calibri" w:cs="Calibri"/>
          <w:b w:val="0"/>
          <w:bCs w:val="0"/>
          <w:sz w:val="20"/>
          <w:szCs w:val="20"/>
        </w:rPr>
        <w:t xml:space="preserve"> 2019</w:t>
      </w:r>
      <w:bookmarkEnd w:id="938"/>
    </w:p>
    <w:p w14:paraId="6C14B1BB" w14:textId="30F2D567" w:rsidR="00875B7F" w:rsidRPr="009A539C" w:rsidRDefault="00BB3D53" w:rsidP="00336A0F">
      <w:pPr>
        <w:rPr>
          <w:rFonts w:ascii="Calibri" w:hAnsi="Calibri" w:cs="Calibri"/>
        </w:rPr>
      </w:pPr>
      <w:r w:rsidRPr="009A539C">
        <w:rPr>
          <w:noProof/>
          <w:lang w:eastAsia="pt-PT"/>
        </w:rPr>
        <w:drawing>
          <wp:inline distT="0" distB="0" distL="0" distR="0" wp14:anchorId="042CECDD" wp14:editId="425367C6">
            <wp:extent cx="6750685" cy="5533122"/>
            <wp:effectExtent l="0" t="0" r="0" b="0"/>
            <wp:docPr id="1192" name="Imagem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750685" cy="5533122"/>
                    </a:xfrm>
                    <a:prstGeom prst="rect">
                      <a:avLst/>
                    </a:prstGeom>
                    <a:noFill/>
                    <a:ln>
                      <a:noFill/>
                    </a:ln>
                  </pic:spPr>
                </pic:pic>
              </a:graphicData>
            </a:graphic>
          </wp:inline>
        </w:drawing>
      </w:r>
    </w:p>
    <w:p w14:paraId="16086A13" w14:textId="59ADF6A8" w:rsidR="00BD2803" w:rsidRPr="009A539C" w:rsidRDefault="00BD2803">
      <w:pPr>
        <w:rPr>
          <w:rFonts w:ascii="Calibri" w:hAnsi="Calibri" w:cs="Calibri"/>
        </w:rPr>
      </w:pPr>
      <w:r w:rsidRPr="009A539C">
        <w:rPr>
          <w:rFonts w:ascii="Calibri" w:hAnsi="Calibri" w:cs="Calibri"/>
        </w:rPr>
        <w:br w:type="page"/>
      </w:r>
    </w:p>
    <w:p w14:paraId="18B977FB" w14:textId="77777777" w:rsidR="00875B7F" w:rsidRPr="009A539C" w:rsidRDefault="00875B7F" w:rsidP="00B90788">
      <w:pPr>
        <w:spacing w:line="360" w:lineRule="auto"/>
        <w:ind w:left="1415" w:right="-1" w:firstLine="1"/>
        <w:jc w:val="both"/>
        <w:rPr>
          <w:rFonts w:ascii="Calibri" w:hAnsi="Calibri" w:cs="Calibri"/>
        </w:rPr>
      </w:pPr>
    </w:p>
    <w:p w14:paraId="30FEA85A" w14:textId="77777777" w:rsidR="0032160B" w:rsidRPr="009A539C" w:rsidRDefault="005E7447" w:rsidP="00F364BB">
      <w:pPr>
        <w:pStyle w:val="PargrafodaLista"/>
        <w:numPr>
          <w:ilvl w:val="0"/>
          <w:numId w:val="1"/>
        </w:numPr>
        <w:spacing w:line="360" w:lineRule="auto"/>
        <w:ind w:left="709" w:right="-1"/>
        <w:outlineLvl w:val="0"/>
        <w:rPr>
          <w:rFonts w:ascii="Calibri" w:hAnsi="Calibri" w:cs="Calibri"/>
          <w:b/>
          <w:sz w:val="28"/>
          <w:szCs w:val="28"/>
        </w:rPr>
      </w:pPr>
      <w:bookmarkStart w:id="939" w:name="_Toc45535745"/>
      <w:r w:rsidRPr="009A539C">
        <w:rPr>
          <w:rFonts w:ascii="Calibri" w:hAnsi="Calibri" w:cs="Calibri"/>
          <w:b/>
          <w:sz w:val="28"/>
          <w:szCs w:val="28"/>
        </w:rPr>
        <w:t>A contratação coletiva na Administração Pública</w:t>
      </w:r>
      <w:bookmarkEnd w:id="939"/>
      <w:r w:rsidRPr="009A539C">
        <w:rPr>
          <w:rFonts w:ascii="Calibri" w:hAnsi="Calibri" w:cs="Calibri"/>
          <w:b/>
          <w:sz w:val="28"/>
          <w:szCs w:val="28"/>
        </w:rPr>
        <w:t xml:space="preserve"> </w:t>
      </w:r>
    </w:p>
    <w:p w14:paraId="348D4BF4" w14:textId="77777777" w:rsidR="003C3015" w:rsidRPr="009A539C" w:rsidRDefault="003C3015" w:rsidP="00B90788">
      <w:pPr>
        <w:pStyle w:val="PargrafodaLista"/>
        <w:spacing w:line="360" w:lineRule="auto"/>
        <w:ind w:left="709" w:right="-1"/>
        <w:jc w:val="both"/>
        <w:outlineLvl w:val="0"/>
        <w:rPr>
          <w:rFonts w:ascii="Calibri" w:hAnsi="Calibri" w:cs="Calibri"/>
          <w:b/>
        </w:rPr>
      </w:pPr>
    </w:p>
    <w:p w14:paraId="2BA79F84" w14:textId="77777777" w:rsidR="005E7447" w:rsidRPr="009A539C" w:rsidRDefault="005E7447" w:rsidP="00AF188D">
      <w:pPr>
        <w:pStyle w:val="PargrafodaLista"/>
        <w:numPr>
          <w:ilvl w:val="1"/>
          <w:numId w:val="51"/>
        </w:numPr>
        <w:spacing w:line="360" w:lineRule="auto"/>
        <w:ind w:right="-1"/>
        <w:jc w:val="both"/>
        <w:outlineLvl w:val="1"/>
        <w:rPr>
          <w:rFonts w:ascii="Calibri" w:hAnsi="Calibri" w:cs="Calibri"/>
          <w:b/>
          <w:sz w:val="24"/>
          <w:szCs w:val="24"/>
        </w:rPr>
      </w:pPr>
      <w:bookmarkStart w:id="940" w:name="_Toc45535746"/>
      <w:r w:rsidRPr="009A539C">
        <w:rPr>
          <w:rFonts w:ascii="Calibri" w:hAnsi="Calibri" w:cs="Calibri"/>
          <w:b/>
          <w:sz w:val="24"/>
          <w:szCs w:val="24"/>
        </w:rPr>
        <w:t>Enquadramento</w:t>
      </w:r>
      <w:bookmarkEnd w:id="940"/>
    </w:p>
    <w:p w14:paraId="589F568E" w14:textId="77777777" w:rsidR="003C3015" w:rsidRPr="009A539C" w:rsidRDefault="003C3015" w:rsidP="00A95C56">
      <w:pPr>
        <w:pStyle w:val="PargrafodaLista"/>
        <w:numPr>
          <w:ilvl w:val="1"/>
          <w:numId w:val="24"/>
        </w:numPr>
        <w:tabs>
          <w:tab w:val="left" w:pos="851"/>
        </w:tabs>
        <w:spacing w:before="240" w:after="0" w:line="360" w:lineRule="auto"/>
        <w:ind w:left="0" w:right="-1" w:firstLine="426"/>
        <w:contextualSpacing w:val="0"/>
        <w:jc w:val="both"/>
      </w:pPr>
      <w:r w:rsidRPr="009A539C">
        <w:t>Mantendo a grelha de análise dos Relatórios anteriores, dedica-se um capítulo próprio aos IRCT publicados no âmbito da Administração Pública</w:t>
      </w:r>
      <w:r w:rsidRPr="009A539C">
        <w:rPr>
          <w:vertAlign w:val="superscript"/>
        </w:rPr>
        <w:footnoteReference w:id="741"/>
      </w:r>
      <w:r w:rsidRPr="009A539C">
        <w:t>. Trata-se de uma negociação e contratação coletiva especial que</w:t>
      </w:r>
      <w:r w:rsidR="001F5730" w:rsidRPr="009A539C">
        <w:t>,</w:t>
      </w:r>
      <w:r w:rsidRPr="009A539C">
        <w:t xml:space="preserve"> embora obedeça aos mesmos princípios da contratação coletiva comum do Código do Trabalho</w:t>
      </w:r>
      <w:r w:rsidR="001F5730" w:rsidRPr="009A539C">
        <w:t>, obedece a um</w:t>
      </w:r>
      <w:r w:rsidRPr="009A539C">
        <w:t xml:space="preserve"> regime próprio.</w:t>
      </w:r>
    </w:p>
    <w:p w14:paraId="73C869FD" w14:textId="77777777" w:rsidR="003C3015" w:rsidRPr="009A539C" w:rsidRDefault="003C3015" w:rsidP="00B90788">
      <w:pPr>
        <w:tabs>
          <w:tab w:val="left" w:pos="851"/>
        </w:tabs>
        <w:spacing w:before="240" w:line="360" w:lineRule="auto"/>
        <w:ind w:right="-1" w:firstLine="426"/>
        <w:jc w:val="both"/>
        <w:rPr>
          <w:rStyle w:val="ListLabel2"/>
          <w:rFonts w:cstheme="minorBidi"/>
        </w:rPr>
      </w:pPr>
      <w:r w:rsidRPr="009A539C">
        <w:t>Em traços gerais, recorda-se que o direito de negociação coletiva na Administração Pública mantém uma dupla vertente, estabelecida no artigo 347.º, 3, da Lei Geral do Trabalho em Funções Públicas (LTFP)</w:t>
      </w:r>
      <w:r w:rsidRPr="009A539C">
        <w:rPr>
          <w:vertAlign w:val="superscript"/>
        </w:rPr>
        <w:footnoteReference w:id="742"/>
      </w:r>
      <w:r w:rsidRPr="009A539C">
        <w:t>: visa, por um lado, a obtenção de acordos “sobre as matérias que integram o estatuto dos trabalhadores em funções públicas, a incluir em atos legislativos ou regulamentos administrativos aplicáveis a estes trabalhadores”</w:t>
      </w:r>
      <w:r w:rsidRPr="009A539C">
        <w:rPr>
          <w:vertAlign w:val="superscript"/>
        </w:rPr>
        <w:footnoteReference w:id="743"/>
      </w:r>
      <w:r w:rsidRPr="009A539C">
        <w:t>; e, por outro, a celebração de instrumentos de regulamentação coletiva convencional, aplicáveis a trabalhadores com contrato de trabalho em funções públicas. Persistindo a indisponibilidade de informação suscetível de tratamento para efeitos do presente Relatório relativa à negociação não traduzida na celebração de IRCT</w:t>
      </w:r>
      <w:r w:rsidRPr="009A539C">
        <w:rPr>
          <w:rStyle w:val="Refdenotaderodap"/>
        </w:rPr>
        <w:footnoteReference w:id="744"/>
      </w:r>
      <w:r w:rsidRPr="009A539C">
        <w:t>, analis</w:t>
      </w:r>
      <w:r w:rsidR="009C44F5" w:rsidRPr="009A539C">
        <w:t>a-se apenas a segunda vertente.</w:t>
      </w:r>
    </w:p>
    <w:p w14:paraId="6A96F808" w14:textId="77777777" w:rsidR="003C3015" w:rsidRPr="009A539C" w:rsidRDefault="003C3015" w:rsidP="00A95C56">
      <w:pPr>
        <w:pStyle w:val="PargrafodaLista"/>
        <w:numPr>
          <w:ilvl w:val="1"/>
          <w:numId w:val="24"/>
        </w:numPr>
        <w:tabs>
          <w:tab w:val="left" w:pos="851"/>
        </w:tabs>
        <w:spacing w:before="240" w:after="0" w:line="360" w:lineRule="auto"/>
        <w:ind w:left="0" w:right="-1" w:firstLine="426"/>
        <w:jc w:val="both"/>
        <w:rPr>
          <w:rFonts w:ascii="Calibri" w:hAnsi="Calibri"/>
        </w:rPr>
      </w:pPr>
      <w:r w:rsidRPr="009A539C">
        <w:rPr>
          <w:rFonts w:ascii="Calibri" w:hAnsi="Calibri"/>
        </w:rPr>
        <w:t>O enquadramento legal da negociação coletiva no âmbito da Administração Pública</w:t>
      </w:r>
      <w:r w:rsidRPr="009A539C">
        <w:rPr>
          <w:vertAlign w:val="superscript"/>
        </w:rPr>
        <w:footnoteReference w:id="745"/>
      </w:r>
      <w:r w:rsidRPr="009A539C">
        <w:rPr>
          <w:rFonts w:ascii="Calibri" w:hAnsi="Calibri"/>
        </w:rPr>
        <w:t>, bem como as suas especificidades face ao regime do Código do Trabalho não tem alterações a assinalar, pelo que se remete para a caracterização cons</w:t>
      </w:r>
      <w:r w:rsidR="009C44F5" w:rsidRPr="009A539C">
        <w:rPr>
          <w:rFonts w:ascii="Calibri" w:hAnsi="Calibri"/>
        </w:rPr>
        <w:t xml:space="preserve">tante dos Relatórios relativos </w:t>
      </w:r>
      <w:r w:rsidRPr="009A539C">
        <w:rPr>
          <w:rFonts w:ascii="Calibri" w:hAnsi="Calibri"/>
        </w:rPr>
        <w:t>a 2015 e 2016</w:t>
      </w:r>
      <w:r w:rsidRPr="009A539C">
        <w:rPr>
          <w:vertAlign w:val="superscript"/>
        </w:rPr>
        <w:footnoteReference w:id="746"/>
      </w:r>
      <w:r w:rsidRPr="009A539C">
        <w:rPr>
          <w:rFonts w:ascii="Calibri" w:hAnsi="Calibri"/>
        </w:rPr>
        <w:t>.</w:t>
      </w:r>
    </w:p>
    <w:p w14:paraId="3CB6451D" w14:textId="77777777" w:rsidR="00600964" w:rsidRPr="009A539C" w:rsidRDefault="00600964" w:rsidP="00B90788">
      <w:pPr>
        <w:pStyle w:val="PargrafodaLista"/>
        <w:tabs>
          <w:tab w:val="left" w:pos="851"/>
        </w:tabs>
        <w:spacing w:before="240" w:after="0" w:line="360" w:lineRule="auto"/>
        <w:ind w:left="426" w:right="-1"/>
        <w:jc w:val="both"/>
        <w:rPr>
          <w:rFonts w:ascii="Calibri" w:hAnsi="Calibri"/>
        </w:rPr>
      </w:pPr>
    </w:p>
    <w:p w14:paraId="37864D31" w14:textId="77777777" w:rsidR="00585AB9" w:rsidRPr="009A539C" w:rsidRDefault="00585AB9" w:rsidP="00B90788">
      <w:pPr>
        <w:pStyle w:val="PargrafodaLista"/>
        <w:tabs>
          <w:tab w:val="left" w:pos="851"/>
        </w:tabs>
        <w:spacing w:before="240" w:after="0" w:line="360" w:lineRule="auto"/>
        <w:ind w:left="426" w:right="-1"/>
        <w:jc w:val="both"/>
        <w:rPr>
          <w:rFonts w:ascii="Calibri" w:hAnsi="Calibri"/>
        </w:rPr>
      </w:pPr>
    </w:p>
    <w:p w14:paraId="76F18376" w14:textId="77777777" w:rsidR="00343774" w:rsidRPr="009A539C" w:rsidRDefault="00343774" w:rsidP="00B90788">
      <w:pPr>
        <w:pStyle w:val="PargrafodaLista"/>
        <w:tabs>
          <w:tab w:val="left" w:pos="851"/>
        </w:tabs>
        <w:spacing w:before="240" w:after="0" w:line="360" w:lineRule="auto"/>
        <w:ind w:left="426" w:right="-1"/>
        <w:jc w:val="both"/>
        <w:rPr>
          <w:rFonts w:ascii="Calibri" w:hAnsi="Calibri"/>
        </w:rPr>
      </w:pPr>
    </w:p>
    <w:p w14:paraId="2A4D3FEE" w14:textId="77777777" w:rsidR="00343774" w:rsidRPr="009A539C" w:rsidRDefault="00343774" w:rsidP="00B90788">
      <w:pPr>
        <w:pStyle w:val="PargrafodaLista"/>
        <w:tabs>
          <w:tab w:val="left" w:pos="851"/>
        </w:tabs>
        <w:spacing w:before="240" w:after="0" w:line="360" w:lineRule="auto"/>
        <w:ind w:left="426" w:right="-1"/>
        <w:jc w:val="both"/>
        <w:rPr>
          <w:rFonts w:ascii="Calibri" w:hAnsi="Calibri"/>
        </w:rPr>
      </w:pPr>
    </w:p>
    <w:p w14:paraId="17F80897" w14:textId="77777777" w:rsidR="000A7FA0" w:rsidRPr="009A539C" w:rsidRDefault="000A7FA0" w:rsidP="00B90788">
      <w:pPr>
        <w:pStyle w:val="PargrafodaLista"/>
        <w:tabs>
          <w:tab w:val="left" w:pos="851"/>
        </w:tabs>
        <w:spacing w:before="240" w:after="0" w:line="360" w:lineRule="auto"/>
        <w:ind w:left="426" w:right="-1"/>
        <w:jc w:val="both"/>
        <w:rPr>
          <w:rFonts w:ascii="Calibri" w:hAnsi="Calibri"/>
        </w:rPr>
      </w:pPr>
    </w:p>
    <w:p w14:paraId="364C1A9B" w14:textId="77777777" w:rsidR="00B31279" w:rsidRPr="009A539C" w:rsidRDefault="00926C20" w:rsidP="00A95C56">
      <w:pPr>
        <w:pStyle w:val="PargrafodaLista"/>
        <w:numPr>
          <w:ilvl w:val="1"/>
          <w:numId w:val="15"/>
        </w:numPr>
        <w:spacing w:line="360" w:lineRule="auto"/>
        <w:ind w:right="-1"/>
        <w:jc w:val="both"/>
        <w:outlineLvl w:val="1"/>
        <w:rPr>
          <w:rFonts w:ascii="Calibri" w:hAnsi="Calibri" w:cs="Calibri"/>
          <w:b/>
          <w:sz w:val="24"/>
          <w:szCs w:val="24"/>
        </w:rPr>
      </w:pPr>
      <w:bookmarkStart w:id="941" w:name="_Toc45535747"/>
      <w:r w:rsidRPr="009A539C">
        <w:rPr>
          <w:rFonts w:ascii="Calibri" w:hAnsi="Calibri" w:cs="Calibri"/>
          <w:b/>
          <w:sz w:val="24"/>
          <w:szCs w:val="24"/>
        </w:rPr>
        <w:t>Evolução da negociação coletiva na Administração Pública na década de 2009-2019</w:t>
      </w:r>
      <w:bookmarkEnd w:id="941"/>
    </w:p>
    <w:p w14:paraId="20A582EE" w14:textId="77777777" w:rsidR="00600964" w:rsidRPr="009A539C" w:rsidRDefault="00600964" w:rsidP="00B90788">
      <w:pPr>
        <w:pStyle w:val="PargrafodaLista"/>
        <w:tabs>
          <w:tab w:val="left" w:pos="851"/>
        </w:tabs>
        <w:spacing w:before="240" w:line="360" w:lineRule="auto"/>
        <w:ind w:left="0" w:right="-1" w:firstLine="425"/>
        <w:jc w:val="both"/>
        <w:rPr>
          <w:rFonts w:ascii="Calibri" w:hAnsi="Calibri"/>
          <w:sz w:val="23"/>
          <w:szCs w:val="23"/>
        </w:rPr>
      </w:pPr>
    </w:p>
    <w:p w14:paraId="089C970B" w14:textId="13CD9E4A" w:rsidR="003C3015" w:rsidRPr="009A539C" w:rsidRDefault="003C3015" w:rsidP="00B93491">
      <w:pPr>
        <w:pStyle w:val="PargrafodaLista"/>
        <w:numPr>
          <w:ilvl w:val="0"/>
          <w:numId w:val="95"/>
        </w:numPr>
        <w:tabs>
          <w:tab w:val="left" w:pos="-1418"/>
        </w:tabs>
        <w:spacing w:before="240" w:line="360" w:lineRule="auto"/>
        <w:ind w:left="0" w:right="-1" w:firstLine="284"/>
        <w:jc w:val="both"/>
        <w:rPr>
          <w:rFonts w:cstheme="minorHAnsi"/>
        </w:rPr>
      </w:pPr>
      <w:r w:rsidRPr="009A539C">
        <w:rPr>
          <w:rFonts w:ascii="Calibri" w:hAnsi="Calibri"/>
          <w:sz w:val="23"/>
          <w:szCs w:val="23"/>
        </w:rPr>
        <w:t>Cumpre recordar a relevância da Lei n.º 12-A/2008, de 27 de fevereiro</w:t>
      </w:r>
      <w:r w:rsidRPr="009A539C">
        <w:rPr>
          <w:rFonts w:ascii="Calibri" w:hAnsi="Calibri"/>
          <w:sz w:val="23"/>
          <w:szCs w:val="23"/>
          <w:vertAlign w:val="superscript"/>
        </w:rPr>
        <w:footnoteReference w:id="747"/>
      </w:r>
      <w:r w:rsidR="00E038D8" w:rsidRPr="009A539C">
        <w:rPr>
          <w:rFonts w:ascii="Calibri" w:hAnsi="Calibri"/>
          <w:sz w:val="23"/>
          <w:szCs w:val="23"/>
        </w:rPr>
        <w:t xml:space="preserve"> ao </w:t>
      </w:r>
      <w:r w:rsidRPr="009A539C">
        <w:rPr>
          <w:rFonts w:ascii="Calibri" w:hAnsi="Calibri"/>
          <w:sz w:val="23"/>
          <w:szCs w:val="23"/>
        </w:rPr>
        <w:t xml:space="preserve">incluir os IRCT no sistema de fontes aplicável ao contrato de trabalho em funções </w:t>
      </w:r>
      <w:r w:rsidRPr="009A539C">
        <w:rPr>
          <w:rFonts w:cstheme="minorHAnsi"/>
        </w:rPr>
        <w:t>públicas</w:t>
      </w:r>
      <w:r w:rsidRPr="009A539C">
        <w:rPr>
          <w:rFonts w:cstheme="minorHAnsi"/>
          <w:vertAlign w:val="superscript"/>
        </w:rPr>
        <w:footnoteReference w:id="748"/>
      </w:r>
      <w:r w:rsidRPr="009A539C">
        <w:rPr>
          <w:rFonts w:cstheme="minorHAnsi"/>
        </w:rPr>
        <w:t xml:space="preserve"> e generalizar a faculdade de as associações sindicais celebrarem com a Administração Pública instrumentos de regulamentação coletiva de trabalho. Por essa razão, a série apresentada retrata o conjunto de IRCT negociais publicados entre 2009 e 2019 (1371), dos quais a quase totalidade são </w:t>
      </w:r>
      <w:r w:rsidR="00E038D8" w:rsidRPr="009A539C">
        <w:rPr>
          <w:rFonts w:cstheme="minorHAnsi"/>
        </w:rPr>
        <w:t xml:space="preserve">acordos </w:t>
      </w:r>
      <w:r w:rsidR="00D368C2" w:rsidRPr="009A539C">
        <w:rPr>
          <w:rFonts w:cstheme="minorHAnsi"/>
        </w:rPr>
        <w:t>cole</w:t>
      </w:r>
      <w:r w:rsidR="00E038D8" w:rsidRPr="009A539C">
        <w:rPr>
          <w:rFonts w:cstheme="minorHAnsi"/>
        </w:rPr>
        <w:t>tivos de empregador público (</w:t>
      </w:r>
      <w:r w:rsidRPr="009A539C">
        <w:rPr>
          <w:rFonts w:cstheme="minorHAnsi"/>
        </w:rPr>
        <w:t>ACEP</w:t>
      </w:r>
      <w:r w:rsidR="00E038D8" w:rsidRPr="009A539C">
        <w:rPr>
          <w:rFonts w:cstheme="minorHAnsi"/>
        </w:rPr>
        <w:t>)</w:t>
      </w:r>
      <w:r w:rsidRPr="009A539C">
        <w:rPr>
          <w:rFonts w:cstheme="minorHAnsi"/>
        </w:rPr>
        <w:t xml:space="preserve"> (1360), concentrados essencialmente a partir de 2014. Em 2019 o depósito de ACEP baixou para 115 e foram celebrados 2 acordos coletivos de carreira</w:t>
      </w:r>
      <w:r w:rsidRPr="009A539C">
        <w:rPr>
          <w:rStyle w:val="Refdenotaderodap"/>
          <w:rFonts w:cstheme="minorHAnsi"/>
        </w:rPr>
        <w:footnoteReference w:id="749"/>
      </w:r>
      <w:r w:rsidRPr="009A539C">
        <w:rPr>
          <w:rFonts w:cstheme="minorHAnsi"/>
        </w:rPr>
        <w:t>, ambos do setor da saúde, após dois anos sem ocorrência</w:t>
      </w:r>
      <w:r w:rsidRPr="009A539C">
        <w:rPr>
          <w:rFonts w:cstheme="minorHAnsi"/>
          <w:vertAlign w:val="superscript"/>
        </w:rPr>
        <w:footnoteReference w:id="750"/>
      </w:r>
      <w:r w:rsidRPr="009A539C">
        <w:rPr>
          <w:rFonts w:cstheme="minorHAnsi"/>
        </w:rPr>
        <w:t>.</w:t>
      </w:r>
      <w:r w:rsidR="002A74E1" w:rsidRPr="009A539C">
        <w:rPr>
          <w:rFonts w:cstheme="minorHAnsi"/>
        </w:rPr>
        <w:t xml:space="preserve"> Os conteúdos dos dois ACC mencionados </w:t>
      </w:r>
      <w:r w:rsidRPr="009A539C">
        <w:rPr>
          <w:rFonts w:cstheme="minorHAnsi"/>
        </w:rPr>
        <w:t>disciplinam, fundamentalmente, organização do temp</w:t>
      </w:r>
      <w:r w:rsidR="002A74E1" w:rsidRPr="009A539C">
        <w:rPr>
          <w:rFonts w:cstheme="minorHAnsi"/>
        </w:rPr>
        <w:t xml:space="preserve">o de trabalho, prevendo várias </w:t>
      </w:r>
      <w:r w:rsidRPr="009A539C">
        <w:rPr>
          <w:rFonts w:cstheme="minorHAnsi"/>
        </w:rPr>
        <w:t>modalidades de horários de trab</w:t>
      </w:r>
      <w:r w:rsidR="002A74E1" w:rsidRPr="009A539C">
        <w:rPr>
          <w:rFonts w:cstheme="minorHAnsi"/>
        </w:rPr>
        <w:t xml:space="preserve">alho; formação profissional e segurança e saúde no trabalho, </w:t>
      </w:r>
      <w:r w:rsidRPr="009A539C">
        <w:rPr>
          <w:rFonts w:cstheme="minorHAnsi"/>
        </w:rPr>
        <w:t>representaç</w:t>
      </w:r>
      <w:r w:rsidR="002A74E1" w:rsidRPr="009A539C">
        <w:rPr>
          <w:rFonts w:cstheme="minorHAnsi"/>
        </w:rPr>
        <w:t xml:space="preserve">ão coletiva dos trabalhadores; </w:t>
      </w:r>
      <w:r w:rsidRPr="009A539C">
        <w:rPr>
          <w:rFonts w:cstheme="minorHAnsi"/>
        </w:rPr>
        <w:t xml:space="preserve">bem como o </w:t>
      </w:r>
      <w:r w:rsidR="002A74E1" w:rsidRPr="009A539C">
        <w:rPr>
          <w:rFonts w:cstheme="minorHAnsi"/>
        </w:rPr>
        <w:t xml:space="preserve">exercício do direito a greve e </w:t>
      </w:r>
      <w:r w:rsidRPr="009A539C">
        <w:rPr>
          <w:rFonts w:cstheme="minorHAnsi"/>
        </w:rPr>
        <w:t>definição de serviços mínimos</w:t>
      </w:r>
      <w:r w:rsidR="002A74E1" w:rsidRPr="009A539C">
        <w:rPr>
          <w:rFonts w:cstheme="minorHAnsi"/>
        </w:rPr>
        <w:t>.</w:t>
      </w:r>
      <w:r w:rsidRPr="009A539C">
        <w:rPr>
          <w:rFonts w:cstheme="minorHAnsi"/>
        </w:rPr>
        <w:t xml:space="preserve"> </w:t>
      </w:r>
    </w:p>
    <w:p w14:paraId="7A5B2568" w14:textId="4D0A0493" w:rsidR="003C3015" w:rsidRPr="00876707" w:rsidRDefault="00D93F24" w:rsidP="00343774">
      <w:pPr>
        <w:pStyle w:val="Legenda"/>
        <w:jc w:val="center"/>
        <w:rPr>
          <w:b w:val="0"/>
          <w:sz w:val="20"/>
          <w:szCs w:val="20"/>
        </w:rPr>
      </w:pPr>
      <w:bookmarkStart w:id="942" w:name="_Toc45716697"/>
      <w:r w:rsidRPr="00876707">
        <w:rPr>
          <w:b w:val="0"/>
          <w:sz w:val="20"/>
          <w:szCs w:val="20"/>
        </w:rPr>
        <w:t xml:space="preserve">Quadro </w:t>
      </w:r>
      <w:r w:rsidR="00942C57" w:rsidRPr="00876707">
        <w:rPr>
          <w:b w:val="0"/>
          <w:sz w:val="20"/>
          <w:szCs w:val="20"/>
        </w:rPr>
        <w:fldChar w:fldCharType="begin"/>
      </w:r>
      <w:r w:rsidR="00942C57" w:rsidRPr="00876707">
        <w:rPr>
          <w:b w:val="0"/>
          <w:sz w:val="20"/>
          <w:szCs w:val="20"/>
        </w:rPr>
        <w:instrText xml:space="preserve"> SEQ Quadro \* ARABIC </w:instrText>
      </w:r>
      <w:r w:rsidR="00942C57" w:rsidRPr="00876707">
        <w:rPr>
          <w:b w:val="0"/>
          <w:sz w:val="20"/>
          <w:szCs w:val="20"/>
        </w:rPr>
        <w:fldChar w:fldCharType="separate"/>
      </w:r>
      <w:r w:rsidR="00D821DE" w:rsidRPr="00876707">
        <w:rPr>
          <w:b w:val="0"/>
          <w:noProof/>
          <w:sz w:val="20"/>
          <w:szCs w:val="20"/>
        </w:rPr>
        <w:t>76</w:t>
      </w:r>
      <w:r w:rsidR="00942C57" w:rsidRPr="00876707">
        <w:rPr>
          <w:b w:val="0"/>
          <w:noProof/>
          <w:sz w:val="20"/>
          <w:szCs w:val="20"/>
        </w:rPr>
        <w:fldChar w:fldCharType="end"/>
      </w:r>
      <w:r w:rsidR="003C3015" w:rsidRPr="00876707">
        <w:rPr>
          <w:b w:val="0"/>
          <w:sz w:val="20"/>
          <w:szCs w:val="20"/>
        </w:rPr>
        <w:t xml:space="preserve"> - ACT publicados entre 2009 e 2019</w:t>
      </w:r>
      <w:bookmarkEnd w:id="942"/>
    </w:p>
    <w:p w14:paraId="15B711A0" w14:textId="77777777" w:rsidR="003C3015" w:rsidRPr="009A539C" w:rsidRDefault="003C3015" w:rsidP="00B90788">
      <w:pPr>
        <w:ind w:right="-1"/>
        <w:jc w:val="center"/>
      </w:pPr>
      <w:r w:rsidRPr="009A539C">
        <w:rPr>
          <w:noProof/>
          <w:lang w:eastAsia="pt-PT"/>
        </w:rPr>
        <w:drawing>
          <wp:inline distT="0" distB="0" distL="0" distR="0" wp14:anchorId="75AAFD58" wp14:editId="3BC5FCB3">
            <wp:extent cx="5553075" cy="1495425"/>
            <wp:effectExtent l="0" t="0" r="9525" b="9525"/>
            <wp:docPr id="1123" name="Imagem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566165" cy="1498950"/>
                    </a:xfrm>
                    <a:prstGeom prst="rect">
                      <a:avLst/>
                    </a:prstGeom>
                    <a:noFill/>
                    <a:ln>
                      <a:noFill/>
                    </a:ln>
                  </pic:spPr>
                </pic:pic>
              </a:graphicData>
            </a:graphic>
          </wp:inline>
        </w:drawing>
      </w:r>
    </w:p>
    <w:p w14:paraId="2B2BF0EE" w14:textId="77777777" w:rsidR="003C3015" w:rsidRPr="009A539C" w:rsidRDefault="003C3015" w:rsidP="00B90788">
      <w:pPr>
        <w:ind w:right="-1"/>
        <w:jc w:val="both"/>
      </w:pPr>
    </w:p>
    <w:p w14:paraId="4FC6B114" w14:textId="4A997D59" w:rsidR="003C3015" w:rsidRPr="009A539C" w:rsidRDefault="003C3015" w:rsidP="00B93491">
      <w:pPr>
        <w:pStyle w:val="PargrafodaLista"/>
        <w:numPr>
          <w:ilvl w:val="0"/>
          <w:numId w:val="95"/>
        </w:numPr>
        <w:tabs>
          <w:tab w:val="left" w:pos="-709"/>
        </w:tabs>
        <w:spacing w:before="240" w:after="0" w:line="360" w:lineRule="auto"/>
        <w:ind w:left="0" w:right="-1" w:firstLine="284"/>
        <w:contextualSpacing w:val="0"/>
        <w:jc w:val="both"/>
        <w:rPr>
          <w:sz w:val="23"/>
          <w:szCs w:val="23"/>
        </w:rPr>
      </w:pPr>
      <w:r w:rsidRPr="009A539C">
        <w:rPr>
          <w:rFonts w:ascii="Calibri" w:hAnsi="Calibri"/>
        </w:rPr>
        <w:t>Também foi explicado em edições anteriores, a propósito do quadro 7</w:t>
      </w:r>
      <w:r w:rsidR="00291742" w:rsidRPr="009A539C">
        <w:rPr>
          <w:rFonts w:ascii="Calibri" w:hAnsi="Calibri"/>
        </w:rPr>
        <w:t>6</w:t>
      </w:r>
      <w:r w:rsidRPr="009A539C">
        <w:rPr>
          <w:rFonts w:ascii="Calibri" w:hAnsi="Calibri"/>
        </w:rPr>
        <w:t>, o crescimento exponencial de ACEP registado a partir de 2014</w:t>
      </w:r>
      <w:r w:rsidR="00DB40F9" w:rsidRPr="009A539C">
        <w:rPr>
          <w:rFonts w:ascii="Calibri" w:hAnsi="Calibri"/>
        </w:rPr>
        <w:t xml:space="preserve"> </w:t>
      </w:r>
      <w:r w:rsidR="001570FC" w:rsidRPr="009A539C">
        <w:rPr>
          <w:rFonts w:ascii="Calibri" w:hAnsi="Calibri"/>
        </w:rPr>
        <w:t xml:space="preserve">- cujos conteúdos se centram </w:t>
      </w:r>
      <w:r w:rsidRPr="009A539C">
        <w:rPr>
          <w:rFonts w:ascii="Calibri" w:hAnsi="Calibri"/>
        </w:rPr>
        <w:t>em grande medida na definição do período normal de trabalho, sobretudo no âmbito da administração autárquica - em virtude das alterações introduzidas pela Lei n.º 68/2013, de 29 de agosto</w:t>
      </w:r>
      <w:r w:rsidR="00291742" w:rsidRPr="009A539C">
        <w:rPr>
          <w:rStyle w:val="Refdenotaderodap"/>
          <w:rFonts w:ascii="Calibri" w:hAnsi="Calibri"/>
        </w:rPr>
        <w:footnoteReference w:id="751"/>
      </w:r>
      <w:r w:rsidRPr="009A539C">
        <w:rPr>
          <w:rFonts w:ascii="Calibri" w:hAnsi="Calibri"/>
        </w:rPr>
        <w:t>, e ao subsequente impacto da jurisprudência constitucional produzida a esse propósito</w:t>
      </w:r>
      <w:r w:rsidRPr="009A539C">
        <w:rPr>
          <w:rFonts w:ascii="Calibri" w:hAnsi="Calibri"/>
          <w:vertAlign w:val="superscript"/>
        </w:rPr>
        <w:footnoteReference w:id="752"/>
      </w:r>
      <w:r w:rsidRPr="009A539C">
        <w:rPr>
          <w:rFonts w:ascii="Calibri" w:hAnsi="Calibri"/>
        </w:rPr>
        <w:t>, que influenciou a negociação coletiva na Administração Pública e explica o elevado número de acordos coletivos a partir de 2014</w:t>
      </w:r>
      <w:r w:rsidR="00FF0A8C" w:rsidRPr="009A539C">
        <w:rPr>
          <w:rFonts w:ascii="Calibri" w:hAnsi="Calibri"/>
        </w:rPr>
        <w:t xml:space="preserve"> </w:t>
      </w:r>
      <w:r w:rsidR="00FF0A8C" w:rsidRPr="009A539C">
        <w:rPr>
          <w:rFonts w:cstheme="minorHAnsi"/>
        </w:rPr>
        <w:t>(97,5% dos ACEP foram celebrados após 2014)</w:t>
      </w:r>
      <w:r w:rsidRPr="009A539C">
        <w:rPr>
          <w:rFonts w:ascii="Calibri" w:hAnsi="Calibri"/>
        </w:rPr>
        <w:t xml:space="preserve">. </w:t>
      </w:r>
      <w:r w:rsidRPr="009A539C">
        <w:t>A partir de 2017 verifica-se um abrandamento, parcialmente influenciad</w:t>
      </w:r>
      <w:r w:rsidR="001570FC" w:rsidRPr="009A539C">
        <w:t>o</w:t>
      </w:r>
      <w:r w:rsidRPr="009A539C">
        <w:t xml:space="preserve"> </w:t>
      </w:r>
      <w:r w:rsidRPr="009A539C">
        <w:rPr>
          <w:sz w:val="23"/>
          <w:szCs w:val="23"/>
        </w:rPr>
        <w:t>pelo esvaziamento do efeito provocado pelo Acórdão do Tribunal Constitucional n.º 494/2015</w:t>
      </w:r>
      <w:r w:rsidR="00DA0418" w:rsidRPr="009A539C">
        <w:rPr>
          <w:rStyle w:val="Refdenotaderodap"/>
          <w:sz w:val="23"/>
          <w:szCs w:val="23"/>
        </w:rPr>
        <w:footnoteReference w:id="753"/>
      </w:r>
      <w:r w:rsidRPr="009A539C">
        <w:rPr>
          <w:sz w:val="23"/>
          <w:szCs w:val="23"/>
        </w:rPr>
        <w:t xml:space="preserve"> (ver nota</w:t>
      </w:r>
      <w:r w:rsidR="00D368C2" w:rsidRPr="009A539C">
        <w:rPr>
          <w:sz w:val="23"/>
          <w:szCs w:val="23"/>
        </w:rPr>
        <w:t>s</w:t>
      </w:r>
      <w:r w:rsidRPr="009A539C">
        <w:rPr>
          <w:sz w:val="23"/>
          <w:szCs w:val="23"/>
        </w:rPr>
        <w:t xml:space="preserve"> </w:t>
      </w:r>
      <w:r w:rsidR="001570FC" w:rsidRPr="009A539C">
        <w:rPr>
          <w:sz w:val="23"/>
          <w:szCs w:val="23"/>
        </w:rPr>
        <w:t>antecedente</w:t>
      </w:r>
      <w:r w:rsidR="00D368C2" w:rsidRPr="009A539C">
        <w:rPr>
          <w:sz w:val="23"/>
          <w:szCs w:val="23"/>
        </w:rPr>
        <w:t>s</w:t>
      </w:r>
      <w:r w:rsidRPr="009A539C">
        <w:rPr>
          <w:sz w:val="23"/>
          <w:szCs w:val="23"/>
        </w:rPr>
        <w:t>)</w:t>
      </w:r>
      <w:r w:rsidR="002A6C80" w:rsidRPr="009A539C">
        <w:rPr>
          <w:rStyle w:val="Refdenotaderodap"/>
          <w:sz w:val="23"/>
          <w:szCs w:val="23"/>
        </w:rPr>
        <w:footnoteReference w:id="754"/>
      </w:r>
      <w:r w:rsidRPr="009A539C">
        <w:rPr>
          <w:sz w:val="23"/>
          <w:szCs w:val="23"/>
        </w:rPr>
        <w:t>.</w:t>
      </w:r>
    </w:p>
    <w:p w14:paraId="14842535" w14:textId="77777777" w:rsidR="00384967" w:rsidRPr="009A539C" w:rsidRDefault="00384967" w:rsidP="00B90788">
      <w:pPr>
        <w:pStyle w:val="PargrafodaLista"/>
        <w:spacing w:line="360" w:lineRule="auto"/>
        <w:ind w:left="0" w:right="-1"/>
        <w:jc w:val="both"/>
        <w:rPr>
          <w:rFonts w:ascii="Calibri" w:hAnsi="Calibri" w:cs="Calibri"/>
          <w:b/>
          <w:bCs/>
        </w:rPr>
      </w:pPr>
    </w:p>
    <w:p w14:paraId="2C942D09" w14:textId="77777777" w:rsidR="00D368C2" w:rsidRPr="009A539C" w:rsidRDefault="00D368C2" w:rsidP="00B90788">
      <w:pPr>
        <w:pStyle w:val="PargrafodaLista"/>
        <w:spacing w:line="360" w:lineRule="auto"/>
        <w:ind w:left="0" w:right="-1"/>
        <w:jc w:val="both"/>
        <w:rPr>
          <w:rFonts w:ascii="Calibri" w:hAnsi="Calibri" w:cs="Calibri"/>
          <w:b/>
          <w:bCs/>
        </w:rPr>
      </w:pPr>
    </w:p>
    <w:p w14:paraId="4B907062" w14:textId="77777777" w:rsidR="003C3015" w:rsidRPr="009A539C" w:rsidRDefault="00926C20" w:rsidP="00A95C56">
      <w:pPr>
        <w:pStyle w:val="PargrafodaLista"/>
        <w:numPr>
          <w:ilvl w:val="1"/>
          <w:numId w:val="15"/>
        </w:numPr>
        <w:spacing w:line="360" w:lineRule="auto"/>
        <w:ind w:right="-1"/>
        <w:jc w:val="both"/>
        <w:outlineLvl w:val="1"/>
        <w:rPr>
          <w:rFonts w:ascii="Calibri" w:hAnsi="Calibri" w:cs="Calibri"/>
          <w:b/>
          <w:sz w:val="24"/>
          <w:szCs w:val="24"/>
        </w:rPr>
      </w:pPr>
      <w:bookmarkStart w:id="943" w:name="_Toc45535748"/>
      <w:r w:rsidRPr="009A539C">
        <w:rPr>
          <w:rFonts w:ascii="Calibri" w:hAnsi="Calibri" w:cs="Calibri"/>
          <w:b/>
          <w:sz w:val="24"/>
          <w:szCs w:val="24"/>
        </w:rPr>
        <w:t>A negociação coletiva na Administração Pública em 2019</w:t>
      </w:r>
      <w:bookmarkEnd w:id="943"/>
    </w:p>
    <w:p w14:paraId="7F344FB1" w14:textId="77777777" w:rsidR="003C3015" w:rsidRPr="009A539C" w:rsidRDefault="003C3015" w:rsidP="00A95C56">
      <w:pPr>
        <w:pStyle w:val="PargrafodaLista"/>
        <w:numPr>
          <w:ilvl w:val="0"/>
          <w:numId w:val="25"/>
        </w:numPr>
        <w:tabs>
          <w:tab w:val="left" w:pos="709"/>
        </w:tabs>
        <w:spacing w:before="240" w:after="0" w:line="360" w:lineRule="auto"/>
        <w:ind w:right="-1"/>
        <w:contextualSpacing w:val="0"/>
        <w:jc w:val="both"/>
        <w:rPr>
          <w:rFonts w:cstheme="minorHAnsi"/>
        </w:rPr>
      </w:pPr>
      <w:r w:rsidRPr="009A539C">
        <w:rPr>
          <w:rFonts w:cstheme="minorHAnsi"/>
        </w:rPr>
        <w:t>Em 2019 foram celebrados 2 ACC e apenas 115 ACEP, verificando-se uma descida de 34,7% nos ACEP relativamente a 2018.</w:t>
      </w:r>
    </w:p>
    <w:p w14:paraId="14E22F51" w14:textId="77777777" w:rsidR="003C3015" w:rsidRPr="009A539C" w:rsidRDefault="003C3015" w:rsidP="00B90788">
      <w:pPr>
        <w:pStyle w:val="Legenda"/>
        <w:keepNext/>
        <w:spacing w:line="360" w:lineRule="auto"/>
        <w:ind w:right="-1"/>
        <w:jc w:val="both"/>
        <w:rPr>
          <w:color w:val="365F91" w:themeColor="accent1" w:themeShade="BF"/>
        </w:rPr>
      </w:pPr>
      <w:bookmarkStart w:id="944" w:name="_Toc517332112"/>
    </w:p>
    <w:p w14:paraId="443DED33" w14:textId="17290F91" w:rsidR="003C3015" w:rsidRPr="00876707" w:rsidRDefault="00D93F24" w:rsidP="00343774">
      <w:pPr>
        <w:pStyle w:val="Legenda"/>
        <w:jc w:val="center"/>
        <w:rPr>
          <w:b w:val="0"/>
          <w:sz w:val="22"/>
          <w:szCs w:val="22"/>
        </w:rPr>
      </w:pPr>
      <w:bookmarkStart w:id="945" w:name="_Toc45716698"/>
      <w:r w:rsidRPr="00876707">
        <w:rPr>
          <w:b w:val="0"/>
          <w:sz w:val="22"/>
          <w:szCs w:val="22"/>
        </w:rPr>
        <w:t xml:space="preserve">Quadro </w:t>
      </w:r>
      <w:r w:rsidR="00942C57" w:rsidRPr="00876707">
        <w:rPr>
          <w:b w:val="0"/>
          <w:sz w:val="22"/>
          <w:szCs w:val="22"/>
        </w:rPr>
        <w:fldChar w:fldCharType="begin"/>
      </w:r>
      <w:r w:rsidR="00942C57" w:rsidRPr="00876707">
        <w:rPr>
          <w:b w:val="0"/>
          <w:sz w:val="22"/>
          <w:szCs w:val="22"/>
        </w:rPr>
        <w:instrText xml:space="preserve"> SEQ Quadro \* ARABIC </w:instrText>
      </w:r>
      <w:r w:rsidR="00942C57" w:rsidRPr="00876707">
        <w:rPr>
          <w:b w:val="0"/>
          <w:sz w:val="22"/>
          <w:szCs w:val="22"/>
        </w:rPr>
        <w:fldChar w:fldCharType="separate"/>
      </w:r>
      <w:r w:rsidR="00D821DE" w:rsidRPr="00876707">
        <w:rPr>
          <w:b w:val="0"/>
          <w:noProof/>
          <w:sz w:val="22"/>
          <w:szCs w:val="22"/>
        </w:rPr>
        <w:t>77</w:t>
      </w:r>
      <w:r w:rsidR="00942C57" w:rsidRPr="00876707">
        <w:rPr>
          <w:b w:val="0"/>
          <w:noProof/>
          <w:sz w:val="22"/>
          <w:szCs w:val="22"/>
        </w:rPr>
        <w:fldChar w:fldCharType="end"/>
      </w:r>
      <w:r w:rsidR="003C3015" w:rsidRPr="00876707">
        <w:rPr>
          <w:b w:val="0"/>
          <w:sz w:val="22"/>
          <w:szCs w:val="22"/>
        </w:rPr>
        <w:t xml:space="preserve"> - IRCT negociais celebrados no âmbito da Administração Pública em 201</w:t>
      </w:r>
      <w:bookmarkEnd w:id="944"/>
      <w:r w:rsidR="003C3015" w:rsidRPr="00876707">
        <w:rPr>
          <w:b w:val="0"/>
          <w:sz w:val="22"/>
          <w:szCs w:val="22"/>
        </w:rPr>
        <w:t>9</w:t>
      </w:r>
      <w:bookmarkEnd w:id="945"/>
    </w:p>
    <w:p w14:paraId="16C18EE7" w14:textId="77777777" w:rsidR="003C3015" w:rsidRPr="009A539C" w:rsidRDefault="003C3015" w:rsidP="00B90788">
      <w:pPr>
        <w:ind w:right="-1"/>
        <w:jc w:val="center"/>
      </w:pPr>
      <w:r w:rsidRPr="009A539C">
        <w:rPr>
          <w:noProof/>
          <w:lang w:eastAsia="pt-PT"/>
        </w:rPr>
        <w:drawing>
          <wp:inline distT="0" distB="0" distL="0" distR="0" wp14:anchorId="357C2FE0" wp14:editId="78457DD6">
            <wp:extent cx="5391150" cy="1464915"/>
            <wp:effectExtent l="0" t="0" r="0" b="2540"/>
            <wp:docPr id="1129" name="Imagem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94774" cy="1465900"/>
                    </a:xfrm>
                    <a:prstGeom prst="rect">
                      <a:avLst/>
                    </a:prstGeom>
                    <a:noFill/>
                    <a:ln>
                      <a:noFill/>
                    </a:ln>
                  </pic:spPr>
                </pic:pic>
              </a:graphicData>
            </a:graphic>
          </wp:inline>
        </w:drawing>
      </w:r>
    </w:p>
    <w:p w14:paraId="1A93F170" w14:textId="77777777" w:rsidR="003C3015" w:rsidRPr="009A539C" w:rsidRDefault="003C3015" w:rsidP="00B90788">
      <w:pPr>
        <w:autoSpaceDE w:val="0"/>
        <w:autoSpaceDN w:val="0"/>
        <w:adjustRightInd w:val="0"/>
        <w:spacing w:line="360" w:lineRule="auto"/>
        <w:ind w:right="-1"/>
        <w:jc w:val="both"/>
        <w:rPr>
          <w:sz w:val="23"/>
          <w:szCs w:val="23"/>
        </w:rPr>
      </w:pPr>
    </w:p>
    <w:p w14:paraId="38A20E09" w14:textId="77777777" w:rsidR="003C3015" w:rsidRPr="009A539C" w:rsidRDefault="003C3015" w:rsidP="00B90788">
      <w:pPr>
        <w:autoSpaceDE w:val="0"/>
        <w:autoSpaceDN w:val="0"/>
        <w:adjustRightInd w:val="0"/>
        <w:spacing w:line="360" w:lineRule="auto"/>
        <w:ind w:right="-1" w:firstLine="426"/>
        <w:jc w:val="both"/>
      </w:pPr>
      <w:r w:rsidRPr="009A539C">
        <w:t>A distribuição por área geográfica e por tipo de outorgante público – registada no quadro seguinte – demonstra que a negociação coletiva diminuiu 60 IRCT em 2019 e, num total de 117 ACT, se concentrou no domínio da administração local do continente (92 em autarquias, 9 em serviços municipalizados e 1+5 em associação de municípios/ entidades intermunicipais).</w:t>
      </w:r>
    </w:p>
    <w:p w14:paraId="3C013986" w14:textId="77777777" w:rsidR="003C3015" w:rsidRPr="009A539C" w:rsidRDefault="003C3015" w:rsidP="00B90788">
      <w:pPr>
        <w:ind w:right="-1"/>
        <w:jc w:val="both"/>
        <w:rPr>
          <w:b/>
        </w:rPr>
      </w:pPr>
    </w:p>
    <w:p w14:paraId="1608A3BF" w14:textId="77777777" w:rsidR="003C3015" w:rsidRPr="009A539C" w:rsidRDefault="003C3015" w:rsidP="00B90788">
      <w:pPr>
        <w:ind w:right="-1"/>
        <w:jc w:val="both"/>
        <w:rPr>
          <w:b/>
        </w:rPr>
      </w:pPr>
    </w:p>
    <w:p w14:paraId="647E9699" w14:textId="77777777" w:rsidR="003C3015" w:rsidRPr="009A539C" w:rsidRDefault="003C3015" w:rsidP="00B90788">
      <w:pPr>
        <w:ind w:right="-1"/>
        <w:jc w:val="both"/>
        <w:rPr>
          <w:b/>
        </w:rPr>
      </w:pPr>
    </w:p>
    <w:p w14:paraId="67645EF8" w14:textId="77777777" w:rsidR="00585AB9" w:rsidRPr="009A539C" w:rsidRDefault="00585AB9" w:rsidP="00B90788">
      <w:pPr>
        <w:ind w:right="-1"/>
        <w:jc w:val="both"/>
        <w:rPr>
          <w:b/>
        </w:rPr>
      </w:pPr>
    </w:p>
    <w:p w14:paraId="38DE50B3" w14:textId="0B20D9BE" w:rsidR="003C3015" w:rsidRPr="00876707" w:rsidRDefault="00D93F24" w:rsidP="00343774">
      <w:pPr>
        <w:pStyle w:val="Legenda"/>
        <w:jc w:val="center"/>
        <w:rPr>
          <w:b w:val="0"/>
          <w:sz w:val="22"/>
          <w:szCs w:val="22"/>
        </w:rPr>
      </w:pPr>
      <w:bookmarkStart w:id="946" w:name="_Toc45716699"/>
      <w:r w:rsidRPr="00876707">
        <w:rPr>
          <w:b w:val="0"/>
          <w:sz w:val="22"/>
          <w:szCs w:val="22"/>
        </w:rPr>
        <w:t xml:space="preserve">Quadro </w:t>
      </w:r>
      <w:r w:rsidR="00942C57" w:rsidRPr="00876707">
        <w:rPr>
          <w:b w:val="0"/>
          <w:sz w:val="22"/>
          <w:szCs w:val="22"/>
        </w:rPr>
        <w:fldChar w:fldCharType="begin"/>
      </w:r>
      <w:r w:rsidR="00942C57" w:rsidRPr="00876707">
        <w:rPr>
          <w:b w:val="0"/>
          <w:sz w:val="22"/>
          <w:szCs w:val="22"/>
        </w:rPr>
        <w:instrText xml:space="preserve"> SEQ Quadro \* ARABIC </w:instrText>
      </w:r>
      <w:r w:rsidR="00942C57" w:rsidRPr="00876707">
        <w:rPr>
          <w:b w:val="0"/>
          <w:sz w:val="22"/>
          <w:szCs w:val="22"/>
        </w:rPr>
        <w:fldChar w:fldCharType="separate"/>
      </w:r>
      <w:r w:rsidR="00D821DE" w:rsidRPr="00876707">
        <w:rPr>
          <w:b w:val="0"/>
          <w:noProof/>
          <w:sz w:val="22"/>
          <w:szCs w:val="22"/>
        </w:rPr>
        <w:t>78</w:t>
      </w:r>
      <w:r w:rsidR="00942C57" w:rsidRPr="00876707">
        <w:rPr>
          <w:b w:val="0"/>
          <w:noProof/>
          <w:sz w:val="22"/>
          <w:szCs w:val="22"/>
        </w:rPr>
        <w:fldChar w:fldCharType="end"/>
      </w:r>
      <w:r w:rsidR="003C3015" w:rsidRPr="00876707">
        <w:rPr>
          <w:b w:val="0"/>
          <w:sz w:val="22"/>
          <w:szCs w:val="22"/>
        </w:rPr>
        <w:t xml:space="preserve"> - Distribuição do número de ACT e AA por área geográfi</w:t>
      </w:r>
      <w:r w:rsidR="006948C4" w:rsidRPr="00876707">
        <w:rPr>
          <w:b w:val="0"/>
          <w:sz w:val="22"/>
          <w:szCs w:val="22"/>
        </w:rPr>
        <w:t xml:space="preserve">ca e por tipo de Administração - </w:t>
      </w:r>
      <w:r w:rsidR="003E418C" w:rsidRPr="00876707">
        <w:rPr>
          <w:b w:val="0"/>
          <w:sz w:val="22"/>
          <w:szCs w:val="22"/>
        </w:rPr>
        <w:t>em</w:t>
      </w:r>
      <w:r w:rsidR="003C3015" w:rsidRPr="00876707">
        <w:rPr>
          <w:b w:val="0"/>
          <w:sz w:val="22"/>
          <w:szCs w:val="22"/>
        </w:rPr>
        <w:t xml:space="preserve"> 2019</w:t>
      </w:r>
      <w:bookmarkEnd w:id="946"/>
    </w:p>
    <w:p w14:paraId="43CAA916" w14:textId="77777777" w:rsidR="003C3015" w:rsidRPr="009A539C" w:rsidRDefault="003C3015" w:rsidP="00B90788">
      <w:pPr>
        <w:ind w:right="-1"/>
        <w:jc w:val="center"/>
      </w:pPr>
      <w:r w:rsidRPr="009A539C">
        <w:rPr>
          <w:noProof/>
          <w:lang w:eastAsia="pt-PT"/>
        </w:rPr>
        <w:drawing>
          <wp:inline distT="0" distB="0" distL="0" distR="0" wp14:anchorId="1CF9764D" wp14:editId="293C2FAE">
            <wp:extent cx="5562600" cy="1870951"/>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569821" cy="1873380"/>
                    </a:xfrm>
                    <a:prstGeom prst="rect">
                      <a:avLst/>
                    </a:prstGeom>
                    <a:noFill/>
                    <a:ln>
                      <a:noFill/>
                    </a:ln>
                  </pic:spPr>
                </pic:pic>
              </a:graphicData>
            </a:graphic>
          </wp:inline>
        </w:drawing>
      </w:r>
    </w:p>
    <w:p w14:paraId="44778A0B" w14:textId="77777777" w:rsidR="003C3015" w:rsidRPr="009A539C" w:rsidRDefault="003C3015" w:rsidP="00B90788">
      <w:pPr>
        <w:ind w:right="-1"/>
        <w:jc w:val="both"/>
        <w:rPr>
          <w:b/>
        </w:rPr>
      </w:pPr>
    </w:p>
    <w:p w14:paraId="38F7A668" w14:textId="77777777" w:rsidR="003C3015" w:rsidRPr="009A539C" w:rsidRDefault="003C3015" w:rsidP="00B90788">
      <w:pPr>
        <w:tabs>
          <w:tab w:val="left" w:pos="851"/>
        </w:tabs>
        <w:spacing w:before="240" w:line="360" w:lineRule="auto"/>
        <w:ind w:right="-1" w:firstLine="426"/>
        <w:jc w:val="both"/>
        <w:rPr>
          <w:rFonts w:cstheme="minorHAnsi"/>
        </w:rPr>
      </w:pPr>
      <w:r w:rsidRPr="009A539C">
        <w:rPr>
          <w:rFonts w:cstheme="minorHAnsi"/>
          <w:b/>
          <w:sz w:val="24"/>
          <w:szCs w:val="24"/>
        </w:rPr>
        <w:t>II.</w:t>
      </w:r>
      <w:r w:rsidRPr="009A539C">
        <w:rPr>
          <w:rFonts w:cstheme="minorHAnsi"/>
        </w:rPr>
        <w:t xml:space="preserve"> </w:t>
      </w:r>
      <w:r w:rsidRPr="009A539C">
        <w:rPr>
          <w:rFonts w:cstheme="minorHAnsi"/>
        </w:rPr>
        <w:tab/>
        <w:t>Quanto aos outorgantes pelo lado dos trabalhadores, a esmagadora maioria dos acordos (107) foi celebrada por associações sindicais de primeiro grau (sindicatos). Surge 1 acordo subscrito por uma associação de segundo grau (federação sindical) e 9 acordos celebrados por consórcios sindicais (</w:t>
      </w:r>
      <w:r w:rsidR="00DF2857" w:rsidRPr="009A539C">
        <w:rPr>
          <w:rFonts w:cstheme="minorHAnsi"/>
        </w:rPr>
        <w:t xml:space="preserve">com duas </w:t>
      </w:r>
      <w:r w:rsidRPr="009A539C">
        <w:rPr>
          <w:rFonts w:cstheme="minorHAnsi"/>
        </w:rPr>
        <w:t>ou mais entidades sindicais).</w:t>
      </w:r>
    </w:p>
    <w:p w14:paraId="0FB7B887" w14:textId="77777777" w:rsidR="003C3015" w:rsidRPr="009A539C" w:rsidRDefault="003C3015" w:rsidP="00B90788">
      <w:pPr>
        <w:pStyle w:val="Legenda"/>
        <w:ind w:right="-1"/>
        <w:jc w:val="both"/>
        <w:rPr>
          <w:sz w:val="22"/>
          <w:szCs w:val="22"/>
        </w:rPr>
      </w:pPr>
    </w:p>
    <w:p w14:paraId="162ED73B" w14:textId="5E09AE91" w:rsidR="00585AB9" w:rsidRPr="00792C89" w:rsidRDefault="00343774" w:rsidP="00792C89">
      <w:pPr>
        <w:pStyle w:val="Legenda"/>
        <w:jc w:val="center"/>
        <w:rPr>
          <w:b w:val="0"/>
          <w:sz w:val="20"/>
          <w:szCs w:val="20"/>
        </w:rPr>
      </w:pPr>
      <w:bookmarkStart w:id="947" w:name="_Toc45716700"/>
      <w:r w:rsidRPr="00792C89">
        <w:rPr>
          <w:b w:val="0"/>
          <w:sz w:val="20"/>
          <w:szCs w:val="20"/>
        </w:rPr>
        <w:t xml:space="preserve">Quadro </w:t>
      </w:r>
      <w:r w:rsidR="00942C57" w:rsidRPr="00792C89">
        <w:rPr>
          <w:b w:val="0"/>
          <w:sz w:val="20"/>
          <w:szCs w:val="20"/>
        </w:rPr>
        <w:fldChar w:fldCharType="begin"/>
      </w:r>
      <w:r w:rsidR="00942C57" w:rsidRPr="00792C89">
        <w:rPr>
          <w:b w:val="0"/>
          <w:sz w:val="20"/>
          <w:szCs w:val="20"/>
        </w:rPr>
        <w:instrText xml:space="preserve"> SEQ Quadro \* ARABIC </w:instrText>
      </w:r>
      <w:r w:rsidR="00942C57" w:rsidRPr="00792C89">
        <w:rPr>
          <w:b w:val="0"/>
          <w:sz w:val="20"/>
          <w:szCs w:val="20"/>
        </w:rPr>
        <w:fldChar w:fldCharType="separate"/>
      </w:r>
      <w:r w:rsidR="00D821DE" w:rsidRPr="00792C89">
        <w:rPr>
          <w:b w:val="0"/>
          <w:noProof/>
          <w:sz w:val="20"/>
          <w:szCs w:val="20"/>
        </w:rPr>
        <w:t>79</w:t>
      </w:r>
      <w:r w:rsidR="00942C57" w:rsidRPr="00792C89">
        <w:rPr>
          <w:b w:val="0"/>
          <w:noProof/>
          <w:sz w:val="20"/>
          <w:szCs w:val="20"/>
        </w:rPr>
        <w:fldChar w:fldCharType="end"/>
      </w:r>
      <w:r w:rsidR="003C3015" w:rsidRPr="00792C89">
        <w:rPr>
          <w:b w:val="0"/>
          <w:sz w:val="20"/>
          <w:szCs w:val="20"/>
        </w:rPr>
        <w:t xml:space="preserve"> - Distribuição do número de ACT e AA por tipo de outorgante sindical e por tipo de Administração</w:t>
      </w:r>
      <w:r w:rsidR="00585AB9" w:rsidRPr="00792C89">
        <w:rPr>
          <w:b w:val="0"/>
          <w:sz w:val="20"/>
          <w:szCs w:val="20"/>
        </w:rPr>
        <w:t xml:space="preserve"> </w:t>
      </w:r>
      <w:r w:rsidR="00792C89" w:rsidRPr="00792C89">
        <w:rPr>
          <w:b w:val="0"/>
          <w:sz w:val="20"/>
          <w:szCs w:val="20"/>
        </w:rPr>
        <w:t>(</w:t>
      </w:r>
      <w:r w:rsidR="006948C4" w:rsidRPr="00792C89">
        <w:rPr>
          <w:b w:val="0"/>
          <w:sz w:val="20"/>
          <w:szCs w:val="20"/>
        </w:rPr>
        <w:t>2019</w:t>
      </w:r>
      <w:r w:rsidR="00792C89" w:rsidRPr="00792C89">
        <w:rPr>
          <w:b w:val="0"/>
          <w:sz w:val="20"/>
          <w:szCs w:val="20"/>
        </w:rPr>
        <w:t>)</w:t>
      </w:r>
      <w:bookmarkEnd w:id="947"/>
    </w:p>
    <w:p w14:paraId="1E03B127" w14:textId="77777777" w:rsidR="003C3015" w:rsidRPr="009A539C" w:rsidRDefault="003C3015" w:rsidP="00B90788">
      <w:pPr>
        <w:ind w:right="-1"/>
        <w:jc w:val="center"/>
      </w:pPr>
      <w:r w:rsidRPr="009A539C">
        <w:rPr>
          <w:noProof/>
          <w:lang w:eastAsia="pt-PT"/>
        </w:rPr>
        <w:drawing>
          <wp:inline distT="0" distB="0" distL="0" distR="0" wp14:anchorId="04FDF989" wp14:editId="1E5AAFA6">
            <wp:extent cx="5562600" cy="1856394"/>
            <wp:effectExtent l="0" t="0" r="0" b="0"/>
            <wp:docPr id="1147" name="Imagem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566340" cy="1857642"/>
                    </a:xfrm>
                    <a:prstGeom prst="rect">
                      <a:avLst/>
                    </a:prstGeom>
                    <a:noFill/>
                    <a:ln>
                      <a:noFill/>
                    </a:ln>
                  </pic:spPr>
                </pic:pic>
              </a:graphicData>
            </a:graphic>
          </wp:inline>
        </w:drawing>
      </w:r>
    </w:p>
    <w:p w14:paraId="0EAFD9EC" w14:textId="77777777" w:rsidR="003C3015" w:rsidRPr="009A539C" w:rsidRDefault="003C3015" w:rsidP="00B90788">
      <w:pPr>
        <w:ind w:right="-1"/>
        <w:jc w:val="both"/>
      </w:pPr>
    </w:p>
    <w:p w14:paraId="0B47E16B" w14:textId="77777777" w:rsidR="003C3015" w:rsidRPr="009A539C" w:rsidRDefault="003C3015" w:rsidP="00B90788">
      <w:pPr>
        <w:tabs>
          <w:tab w:val="left" w:pos="851"/>
        </w:tabs>
        <w:spacing w:before="240" w:line="360" w:lineRule="auto"/>
        <w:ind w:right="-1" w:firstLine="426"/>
        <w:jc w:val="both"/>
        <w:rPr>
          <w:rFonts w:cstheme="minorHAnsi"/>
        </w:rPr>
      </w:pPr>
      <w:r w:rsidRPr="009A539C">
        <w:rPr>
          <w:rFonts w:cstheme="minorHAnsi"/>
          <w:b/>
          <w:sz w:val="24"/>
          <w:szCs w:val="24"/>
        </w:rPr>
        <w:t>III</w:t>
      </w:r>
      <w:r w:rsidRPr="009A539C">
        <w:rPr>
          <w:rFonts w:cstheme="minorHAnsi"/>
          <w:sz w:val="24"/>
          <w:szCs w:val="24"/>
        </w:rPr>
        <w:t>.</w:t>
      </w:r>
      <w:r w:rsidRPr="009A539C">
        <w:rPr>
          <w:rFonts w:cstheme="minorHAnsi"/>
        </w:rPr>
        <w:t xml:space="preserve"> Em síntese, o ano de 2019, regista uma tendência de decréscimo da contratação coletiva na Administração Pública confirmando-se a vitalidade da contratação coletiva ao nível da administração local. Neste processo de regulação coletiva continua a destacar-se o dinamismo do Sindicato Nacional dos Trabalhadores da Administração Local e Regional, Empresas Públicas, Concessionárias e Afins (STAL) que continua a ser a associação sindical que maior número de acordos celebrou. </w:t>
      </w:r>
    </w:p>
    <w:p w14:paraId="5F9F7F90" w14:textId="77777777" w:rsidR="003C3015" w:rsidRPr="009A539C" w:rsidRDefault="003C3015" w:rsidP="00B90788">
      <w:pPr>
        <w:autoSpaceDE w:val="0"/>
        <w:autoSpaceDN w:val="0"/>
        <w:adjustRightInd w:val="0"/>
        <w:spacing w:line="360" w:lineRule="auto"/>
        <w:ind w:right="-1" w:firstLine="426"/>
        <w:jc w:val="both"/>
        <w:rPr>
          <w:rFonts w:cstheme="minorHAnsi"/>
        </w:rPr>
      </w:pPr>
      <w:r w:rsidRPr="009A539C">
        <w:rPr>
          <w:rFonts w:cstheme="minorHAnsi"/>
        </w:rPr>
        <w:t>Dos 117 acordos coletivos de empregador público celebrados, 38 são 1.ªs convenções e 79 consubstanciam revisões de acordos existentes, não se verificando a celebração de acordos de adesão. De entre os acordos coletivos revistos, 71 operaram “revisões globais”, procedendo à revogação dos anteriormente celebrados, e 8 operaram revisões parciais. Estes últimos promoveram o aditamento de novas cláusulas no âmbito de matérias relativas ao regime da duração e organização do tempo de trabalho.</w:t>
      </w:r>
      <w:r w:rsidRPr="009A539C">
        <w:rPr>
          <w:rFonts w:ascii="Calibri Light" w:hAnsi="Calibri Light"/>
          <w:color w:val="1F497D"/>
        </w:rPr>
        <w:t xml:space="preserve"> </w:t>
      </w:r>
      <w:r w:rsidRPr="009A539C">
        <w:rPr>
          <w:rFonts w:cstheme="minorHAnsi"/>
        </w:rPr>
        <w:t>A generalidade dos ACEP regula a duração e organização do tempo de trabalho</w:t>
      </w:r>
      <w:r w:rsidR="00DF2857" w:rsidRPr="009A539C">
        <w:rPr>
          <w:rFonts w:cstheme="minorHAnsi"/>
        </w:rPr>
        <w:t xml:space="preserve"> sendo também usual o tratamento de matérias </w:t>
      </w:r>
      <w:r w:rsidRPr="009A539C">
        <w:rPr>
          <w:rFonts w:cstheme="minorHAnsi"/>
        </w:rPr>
        <w:t>como a composição e funcionamento da comissão paritária</w:t>
      </w:r>
      <w:r w:rsidR="00DF2857" w:rsidRPr="009A539C">
        <w:rPr>
          <w:rFonts w:cstheme="minorHAnsi"/>
        </w:rPr>
        <w:t>, a resolução de conflitos cole</w:t>
      </w:r>
      <w:r w:rsidRPr="009A539C">
        <w:rPr>
          <w:rFonts w:cstheme="minorHAnsi"/>
        </w:rPr>
        <w:t>tivos de trabalho, serviços mínimos e a atividade sindical no serviço</w:t>
      </w:r>
      <w:r w:rsidRPr="009A539C">
        <w:rPr>
          <w:rStyle w:val="Refdenotaderodap"/>
          <w:rFonts w:cstheme="minorHAnsi"/>
        </w:rPr>
        <w:footnoteReference w:id="755"/>
      </w:r>
      <w:r w:rsidR="00DF2857" w:rsidRPr="009A539C">
        <w:rPr>
          <w:rFonts w:cstheme="minorHAnsi"/>
        </w:rPr>
        <w:t>. Encontram-se ainda convenções</w:t>
      </w:r>
      <w:r w:rsidRPr="009A539C">
        <w:rPr>
          <w:rFonts w:cstheme="minorHAnsi"/>
        </w:rPr>
        <w:t xml:space="preserve"> que desenvolvem de modo particular o tópico da segurança e saúde no trabalho, versando quer os deveres do empregador e os direitos de trabalhador, bem como regras sobre a representação dos trabalhadores neste domínio.</w:t>
      </w:r>
      <w:r w:rsidRPr="009A539C">
        <w:rPr>
          <w:rStyle w:val="Refdenotaderodap"/>
          <w:rFonts w:cstheme="minorHAnsi"/>
        </w:rPr>
        <w:footnoteReference w:id="756"/>
      </w:r>
    </w:p>
    <w:p w14:paraId="04EDB246" w14:textId="77777777" w:rsidR="003C3015" w:rsidRPr="009A539C" w:rsidRDefault="003C3015" w:rsidP="00B90788">
      <w:pPr>
        <w:spacing w:line="360" w:lineRule="auto"/>
        <w:ind w:right="-1"/>
        <w:jc w:val="both"/>
        <w:outlineLvl w:val="1"/>
        <w:rPr>
          <w:rFonts w:ascii="Calibri" w:hAnsi="Calibri" w:cs="Calibri"/>
          <w:b/>
        </w:rPr>
      </w:pPr>
    </w:p>
    <w:p w14:paraId="2DDCDDAE" w14:textId="77777777" w:rsidR="0032160B" w:rsidRPr="009A539C" w:rsidRDefault="0032160B" w:rsidP="00B90788">
      <w:pPr>
        <w:spacing w:line="360" w:lineRule="auto"/>
        <w:ind w:left="1416" w:right="-1"/>
        <w:jc w:val="both"/>
        <w:rPr>
          <w:rFonts w:ascii="Calibri" w:hAnsi="Calibri" w:cs="Calibri"/>
        </w:rPr>
      </w:pPr>
    </w:p>
    <w:p w14:paraId="0D31232C" w14:textId="77777777" w:rsidR="005E7447" w:rsidRPr="009A539C" w:rsidRDefault="005E7447" w:rsidP="00B90788">
      <w:pPr>
        <w:ind w:right="-1"/>
        <w:jc w:val="both"/>
        <w:rPr>
          <w:rFonts w:ascii="Calibri" w:hAnsi="Calibri" w:cs="Calibri"/>
        </w:rPr>
      </w:pPr>
    </w:p>
    <w:p w14:paraId="311F02FC" w14:textId="77777777" w:rsidR="005E7447" w:rsidRPr="009A539C" w:rsidRDefault="005E7447" w:rsidP="00B90788">
      <w:pPr>
        <w:ind w:right="-1"/>
        <w:jc w:val="both"/>
        <w:rPr>
          <w:rFonts w:ascii="Calibri" w:hAnsi="Calibri" w:cs="Calibri"/>
        </w:rPr>
      </w:pPr>
    </w:p>
    <w:p w14:paraId="0DC259A3" w14:textId="77777777" w:rsidR="00BD46F6" w:rsidRPr="009A539C" w:rsidRDefault="00BD46F6" w:rsidP="00B90788">
      <w:pPr>
        <w:ind w:right="-1"/>
        <w:jc w:val="both"/>
        <w:rPr>
          <w:rFonts w:ascii="Calibri" w:eastAsia="Times New Roman" w:hAnsi="Calibri" w:cs="Calibri"/>
          <w:sz w:val="18"/>
          <w:szCs w:val="18"/>
          <w:lang w:eastAsia="pt-PT"/>
        </w:rPr>
      </w:pPr>
    </w:p>
    <w:p w14:paraId="73F57EC1" w14:textId="77777777" w:rsidR="003C3015" w:rsidRPr="009A539C" w:rsidRDefault="003C3015" w:rsidP="00B90788">
      <w:pPr>
        <w:ind w:right="-1"/>
        <w:jc w:val="both"/>
        <w:rPr>
          <w:rFonts w:ascii="Calibri" w:eastAsia="Times New Roman" w:hAnsi="Calibri" w:cs="Calibri"/>
          <w:sz w:val="18"/>
          <w:szCs w:val="18"/>
          <w:lang w:eastAsia="pt-PT"/>
        </w:rPr>
      </w:pPr>
    </w:p>
    <w:p w14:paraId="2C0CA953" w14:textId="77777777" w:rsidR="003C3015" w:rsidRPr="009A539C" w:rsidRDefault="003C3015" w:rsidP="00B90788">
      <w:pPr>
        <w:ind w:right="-1"/>
        <w:jc w:val="both"/>
        <w:rPr>
          <w:rFonts w:ascii="Calibri" w:eastAsia="Times New Roman" w:hAnsi="Calibri" w:cs="Calibri"/>
          <w:sz w:val="18"/>
          <w:szCs w:val="18"/>
          <w:lang w:eastAsia="pt-PT"/>
        </w:rPr>
      </w:pPr>
    </w:p>
    <w:p w14:paraId="7CC8AEB0" w14:textId="77777777" w:rsidR="003C3015" w:rsidRPr="009A539C" w:rsidRDefault="003C3015" w:rsidP="00B90788">
      <w:pPr>
        <w:ind w:right="-1"/>
        <w:jc w:val="both"/>
        <w:rPr>
          <w:rFonts w:ascii="Calibri" w:eastAsia="Times New Roman" w:hAnsi="Calibri" w:cs="Calibri"/>
          <w:sz w:val="18"/>
          <w:szCs w:val="18"/>
          <w:lang w:eastAsia="pt-PT"/>
        </w:rPr>
      </w:pPr>
    </w:p>
    <w:p w14:paraId="39E29877" w14:textId="77777777" w:rsidR="003C3015" w:rsidRPr="009A539C" w:rsidRDefault="003C3015" w:rsidP="00B90788">
      <w:pPr>
        <w:ind w:right="-1"/>
        <w:jc w:val="both"/>
        <w:rPr>
          <w:rFonts w:ascii="Calibri" w:eastAsia="Times New Roman" w:hAnsi="Calibri" w:cs="Calibri"/>
          <w:sz w:val="18"/>
          <w:szCs w:val="18"/>
          <w:lang w:eastAsia="pt-PT"/>
        </w:rPr>
      </w:pPr>
    </w:p>
    <w:p w14:paraId="44FFD0E4" w14:textId="77777777" w:rsidR="002D7364" w:rsidRPr="009A539C" w:rsidRDefault="002D7364" w:rsidP="00B90788">
      <w:pPr>
        <w:ind w:right="-1"/>
        <w:jc w:val="both"/>
        <w:rPr>
          <w:rFonts w:ascii="Calibri" w:eastAsia="Times New Roman" w:hAnsi="Calibri" w:cs="Calibri"/>
          <w:sz w:val="18"/>
          <w:szCs w:val="18"/>
          <w:lang w:eastAsia="pt-PT"/>
        </w:rPr>
      </w:pPr>
      <w:r w:rsidRPr="009A539C">
        <w:rPr>
          <w:rFonts w:ascii="Calibri" w:eastAsia="Times New Roman" w:hAnsi="Calibri" w:cs="Calibri"/>
          <w:sz w:val="18"/>
          <w:szCs w:val="18"/>
          <w:lang w:eastAsia="pt-PT"/>
        </w:rPr>
        <w:br w:type="page"/>
      </w:r>
    </w:p>
    <w:p w14:paraId="24FD957E" w14:textId="77777777" w:rsidR="003C3015" w:rsidRPr="009A539C" w:rsidRDefault="003C3015" w:rsidP="00B90788">
      <w:pPr>
        <w:ind w:right="-1"/>
        <w:rPr>
          <w:b/>
          <w:sz w:val="24"/>
          <w:szCs w:val="24"/>
          <w:u w:val="single"/>
        </w:rPr>
      </w:pPr>
      <w:r w:rsidRPr="009A539C">
        <w:rPr>
          <w:b/>
          <w:sz w:val="24"/>
          <w:szCs w:val="24"/>
          <w:u w:val="single"/>
        </w:rPr>
        <w:t>PRINCIPAL LEGISLAÇÃO REFERENCIADA</w:t>
      </w:r>
    </w:p>
    <w:p w14:paraId="2F5CD45F" w14:textId="77777777" w:rsidR="003C3015" w:rsidRPr="009A539C" w:rsidRDefault="003C3015" w:rsidP="00B90788">
      <w:pPr>
        <w:spacing w:after="40"/>
        <w:ind w:right="-1"/>
        <w:jc w:val="both"/>
        <w:rPr>
          <w:b/>
        </w:rPr>
      </w:pPr>
    </w:p>
    <w:p w14:paraId="174C12F0" w14:textId="78A6C4AA" w:rsidR="003C3015" w:rsidRPr="009A539C" w:rsidRDefault="003C3015" w:rsidP="00B90788">
      <w:pPr>
        <w:tabs>
          <w:tab w:val="left" w:pos="0"/>
          <w:tab w:val="left" w:pos="4328"/>
        </w:tabs>
        <w:spacing w:after="120" w:line="360" w:lineRule="auto"/>
        <w:ind w:right="-1"/>
        <w:jc w:val="both"/>
      </w:pPr>
      <w:r w:rsidRPr="009A539C">
        <w:rPr>
          <w:b/>
        </w:rPr>
        <w:t>Atualização do valor da retribuição mínima mensal garantida</w:t>
      </w:r>
      <w:r w:rsidR="00DF2857" w:rsidRPr="009A539C">
        <w:rPr>
          <w:b/>
        </w:rPr>
        <w:t xml:space="preserve"> </w:t>
      </w:r>
      <w:r w:rsidRPr="009A539C">
        <w:rPr>
          <w:b/>
        </w:rPr>
        <w:t>para 201</w:t>
      </w:r>
      <w:r w:rsidR="002C49F5" w:rsidRPr="009A539C">
        <w:rPr>
          <w:b/>
        </w:rPr>
        <w:t>9</w:t>
      </w:r>
      <w:r w:rsidRPr="009A539C">
        <w:rPr>
          <w:b/>
        </w:rPr>
        <w:t xml:space="preserve"> </w:t>
      </w:r>
      <w:r w:rsidRPr="009A539C">
        <w:t xml:space="preserve">- </w:t>
      </w:r>
      <w:r w:rsidR="002C49F5" w:rsidRPr="009A539C">
        <w:t xml:space="preserve">Decreto-Lei nº 117/2018, de 27 dezembro, com produção de efeitos a 1-1-2019 (€ 600,00) </w:t>
      </w:r>
    </w:p>
    <w:p w14:paraId="0C2F367C" w14:textId="47FEA9C0" w:rsidR="002C49F5" w:rsidRPr="009A539C" w:rsidRDefault="002C49F5" w:rsidP="002C49F5">
      <w:pPr>
        <w:tabs>
          <w:tab w:val="left" w:pos="0"/>
          <w:tab w:val="left" w:pos="4328"/>
        </w:tabs>
        <w:spacing w:after="120" w:line="360" w:lineRule="auto"/>
        <w:ind w:right="-1"/>
        <w:jc w:val="both"/>
      </w:pPr>
      <w:r w:rsidRPr="009A539C">
        <w:rPr>
          <w:b/>
        </w:rPr>
        <w:t xml:space="preserve">Atualização do valor da retribuição mínima mensal garantida para 2020 </w:t>
      </w:r>
      <w:r w:rsidRPr="009A539C">
        <w:t>- Decreto-Lei nº 167/2019, de 21 novembro, com produção de efeitos a 1-1-2020;  (€ 635,00)</w:t>
      </w:r>
      <w:r w:rsidRPr="009A539C">
        <w:tab/>
        <w:t xml:space="preserve"> </w:t>
      </w:r>
    </w:p>
    <w:p w14:paraId="5C7F2D2B" w14:textId="77777777" w:rsidR="003C3015" w:rsidRPr="009A539C" w:rsidRDefault="003C3015" w:rsidP="00B90788">
      <w:pPr>
        <w:spacing w:after="120" w:line="360" w:lineRule="auto"/>
        <w:ind w:right="-1"/>
        <w:jc w:val="both"/>
      </w:pPr>
      <w:r w:rsidRPr="009A539C">
        <w:rPr>
          <w:b/>
        </w:rPr>
        <w:t>Código do Trabalho de 2003</w:t>
      </w:r>
      <w:r w:rsidRPr="009A539C">
        <w:t>, aprovado pela Lei n.º 99/2003, de 27/08 (com Retificação n.º 15/2003, de 28/10), alterado pelas Leis n.ºs 9/2006, de 20/03, 59/2007, de 04/09, 12-A/2008, de 27/02, 59/2008, de 11/09, e revogado pela Lei n.º 7/2009, de 12/02.</w:t>
      </w:r>
    </w:p>
    <w:p w14:paraId="15F4BC5D" w14:textId="77777777" w:rsidR="003C3015" w:rsidRPr="009A539C" w:rsidRDefault="003C3015" w:rsidP="00B90788">
      <w:pPr>
        <w:spacing w:after="120" w:line="360" w:lineRule="auto"/>
        <w:ind w:right="-1"/>
        <w:jc w:val="both"/>
      </w:pPr>
      <w:r w:rsidRPr="009A539C">
        <w:rPr>
          <w:b/>
        </w:rPr>
        <w:t>Código do Trabalho de 2009</w:t>
      </w:r>
      <w:r w:rsidRPr="009A539C">
        <w:t>, aprovado pela Lei n.º 7/2009, de 12/02 (com Retificação n.º 21/2009, de 18/03), alterado pelas Leis n.ºs 105/2009, de 14/09, 53/2011, de 14/10, 23/2012, de 25/06 (com Retificação n.º 38/2012, de 23/07), 47/2012, de 29/08, 69/2013, de 30/08, 27/2014, de 08/05, 55/2014, de 25/08, 28/2015, de 14/04, 120/2015, de 01/09, 8/2016, de 01/04, 28/2016, de 23/08, 73/2017, de 16/08 (com Retificação n.º 28/2017, de 02/10) e 14/2018, de 19/03</w:t>
      </w:r>
      <w:r w:rsidR="002D7364" w:rsidRPr="009A539C">
        <w:t>; 90/2019, de 04/09 e 93/2019, de 04/2019</w:t>
      </w:r>
      <w:r w:rsidRPr="009A539C">
        <w:t>.</w:t>
      </w:r>
    </w:p>
    <w:p w14:paraId="68EB0B48" w14:textId="77777777" w:rsidR="003C3015" w:rsidRPr="009A539C" w:rsidRDefault="003C3015" w:rsidP="00B90788">
      <w:pPr>
        <w:spacing w:after="120" w:line="360" w:lineRule="auto"/>
        <w:ind w:right="-1"/>
        <w:jc w:val="both"/>
      </w:pPr>
      <w:r w:rsidRPr="009A539C">
        <w:rPr>
          <w:b/>
        </w:rPr>
        <w:t>Código dos Regimes Contributivos do Sistema Previdencial de Segurança Social</w:t>
      </w:r>
      <w:r w:rsidRPr="009A539C">
        <w:t xml:space="preserve">, aprovado pela Lei n.º 110/2009, de 16/09, alterada pela Lei n.º 119/2009, de 30/12, pelo Decreto-Lei n.º 140-B/2010, de 30/12, pelas Leis n.ºs 55-A/2010, de 31/12, 64-B/2011, de 30/12, 20/2012, de 14/05, 66-B/2012, de 31/12, 83-C/2013, de 31/12, 82-B/2014, de 31/12, 42/2016, de 28/12, 93/2017, de 01/08, </w:t>
      </w:r>
      <w:r w:rsidR="00112E9C" w:rsidRPr="009A539C">
        <w:t xml:space="preserve"> </w:t>
      </w:r>
      <w:r w:rsidRPr="009A539C">
        <w:t xml:space="preserve"> pelo Decreto-Lei nº 2/2018 de 09/01</w:t>
      </w:r>
      <w:r w:rsidR="00112E9C" w:rsidRPr="009A539C">
        <w:t xml:space="preserve"> e , por fim, pela n.º Lei 93/2019, de 04/2019</w:t>
      </w:r>
      <w:r w:rsidRPr="009A539C">
        <w:t>.</w:t>
      </w:r>
    </w:p>
    <w:p w14:paraId="15CA9297" w14:textId="42D94DB5" w:rsidR="003C3015" w:rsidRPr="009A539C" w:rsidRDefault="003C3015" w:rsidP="00B90788">
      <w:pPr>
        <w:spacing w:after="120" w:line="360" w:lineRule="auto"/>
        <w:ind w:right="-1"/>
        <w:jc w:val="both"/>
      </w:pPr>
      <w:r w:rsidRPr="009A539C">
        <w:rPr>
          <w:b/>
        </w:rPr>
        <w:t>Constituição da República Portuguesa</w:t>
      </w:r>
      <w:r w:rsidRPr="009A539C">
        <w:t xml:space="preserve">, aprovada por Decreto de 10/04 de 1976, alterada pelas Leis Constitucionais n.ºs 1/82, de 30/09, 1/89, de 08/07, 1/92, de 25/11, 1/97, de 20/09, 1/2001, de 12/12, 1/2004, de 24/07 e 1/2005, de </w:t>
      </w:r>
      <w:r w:rsidR="00D318BD" w:rsidRPr="009A539C">
        <w:t>12/08</w:t>
      </w:r>
      <w:r w:rsidRPr="009A539C">
        <w:t>.</w:t>
      </w:r>
    </w:p>
    <w:p w14:paraId="6E80690A" w14:textId="77777777" w:rsidR="003C3015" w:rsidRPr="009A539C" w:rsidRDefault="003C3015" w:rsidP="00B90788">
      <w:pPr>
        <w:spacing w:after="120" w:line="360" w:lineRule="auto"/>
        <w:ind w:right="-1"/>
        <w:jc w:val="both"/>
      </w:pPr>
      <w:r w:rsidRPr="009A539C">
        <w:rPr>
          <w:b/>
        </w:rPr>
        <w:t>Lei das Relações Coletivas de Trabalho</w:t>
      </w:r>
      <w:r w:rsidRPr="009A539C">
        <w:t>, aprovada pelo Decreto-Lei n.º 519-C1/79, de 29/12, alterado pelos Decretos-Lei n.ºs 87/89, de 23/03, 209/92, de 2/10 e pela Lei n.º 118/99, de 11/08 e revogado pela Lei n.º 99/2003, de 27/08.</w:t>
      </w:r>
    </w:p>
    <w:p w14:paraId="4F4A8F8E" w14:textId="77777777" w:rsidR="003C3015" w:rsidRPr="009A539C" w:rsidRDefault="003C3015" w:rsidP="00B90788">
      <w:pPr>
        <w:spacing w:after="120" w:line="360" w:lineRule="auto"/>
        <w:ind w:right="-1"/>
        <w:jc w:val="both"/>
      </w:pPr>
      <w:r w:rsidRPr="009A539C">
        <w:rPr>
          <w:b/>
        </w:rPr>
        <w:t>Lei de Bases da Segurança Social</w:t>
      </w:r>
      <w:r w:rsidRPr="009A539C">
        <w:t>, aprovada pela Lei n.º 4/2007, de 16/01, alterada pela Lei n.º 83-A/2013, de 30/12.</w:t>
      </w:r>
    </w:p>
    <w:p w14:paraId="01B1D888" w14:textId="4C99CA9D" w:rsidR="00CB7E6D" w:rsidRPr="009A539C" w:rsidRDefault="003C3015" w:rsidP="00CB7E6D">
      <w:pPr>
        <w:spacing w:after="120" w:line="360" w:lineRule="auto"/>
        <w:ind w:right="-1"/>
        <w:jc w:val="both"/>
      </w:pPr>
      <w:r w:rsidRPr="009A539C">
        <w:rPr>
          <w:b/>
        </w:rPr>
        <w:t>Lei Geral do Trabalho em Funções Públicas</w:t>
      </w:r>
      <w:r w:rsidRPr="009A539C">
        <w:t>, aprovada pela Lei n.º 35/2014, de 20/06 (com Retificação n.º 37-A/2014, de 19/08), alterada pelas Leis n.ºs 82-B/2014, de 31/12, 84/2015, de 07/08, 18/2016, de 20/06, 42/2016, de 28/12, 25/2017, de 30/05, 70/2017, de 14/08, 73/2017, de 16/08, 49/2018, de 14/08, 71/2018, de 31/12 e Decreto-Lei n.º 6/2019, de 14/01</w:t>
      </w:r>
      <w:r w:rsidR="00CB7E6D" w:rsidRPr="009A539C">
        <w:t xml:space="preserve"> e, ainda alterada pelas  n.º 79/2019, de 02/09, n.º 82/2019, de 02/09 e n.º 2/2020, de 31/03.</w:t>
      </w:r>
    </w:p>
    <w:p w14:paraId="06B15DD3" w14:textId="77777777" w:rsidR="003C3015" w:rsidRDefault="003C3015" w:rsidP="00B90788">
      <w:pPr>
        <w:spacing w:after="120" w:line="360" w:lineRule="auto"/>
        <w:ind w:right="-1"/>
        <w:jc w:val="both"/>
      </w:pPr>
      <w:r w:rsidRPr="009A539C">
        <w:rPr>
          <w:b/>
        </w:rPr>
        <w:t>Lei Orgânica do Centro de Relações Laborais</w:t>
      </w:r>
      <w:r w:rsidRPr="009A539C">
        <w:t xml:space="preserve"> - Decreto-Lei n.º 189/2012, de 22/08.</w:t>
      </w:r>
    </w:p>
    <w:p w14:paraId="7670E7B3" w14:textId="0FF69564" w:rsidR="00876707" w:rsidRPr="009A539C" w:rsidRDefault="00876707" w:rsidP="00876707">
      <w:pPr>
        <w:tabs>
          <w:tab w:val="left" w:pos="0"/>
          <w:tab w:val="left" w:pos="4328"/>
        </w:tabs>
        <w:spacing w:after="120" w:line="360" w:lineRule="auto"/>
        <w:ind w:right="-1"/>
        <w:jc w:val="both"/>
      </w:pPr>
      <w:r w:rsidRPr="009A539C">
        <w:rPr>
          <w:b/>
        </w:rPr>
        <w:t>Lei n.º 58/2019, de 8 de agosto</w:t>
      </w:r>
      <w:r w:rsidRPr="009A539C">
        <w:rPr>
          <w:rFonts w:ascii="Calibri" w:hAnsi="Calibri" w:cs="Calibri"/>
        </w:rPr>
        <w:t>,  assegura a execução, na ordem jurídica nacional, do Regulamento (UE) 2016/679 do Parlamento e do Conselho, de 27 de abril de 2016.</w:t>
      </w:r>
    </w:p>
    <w:p w14:paraId="233A1E8F" w14:textId="77777777" w:rsidR="003C3015" w:rsidRPr="009A539C" w:rsidRDefault="003C3015" w:rsidP="00B90788">
      <w:pPr>
        <w:spacing w:after="120" w:line="360" w:lineRule="auto"/>
        <w:ind w:right="-1"/>
        <w:jc w:val="both"/>
      </w:pPr>
      <w:r w:rsidRPr="009A539C">
        <w:rPr>
          <w:b/>
        </w:rPr>
        <w:t>Orçamento do Estado para 2017</w:t>
      </w:r>
      <w:r w:rsidRPr="009A539C">
        <w:t xml:space="preserve">, aprovado pela Lei n.º 42/2016, de 28/12. </w:t>
      </w:r>
    </w:p>
    <w:p w14:paraId="07B328D9" w14:textId="77777777" w:rsidR="003C3015" w:rsidRPr="009A539C" w:rsidRDefault="003C3015" w:rsidP="00B90788">
      <w:pPr>
        <w:spacing w:after="120" w:line="360" w:lineRule="auto"/>
        <w:ind w:right="-1"/>
        <w:jc w:val="both"/>
      </w:pPr>
      <w:r w:rsidRPr="009A539C">
        <w:rPr>
          <w:b/>
        </w:rPr>
        <w:t>Orçamento do Estado para 2018</w:t>
      </w:r>
      <w:r w:rsidRPr="009A539C">
        <w:t>, aprovado pela Lei n.º 114/2017, de 29/12 (com Retificação n.º 6/2018, de 26/02).</w:t>
      </w:r>
    </w:p>
    <w:p w14:paraId="2AEBCB8C" w14:textId="2CA6F991" w:rsidR="00746DB3" w:rsidRDefault="00746DB3" w:rsidP="00746DB3">
      <w:pPr>
        <w:spacing w:after="120" w:line="360" w:lineRule="auto"/>
        <w:ind w:right="-1"/>
        <w:jc w:val="both"/>
      </w:pPr>
      <w:r w:rsidRPr="009A539C">
        <w:rPr>
          <w:b/>
        </w:rPr>
        <w:t>Orçamento do Estado para 2019</w:t>
      </w:r>
      <w:r w:rsidRPr="009A539C">
        <w:t>, aprovado pela Lei n.º 71/2018, de 31 de dezembro</w:t>
      </w:r>
    </w:p>
    <w:p w14:paraId="01CDD647" w14:textId="6CC0787C" w:rsidR="00876707" w:rsidRPr="009A539C" w:rsidRDefault="00876707" w:rsidP="00746DB3">
      <w:pPr>
        <w:spacing w:after="120" w:line="360" w:lineRule="auto"/>
        <w:ind w:right="-1"/>
        <w:jc w:val="both"/>
      </w:pPr>
      <w:r w:rsidRPr="009A539C">
        <w:rPr>
          <w:b/>
        </w:rPr>
        <w:t xml:space="preserve">Orçamento do </w:t>
      </w:r>
      <w:r w:rsidRPr="00876707">
        <w:rPr>
          <w:b/>
        </w:rPr>
        <w:t>Estado para 2020</w:t>
      </w:r>
      <w:r w:rsidRPr="00876707">
        <w:t>, aprovado pela Lei n.º2/2020, de 31 de março</w:t>
      </w:r>
    </w:p>
    <w:p w14:paraId="7F32B896" w14:textId="77777777" w:rsidR="003C3015" w:rsidRPr="009A539C" w:rsidRDefault="003C3015" w:rsidP="00B90788">
      <w:pPr>
        <w:tabs>
          <w:tab w:val="left" w:pos="0"/>
          <w:tab w:val="left" w:pos="4328"/>
        </w:tabs>
        <w:spacing w:after="120" w:line="360" w:lineRule="auto"/>
        <w:ind w:right="-1"/>
        <w:jc w:val="both"/>
      </w:pPr>
      <w:r w:rsidRPr="009A539C">
        <w:rPr>
          <w:b/>
        </w:rPr>
        <w:t>Recomendação ao Governo a promoção da igualdade salarial entre mulheres e homens</w:t>
      </w:r>
      <w:r w:rsidRPr="009A539C">
        <w:t xml:space="preserve"> - Resolução da Assembleia da República n.º 72/2018, de 20/03.</w:t>
      </w:r>
    </w:p>
    <w:p w14:paraId="57E055B1" w14:textId="77777777" w:rsidR="003C3015" w:rsidRPr="009A539C" w:rsidRDefault="003C3015" w:rsidP="00B90788">
      <w:pPr>
        <w:tabs>
          <w:tab w:val="left" w:pos="0"/>
          <w:tab w:val="left" w:pos="4328"/>
        </w:tabs>
        <w:spacing w:after="120" w:line="360" w:lineRule="auto"/>
        <w:ind w:right="-1"/>
        <w:jc w:val="both"/>
      </w:pPr>
      <w:r w:rsidRPr="009A539C">
        <w:rPr>
          <w:b/>
        </w:rPr>
        <w:t>Regime da representação equilibrada entre mulheres e homens nos órgãos de administração e de f</w:t>
      </w:r>
      <w:r w:rsidR="0036196F" w:rsidRPr="009A539C">
        <w:rPr>
          <w:b/>
        </w:rPr>
        <w:t>iscalização das entidades do se</w:t>
      </w:r>
      <w:r w:rsidRPr="009A539C">
        <w:rPr>
          <w:b/>
        </w:rPr>
        <w:t xml:space="preserve">tor público empresarial e das empresas cotadas em bolsa </w:t>
      </w:r>
      <w:r w:rsidRPr="009A539C">
        <w:t>- Lei n.º 62/2017, de 01/08.</w:t>
      </w:r>
    </w:p>
    <w:p w14:paraId="5444433D" w14:textId="77777777" w:rsidR="003C3015" w:rsidRPr="009A539C" w:rsidRDefault="003C3015" w:rsidP="00B90788">
      <w:pPr>
        <w:tabs>
          <w:tab w:val="left" w:pos="0"/>
          <w:tab w:val="left" w:pos="4328"/>
        </w:tabs>
        <w:spacing w:after="120" w:line="360" w:lineRule="auto"/>
        <w:ind w:right="-1"/>
        <w:jc w:val="both"/>
      </w:pPr>
      <w:r w:rsidRPr="009A539C">
        <w:rPr>
          <w:b/>
        </w:rPr>
        <w:t xml:space="preserve">Regime de Reparação de Acidentes de Trabalho e de Doenças Profissionais </w:t>
      </w:r>
      <w:r w:rsidRPr="009A539C">
        <w:t>- Lei 98/2009, de 04/09.</w:t>
      </w:r>
    </w:p>
    <w:p w14:paraId="59D45021" w14:textId="77777777" w:rsidR="003C3015" w:rsidRPr="009A539C" w:rsidRDefault="003C3015" w:rsidP="00B90788">
      <w:pPr>
        <w:tabs>
          <w:tab w:val="left" w:pos="0"/>
          <w:tab w:val="left" w:pos="4328"/>
        </w:tabs>
        <w:spacing w:after="120" w:line="360" w:lineRule="auto"/>
        <w:ind w:right="-1"/>
        <w:jc w:val="both"/>
      </w:pPr>
      <w:r w:rsidRPr="009A539C">
        <w:rPr>
          <w:b/>
        </w:rPr>
        <w:t>Regime de vinculação, de carreiras e de remunerações dos trabalhadores que exercem funções públicas</w:t>
      </w:r>
      <w:r w:rsidRPr="009A539C">
        <w:t>, aprovado pela Lei n.º 12-A/2008, de 27/02, alterada pelas Leis n.ºs 64-A/2008, de 31/12, 3-B/2010, de 28/04, 34/2010, de 02/09, 55-A/2010, de 31/12, 64-B/2011, de 30/12, 66/2012, de 31/12, e 66-B/2012, de 31/12, pelo Decreto-Lei n.º 47/2013, de 05/04, e revogado pela Lei n.º 35/2014, de 20/06 (com exceção das normas transitórias abrangidas pelos artigos 88.º a 115.º). </w:t>
      </w:r>
    </w:p>
    <w:p w14:paraId="4112DB14" w14:textId="77777777" w:rsidR="003C3015" w:rsidRPr="009A539C" w:rsidRDefault="003C3015" w:rsidP="00B90788">
      <w:pPr>
        <w:tabs>
          <w:tab w:val="left" w:pos="0"/>
          <w:tab w:val="left" w:pos="4328"/>
        </w:tabs>
        <w:spacing w:after="120" w:line="360" w:lineRule="auto"/>
        <w:ind w:right="-1"/>
        <w:jc w:val="both"/>
      </w:pPr>
      <w:r w:rsidRPr="009A539C">
        <w:rPr>
          <w:b/>
        </w:rPr>
        <w:t xml:space="preserve">Regime Jurídico da Promoção da Segurança e Saúde no Trabalho </w:t>
      </w:r>
      <w:r w:rsidRPr="009A539C">
        <w:t>- Lei n.º 102/2009, de 10/09, alterada pelas Leis n.ºs 42/2012, de 28/08, 3/2014, de 28/01, pelo Decreto-Lei n.º 88/2015, de 28/05, e pelas Leis n.ºs 146/2015, de 09/09 e 28/2016, de 23/08.</w:t>
      </w:r>
    </w:p>
    <w:p w14:paraId="0B6B66FC" w14:textId="2B636DA6" w:rsidR="003C3015" w:rsidRPr="009A539C" w:rsidRDefault="003C3015" w:rsidP="00B90788">
      <w:pPr>
        <w:spacing w:after="120" w:line="360" w:lineRule="auto"/>
        <w:ind w:right="-1"/>
        <w:jc w:val="both"/>
      </w:pPr>
      <w:r w:rsidRPr="009A539C">
        <w:rPr>
          <w:b/>
        </w:rPr>
        <w:t>Regime jurídico de proteção social na parentalidade</w:t>
      </w:r>
      <w:r w:rsidRPr="009A539C">
        <w:t>, aprovado pelo Decreto-Lei n.º 91/2009, de 09/04, alterado pelo Decretos-Lei n.ºs 70/2010, de 16/06, e 133/2012, de 27/06, e pela</w:t>
      </w:r>
      <w:r w:rsidR="00585AB9" w:rsidRPr="009A539C">
        <w:t>s</w:t>
      </w:r>
      <w:r w:rsidRPr="009A539C">
        <w:t xml:space="preserve"> Lei</w:t>
      </w:r>
      <w:r w:rsidR="00585AB9" w:rsidRPr="009A539C">
        <w:t>s</w:t>
      </w:r>
      <w:r w:rsidRPr="009A539C">
        <w:t xml:space="preserve"> n.º 120/2015, de 01/09.</w:t>
      </w:r>
      <w:r w:rsidR="00585AB9" w:rsidRPr="009A539C">
        <w:t xml:space="preserve">  e</w:t>
      </w:r>
      <w:r w:rsidR="00951ECF" w:rsidRPr="009A539C">
        <w:t xml:space="preserve"> n.º</w:t>
      </w:r>
      <w:r w:rsidR="00585AB9" w:rsidRPr="009A539C">
        <w:t xml:space="preserve"> 90/2019, de 4</w:t>
      </w:r>
      <w:r w:rsidR="00876707">
        <w:t>/2019</w:t>
      </w:r>
      <w:r w:rsidR="00585AB9" w:rsidRPr="009A539C">
        <w:t xml:space="preserve"> </w:t>
      </w:r>
    </w:p>
    <w:p w14:paraId="325A876C" w14:textId="77777777" w:rsidR="003C3015" w:rsidRPr="009A539C" w:rsidRDefault="0036196F" w:rsidP="00B90788">
      <w:pPr>
        <w:spacing w:after="120" w:line="360" w:lineRule="auto"/>
        <w:ind w:right="-1"/>
        <w:jc w:val="both"/>
      </w:pPr>
      <w:r w:rsidRPr="009A539C">
        <w:rPr>
          <w:b/>
        </w:rPr>
        <w:t>Regime Jurídico do Se</w:t>
      </w:r>
      <w:r w:rsidR="003C3015" w:rsidRPr="009A539C">
        <w:rPr>
          <w:b/>
        </w:rPr>
        <w:t>tor Público Empresarial</w:t>
      </w:r>
      <w:r w:rsidR="003C3015" w:rsidRPr="009A539C">
        <w:t>, aprovado pelo Decreto-Lei n.º 133/2013, de 13/10, alterado pelas Leis n.ºs 75-A/2014, de 30/09 e 42/2016, de 28/12.</w:t>
      </w:r>
    </w:p>
    <w:p w14:paraId="560A04B6" w14:textId="77777777" w:rsidR="003C3015" w:rsidRPr="009A539C" w:rsidRDefault="003C3015" w:rsidP="00B90788">
      <w:pPr>
        <w:tabs>
          <w:tab w:val="left" w:pos="0"/>
          <w:tab w:val="left" w:pos="4328"/>
        </w:tabs>
        <w:spacing w:after="120" w:line="360" w:lineRule="auto"/>
        <w:ind w:right="-1"/>
        <w:jc w:val="both"/>
      </w:pPr>
      <w:r w:rsidRPr="009A539C">
        <w:rPr>
          <w:b/>
        </w:rPr>
        <w:t xml:space="preserve">Regulamentação do conteúdo do relatório anual referente à informação sobre a actividade social da empresa </w:t>
      </w:r>
      <w:r w:rsidRPr="009A539C">
        <w:t xml:space="preserve">- Portaria </w:t>
      </w:r>
      <w:hyperlink r:id="rId111" w:tgtFrame="_blank" w:tooltip="Portaria" w:history="1">
        <w:r w:rsidRPr="009A539C">
          <w:t xml:space="preserve">n.º 55/2010, de 21/01, alterada pela </w:t>
        </w:r>
      </w:hyperlink>
      <w:hyperlink r:id="rId112" w:tgtFrame="_blank" w:tooltip="Portaria" w:history="1">
        <w:r w:rsidRPr="009A539C">
          <w:t>Portaria n.º 108-A/2011, de 14/03</w:t>
        </w:r>
      </w:hyperlink>
      <w:r w:rsidRPr="009A539C">
        <w:t>.</w:t>
      </w:r>
    </w:p>
    <w:p w14:paraId="5963A916" w14:textId="77777777" w:rsidR="003C3015" w:rsidRDefault="003C3015" w:rsidP="00B90788">
      <w:pPr>
        <w:tabs>
          <w:tab w:val="left" w:pos="0"/>
          <w:tab w:val="left" w:pos="4328"/>
        </w:tabs>
        <w:spacing w:after="120" w:line="360" w:lineRule="auto"/>
        <w:ind w:right="-1"/>
        <w:jc w:val="both"/>
      </w:pPr>
      <w:r w:rsidRPr="009A539C">
        <w:rPr>
          <w:b/>
        </w:rPr>
        <w:t>Regulamento Geral sobre a Proteção de Dados</w:t>
      </w:r>
      <w:r w:rsidRPr="009A539C">
        <w:t xml:space="preserve"> - REGULAMENTO (UE) 2016/679 DO PARLAMENTO EUROPEU E DO CONSELHO</w:t>
      </w:r>
      <w:r w:rsidR="0036196F" w:rsidRPr="009A539C">
        <w:t>,</w:t>
      </w:r>
      <w:r w:rsidRPr="009A539C">
        <w:t xml:space="preserve"> de 27 de abril de 2016.  </w:t>
      </w:r>
    </w:p>
    <w:p w14:paraId="5BA1F2FC" w14:textId="3979D05C" w:rsidR="00876707" w:rsidRPr="009A539C" w:rsidRDefault="00876707" w:rsidP="00876707">
      <w:pPr>
        <w:spacing w:after="120" w:line="360" w:lineRule="auto"/>
        <w:ind w:right="-1"/>
        <w:jc w:val="both"/>
      </w:pPr>
      <w:r w:rsidRPr="00876707">
        <w:rPr>
          <w:b/>
        </w:rPr>
        <w:t>RCM n.º 82/2017, de 09/06</w:t>
      </w:r>
      <w:r>
        <w:t xml:space="preserve">, </w:t>
      </w:r>
      <w:r w:rsidRPr="00876707">
        <w:rPr>
          <w:color w:val="333333"/>
          <w:shd w:val="clear" w:color="auto" w:fill="FFFFFF"/>
        </w:rPr>
        <w:t>critérios</w:t>
      </w:r>
      <w:r>
        <w:rPr>
          <w:color w:val="333333"/>
          <w:shd w:val="clear" w:color="auto" w:fill="FFFFFF"/>
        </w:rPr>
        <w:t xml:space="preserve"> e </w:t>
      </w:r>
      <w:r w:rsidRPr="00876707">
        <w:rPr>
          <w:color w:val="333333"/>
          <w:shd w:val="clear" w:color="auto" w:fill="FFFFFF"/>
        </w:rPr>
        <w:t xml:space="preserve"> procedimentos a observar </w:t>
      </w:r>
      <w:r>
        <w:rPr>
          <w:color w:val="333333"/>
          <w:shd w:val="clear" w:color="auto" w:fill="FFFFFF"/>
        </w:rPr>
        <w:t>n</w:t>
      </w:r>
      <w:r w:rsidRPr="00876707">
        <w:rPr>
          <w:color w:val="333333"/>
          <w:shd w:val="clear" w:color="auto" w:fill="FFFFFF"/>
        </w:rPr>
        <w:t>a emissão de portarias de extensão de convenção coletiva</w:t>
      </w:r>
      <w:r>
        <w:rPr>
          <w:color w:val="333333"/>
          <w:shd w:val="clear" w:color="auto" w:fill="FFFFFF"/>
        </w:rPr>
        <w:t>.</w:t>
      </w:r>
    </w:p>
    <w:p w14:paraId="71B5E090" w14:textId="77777777" w:rsidR="003C3015" w:rsidRPr="009A539C" w:rsidRDefault="003C3015" w:rsidP="00B90788">
      <w:pPr>
        <w:ind w:left="709" w:right="-1" w:hanging="425"/>
        <w:jc w:val="both"/>
        <w:rPr>
          <w:b/>
          <w:sz w:val="24"/>
          <w:szCs w:val="23"/>
          <w:u w:val="single"/>
        </w:rPr>
      </w:pPr>
      <w:r w:rsidRPr="009A539C">
        <w:rPr>
          <w:b/>
          <w:sz w:val="24"/>
          <w:szCs w:val="23"/>
          <w:u w:val="single"/>
        </w:rPr>
        <w:t>WEBSITES CONSULTADOS</w:t>
      </w:r>
    </w:p>
    <w:p w14:paraId="6974EAC6" w14:textId="77777777" w:rsidR="003C3015" w:rsidRPr="009A539C" w:rsidRDefault="003C3015" w:rsidP="00B90788">
      <w:pPr>
        <w:ind w:right="-1"/>
        <w:jc w:val="both"/>
        <w:rPr>
          <w:sz w:val="23"/>
          <w:szCs w:val="23"/>
        </w:rPr>
      </w:pPr>
    </w:p>
    <w:p w14:paraId="455F8E83" w14:textId="77777777" w:rsidR="003C3015" w:rsidRPr="009A539C" w:rsidRDefault="003C3015" w:rsidP="00A95C56">
      <w:pPr>
        <w:numPr>
          <w:ilvl w:val="0"/>
          <w:numId w:val="23"/>
        </w:numPr>
        <w:spacing w:line="240" w:lineRule="auto"/>
        <w:ind w:right="-1"/>
        <w:rPr>
          <w:szCs w:val="18"/>
        </w:rPr>
      </w:pPr>
      <w:r w:rsidRPr="009A539C">
        <w:rPr>
          <w:szCs w:val="18"/>
        </w:rPr>
        <w:t xml:space="preserve">Boletim do Trabalho e Emprego - Digital (GEP): </w:t>
      </w:r>
    </w:p>
    <w:p w14:paraId="7DEB1698" w14:textId="77777777" w:rsidR="003C3015" w:rsidRPr="009A539C" w:rsidRDefault="00E742C1" w:rsidP="00B90788">
      <w:pPr>
        <w:spacing w:line="240" w:lineRule="auto"/>
        <w:ind w:left="1503" w:right="-1"/>
        <w:rPr>
          <w:szCs w:val="18"/>
          <w:u w:val="single"/>
        </w:rPr>
      </w:pPr>
      <w:hyperlink r:id="rId113" w:history="1">
        <w:r w:rsidR="003C3015" w:rsidRPr="009A539C">
          <w:rPr>
            <w:szCs w:val="18"/>
            <w:u w:val="single"/>
          </w:rPr>
          <w:t>http://bte.gep.msess.gov.pt/</w:t>
        </w:r>
      </w:hyperlink>
    </w:p>
    <w:p w14:paraId="3ECED1B6" w14:textId="77777777" w:rsidR="003C3015" w:rsidRPr="009A539C" w:rsidRDefault="003C3015" w:rsidP="00A95C56">
      <w:pPr>
        <w:numPr>
          <w:ilvl w:val="0"/>
          <w:numId w:val="23"/>
        </w:numPr>
        <w:spacing w:line="240" w:lineRule="auto"/>
        <w:ind w:right="-1"/>
        <w:rPr>
          <w:szCs w:val="18"/>
        </w:rPr>
      </w:pPr>
      <w:r w:rsidRPr="009A539C">
        <w:rPr>
          <w:szCs w:val="18"/>
        </w:rPr>
        <w:t xml:space="preserve">Centro de Relações Laborais (CRL): </w:t>
      </w:r>
    </w:p>
    <w:p w14:paraId="1F4FFCC6" w14:textId="77777777" w:rsidR="003C3015" w:rsidRPr="009A539C" w:rsidRDefault="00E742C1" w:rsidP="00B90788">
      <w:pPr>
        <w:spacing w:line="240" w:lineRule="auto"/>
        <w:ind w:left="1503" w:right="-1"/>
        <w:rPr>
          <w:szCs w:val="18"/>
          <w:u w:val="single"/>
        </w:rPr>
      </w:pPr>
      <w:hyperlink r:id="rId114" w:history="1">
        <w:r w:rsidR="003C3015" w:rsidRPr="009A539C">
          <w:rPr>
            <w:szCs w:val="18"/>
            <w:u w:val="single"/>
          </w:rPr>
          <w:t>https://www.crlaborais.pt/</w:t>
        </w:r>
      </w:hyperlink>
    </w:p>
    <w:p w14:paraId="5AA1009C" w14:textId="77777777" w:rsidR="003C3015" w:rsidRPr="009A539C" w:rsidRDefault="003C3015" w:rsidP="00A95C56">
      <w:pPr>
        <w:numPr>
          <w:ilvl w:val="0"/>
          <w:numId w:val="23"/>
        </w:numPr>
        <w:spacing w:line="240" w:lineRule="auto"/>
        <w:ind w:right="-1"/>
        <w:rPr>
          <w:szCs w:val="18"/>
        </w:rPr>
      </w:pPr>
      <w:r w:rsidRPr="009A539C">
        <w:rPr>
          <w:szCs w:val="18"/>
        </w:rPr>
        <w:t xml:space="preserve">Comissão para a Igualdade no Trabalho e no Emprego (CITE): </w:t>
      </w:r>
    </w:p>
    <w:p w14:paraId="6DA141DA" w14:textId="77777777" w:rsidR="003C3015" w:rsidRPr="009A539C" w:rsidRDefault="00E742C1" w:rsidP="00B90788">
      <w:pPr>
        <w:spacing w:line="240" w:lineRule="auto"/>
        <w:ind w:left="1503" w:right="-1"/>
        <w:rPr>
          <w:szCs w:val="18"/>
          <w:u w:val="single"/>
        </w:rPr>
      </w:pPr>
      <w:hyperlink r:id="rId115" w:history="1">
        <w:r w:rsidR="003C3015" w:rsidRPr="009A539C">
          <w:rPr>
            <w:szCs w:val="18"/>
            <w:u w:val="single"/>
          </w:rPr>
          <w:t>http://www.cite.gov.pt/</w:t>
        </w:r>
      </w:hyperlink>
      <w:r w:rsidR="0036196F" w:rsidRPr="009A539C">
        <w:rPr>
          <w:szCs w:val="18"/>
          <w:u w:val="single"/>
        </w:rPr>
        <w:t xml:space="preserve">  </w:t>
      </w:r>
    </w:p>
    <w:p w14:paraId="5E683896" w14:textId="77777777" w:rsidR="003C3015" w:rsidRPr="009A539C" w:rsidRDefault="003C3015" w:rsidP="00A95C56">
      <w:pPr>
        <w:numPr>
          <w:ilvl w:val="0"/>
          <w:numId w:val="23"/>
        </w:numPr>
        <w:spacing w:line="240" w:lineRule="auto"/>
        <w:ind w:right="-1"/>
        <w:rPr>
          <w:szCs w:val="18"/>
        </w:rPr>
      </w:pPr>
      <w:r w:rsidRPr="009A539C">
        <w:rPr>
          <w:szCs w:val="18"/>
        </w:rPr>
        <w:t xml:space="preserve">Conselho Economico e Social (CES):  </w:t>
      </w:r>
    </w:p>
    <w:p w14:paraId="5F4FBE03" w14:textId="77777777" w:rsidR="003C3015" w:rsidRPr="009A539C" w:rsidRDefault="00E742C1" w:rsidP="00B90788">
      <w:pPr>
        <w:spacing w:line="240" w:lineRule="auto"/>
        <w:ind w:left="1503" w:right="-1"/>
        <w:rPr>
          <w:sz w:val="24"/>
        </w:rPr>
      </w:pPr>
      <w:hyperlink r:id="rId116" w:history="1">
        <w:r w:rsidR="003C3015" w:rsidRPr="009A539C">
          <w:rPr>
            <w:szCs w:val="18"/>
            <w:u w:val="single"/>
          </w:rPr>
          <w:t>http://www.ces.pt/</w:t>
        </w:r>
      </w:hyperlink>
    </w:p>
    <w:p w14:paraId="11396C08" w14:textId="77777777" w:rsidR="003C3015" w:rsidRPr="009A539C" w:rsidRDefault="003C3015" w:rsidP="00A95C56">
      <w:pPr>
        <w:numPr>
          <w:ilvl w:val="0"/>
          <w:numId w:val="23"/>
        </w:numPr>
        <w:spacing w:line="240" w:lineRule="auto"/>
        <w:ind w:right="-1"/>
        <w:rPr>
          <w:szCs w:val="18"/>
        </w:rPr>
      </w:pPr>
      <w:r w:rsidRPr="009A539C">
        <w:rPr>
          <w:szCs w:val="18"/>
        </w:rPr>
        <w:t>Diário da República Eletrónico</w:t>
      </w:r>
      <w:r w:rsidR="00D87EF5" w:rsidRPr="009A539C">
        <w:rPr>
          <w:szCs w:val="18"/>
        </w:rPr>
        <w:t>:</w:t>
      </w:r>
      <w:r w:rsidRPr="009A539C">
        <w:rPr>
          <w:szCs w:val="18"/>
        </w:rPr>
        <w:t xml:space="preserve"> </w:t>
      </w:r>
      <w:r w:rsidR="0036196F" w:rsidRPr="009A539C">
        <w:rPr>
          <w:szCs w:val="18"/>
        </w:rPr>
        <w:t xml:space="preserve"> </w:t>
      </w:r>
    </w:p>
    <w:p w14:paraId="62F23ACF" w14:textId="77777777" w:rsidR="003C3015" w:rsidRPr="009A539C" w:rsidRDefault="00E742C1" w:rsidP="00B90788">
      <w:pPr>
        <w:spacing w:line="240" w:lineRule="auto"/>
        <w:ind w:left="1503" w:right="-1"/>
        <w:rPr>
          <w:szCs w:val="18"/>
          <w:u w:val="single"/>
        </w:rPr>
      </w:pPr>
      <w:hyperlink r:id="rId117" w:history="1">
        <w:r w:rsidR="003C3015" w:rsidRPr="009A539C">
          <w:rPr>
            <w:szCs w:val="18"/>
            <w:u w:val="single"/>
          </w:rPr>
          <w:t>https://dre.pt/</w:t>
        </w:r>
      </w:hyperlink>
    </w:p>
    <w:p w14:paraId="01C6F11E" w14:textId="77777777" w:rsidR="003C3015" w:rsidRPr="009A539C" w:rsidRDefault="003C3015" w:rsidP="00A95C56">
      <w:pPr>
        <w:numPr>
          <w:ilvl w:val="0"/>
          <w:numId w:val="23"/>
        </w:numPr>
        <w:spacing w:line="240" w:lineRule="auto"/>
        <w:ind w:right="-1"/>
        <w:rPr>
          <w:strike/>
          <w:sz w:val="24"/>
        </w:rPr>
      </w:pPr>
      <w:r w:rsidRPr="009A539C">
        <w:rPr>
          <w:rFonts w:eastAsia="Calibri"/>
          <w:szCs w:val="18"/>
        </w:rPr>
        <w:t xml:space="preserve">Direção-Geral da Administração e do Emprego Público (DGAEP):  </w:t>
      </w:r>
    </w:p>
    <w:p w14:paraId="481CBE2D" w14:textId="77777777" w:rsidR="003C3015" w:rsidRPr="009A539C" w:rsidRDefault="00E742C1" w:rsidP="00B90788">
      <w:pPr>
        <w:spacing w:line="240" w:lineRule="auto"/>
        <w:ind w:left="1503" w:right="-1"/>
        <w:rPr>
          <w:szCs w:val="18"/>
          <w:u w:val="single"/>
        </w:rPr>
      </w:pPr>
      <w:hyperlink r:id="rId118" w:history="1">
        <w:r w:rsidR="003C3015" w:rsidRPr="009A539C">
          <w:rPr>
            <w:szCs w:val="18"/>
            <w:u w:val="single"/>
          </w:rPr>
          <w:t>http://www.dgaep.gov.pt</w:t>
        </w:r>
      </w:hyperlink>
    </w:p>
    <w:p w14:paraId="11B8999F" w14:textId="77777777" w:rsidR="00D87EF5" w:rsidRPr="009A539C" w:rsidRDefault="003C3015" w:rsidP="00A95C56">
      <w:pPr>
        <w:numPr>
          <w:ilvl w:val="0"/>
          <w:numId w:val="23"/>
        </w:numPr>
        <w:spacing w:line="240" w:lineRule="auto"/>
        <w:ind w:right="-1"/>
        <w:rPr>
          <w:sz w:val="24"/>
        </w:rPr>
      </w:pPr>
      <w:r w:rsidRPr="009A539C">
        <w:rPr>
          <w:szCs w:val="18"/>
        </w:rPr>
        <w:t xml:space="preserve">Direção-Geral do Emprego e Relações do Trabalho (DGERT): </w:t>
      </w:r>
    </w:p>
    <w:p w14:paraId="71EA2800" w14:textId="77777777" w:rsidR="003C3015" w:rsidRPr="009A539C" w:rsidRDefault="00E742C1" w:rsidP="00B90788">
      <w:pPr>
        <w:spacing w:line="240" w:lineRule="auto"/>
        <w:ind w:left="1503" w:right="-1"/>
        <w:rPr>
          <w:sz w:val="24"/>
        </w:rPr>
      </w:pPr>
      <w:hyperlink r:id="rId119" w:history="1">
        <w:r w:rsidR="0036196F" w:rsidRPr="009A539C">
          <w:rPr>
            <w:rStyle w:val="Hiperligao"/>
            <w:color w:val="auto"/>
          </w:rPr>
          <w:t>http://www.dgert.gov.pt/</w:t>
        </w:r>
      </w:hyperlink>
      <w:r w:rsidR="0036196F" w:rsidRPr="009A539C">
        <w:rPr>
          <w:u w:val="single"/>
        </w:rPr>
        <w:t xml:space="preserve"> </w:t>
      </w:r>
    </w:p>
    <w:p w14:paraId="3F0D6D87" w14:textId="77777777" w:rsidR="003C3015" w:rsidRPr="009A539C" w:rsidRDefault="003C3015" w:rsidP="00A95C56">
      <w:pPr>
        <w:numPr>
          <w:ilvl w:val="0"/>
          <w:numId w:val="23"/>
        </w:numPr>
        <w:spacing w:line="240" w:lineRule="auto"/>
        <w:ind w:right="-1"/>
        <w:rPr>
          <w:sz w:val="24"/>
        </w:rPr>
      </w:pPr>
      <w:r w:rsidRPr="009A539C">
        <w:rPr>
          <w:sz w:val="24"/>
        </w:rPr>
        <w:t>Direção-Geral do Tesouro e Finanças (DGTF)</w:t>
      </w:r>
      <w:r w:rsidR="00D87EF5" w:rsidRPr="009A539C">
        <w:rPr>
          <w:sz w:val="24"/>
        </w:rPr>
        <w:t>:</w:t>
      </w:r>
    </w:p>
    <w:p w14:paraId="012FB2AE" w14:textId="77777777" w:rsidR="003C3015" w:rsidRPr="009A539C" w:rsidRDefault="00E742C1" w:rsidP="00B90788">
      <w:pPr>
        <w:spacing w:line="240" w:lineRule="auto"/>
        <w:ind w:left="1503" w:right="-1"/>
        <w:rPr>
          <w:szCs w:val="18"/>
          <w:u w:val="single"/>
        </w:rPr>
      </w:pPr>
      <w:hyperlink r:id="rId120" w:history="1">
        <w:r w:rsidR="003C3015" w:rsidRPr="009A539C">
          <w:rPr>
            <w:szCs w:val="18"/>
            <w:u w:val="single"/>
          </w:rPr>
          <w:t>http://www.dgtf.pt</w:t>
        </w:r>
      </w:hyperlink>
    </w:p>
    <w:p w14:paraId="1DE68080" w14:textId="77777777" w:rsidR="003C3015" w:rsidRPr="009A539C" w:rsidRDefault="003C3015" w:rsidP="00A95C56">
      <w:pPr>
        <w:numPr>
          <w:ilvl w:val="0"/>
          <w:numId w:val="23"/>
        </w:numPr>
        <w:spacing w:line="240" w:lineRule="auto"/>
        <w:ind w:right="-1"/>
        <w:rPr>
          <w:szCs w:val="18"/>
        </w:rPr>
      </w:pPr>
      <w:r w:rsidRPr="009A539C">
        <w:rPr>
          <w:szCs w:val="18"/>
        </w:rPr>
        <w:t>EUROSTAT</w:t>
      </w:r>
      <w:r w:rsidR="00D87EF5" w:rsidRPr="009A539C">
        <w:rPr>
          <w:szCs w:val="18"/>
        </w:rPr>
        <w:t xml:space="preserve"> :</w:t>
      </w:r>
    </w:p>
    <w:p w14:paraId="2EDC6653" w14:textId="77777777" w:rsidR="003C3015" w:rsidRPr="009A539C" w:rsidRDefault="00E742C1" w:rsidP="00B90788">
      <w:pPr>
        <w:spacing w:line="240" w:lineRule="auto"/>
        <w:ind w:left="1503" w:right="-1"/>
        <w:rPr>
          <w:szCs w:val="18"/>
          <w:u w:val="single"/>
        </w:rPr>
      </w:pPr>
      <w:hyperlink r:id="rId121" w:history="1">
        <w:r w:rsidR="003C3015" w:rsidRPr="009A539C">
          <w:rPr>
            <w:szCs w:val="18"/>
            <w:u w:val="single"/>
          </w:rPr>
          <w:t>http://ec.europa.eu/eurostat</w:t>
        </w:r>
      </w:hyperlink>
    </w:p>
    <w:p w14:paraId="584E497E" w14:textId="77777777" w:rsidR="003C3015" w:rsidRPr="009A539C" w:rsidRDefault="003C3015" w:rsidP="00A95C56">
      <w:pPr>
        <w:numPr>
          <w:ilvl w:val="0"/>
          <w:numId w:val="23"/>
        </w:numPr>
        <w:spacing w:line="240" w:lineRule="auto"/>
        <w:ind w:right="-1"/>
        <w:rPr>
          <w:szCs w:val="18"/>
        </w:rPr>
      </w:pPr>
      <w:r w:rsidRPr="009A539C">
        <w:rPr>
          <w:szCs w:val="18"/>
        </w:rPr>
        <w:t xml:space="preserve">Gabinete de Estratégia e Planeamento (GEP): </w:t>
      </w:r>
    </w:p>
    <w:p w14:paraId="4E6645F8" w14:textId="77777777" w:rsidR="003C3015" w:rsidRPr="009A539C" w:rsidRDefault="00E742C1" w:rsidP="00B90788">
      <w:pPr>
        <w:spacing w:line="240" w:lineRule="auto"/>
        <w:ind w:left="1503" w:right="-1"/>
        <w:rPr>
          <w:szCs w:val="18"/>
          <w:u w:val="single"/>
        </w:rPr>
      </w:pPr>
      <w:hyperlink r:id="rId122" w:history="1">
        <w:r w:rsidR="003C3015" w:rsidRPr="009A539C">
          <w:rPr>
            <w:szCs w:val="18"/>
            <w:u w:val="single"/>
          </w:rPr>
          <w:t>http://www.gep.msess.gov.pt/</w:t>
        </w:r>
      </w:hyperlink>
    </w:p>
    <w:p w14:paraId="44971F7F" w14:textId="77777777" w:rsidR="00B409A0" w:rsidRPr="009A539C" w:rsidRDefault="003C3015" w:rsidP="00A95C56">
      <w:pPr>
        <w:numPr>
          <w:ilvl w:val="0"/>
          <w:numId w:val="23"/>
        </w:numPr>
        <w:spacing w:line="240" w:lineRule="auto"/>
        <w:ind w:right="-1"/>
        <w:rPr>
          <w:sz w:val="24"/>
        </w:rPr>
      </w:pPr>
      <w:r w:rsidRPr="009A539C">
        <w:rPr>
          <w:szCs w:val="18"/>
        </w:rPr>
        <w:t>Instituto de Gestão Financeira e Equip</w:t>
      </w:r>
      <w:r w:rsidR="00B409A0" w:rsidRPr="009A539C">
        <w:rPr>
          <w:szCs w:val="18"/>
        </w:rPr>
        <w:t xml:space="preserve">amentos da Justiça, </w:t>
      </w:r>
    </w:p>
    <w:p w14:paraId="74A03442" w14:textId="77777777" w:rsidR="00B409A0" w:rsidRPr="009A539C" w:rsidRDefault="00E742C1" w:rsidP="00B90788">
      <w:pPr>
        <w:spacing w:line="240" w:lineRule="auto"/>
        <w:ind w:left="1503" w:right="-1"/>
        <w:rPr>
          <w:sz w:val="24"/>
        </w:rPr>
      </w:pPr>
      <w:hyperlink r:id="rId123" w:history="1">
        <w:r w:rsidR="00B409A0" w:rsidRPr="009A539C">
          <w:rPr>
            <w:rStyle w:val="Hiperligao"/>
            <w:color w:val="auto"/>
          </w:rPr>
          <w:t>https://igfej.justica.gov.pt/</w:t>
        </w:r>
      </w:hyperlink>
    </w:p>
    <w:p w14:paraId="4101C21C" w14:textId="77777777" w:rsidR="003C3015" w:rsidRPr="009A539C" w:rsidRDefault="003C3015" w:rsidP="00A95C56">
      <w:pPr>
        <w:numPr>
          <w:ilvl w:val="0"/>
          <w:numId w:val="23"/>
        </w:numPr>
        <w:spacing w:line="240" w:lineRule="auto"/>
        <w:ind w:right="-1"/>
        <w:rPr>
          <w:szCs w:val="18"/>
        </w:rPr>
      </w:pPr>
      <w:r w:rsidRPr="009A539C">
        <w:rPr>
          <w:szCs w:val="18"/>
        </w:rPr>
        <w:t>Instituto Nacional de Estatística (INE)</w:t>
      </w:r>
      <w:r w:rsidR="00D87EF5" w:rsidRPr="009A539C">
        <w:rPr>
          <w:szCs w:val="18"/>
        </w:rPr>
        <w:t>:</w:t>
      </w:r>
    </w:p>
    <w:p w14:paraId="7B808901" w14:textId="77777777" w:rsidR="003C3015" w:rsidRPr="009A539C" w:rsidRDefault="00E742C1" w:rsidP="00B90788">
      <w:pPr>
        <w:spacing w:line="240" w:lineRule="auto"/>
        <w:ind w:left="1503" w:right="-1"/>
        <w:rPr>
          <w:szCs w:val="18"/>
          <w:u w:val="single"/>
        </w:rPr>
      </w:pPr>
      <w:hyperlink r:id="rId124" w:history="1">
        <w:r w:rsidR="003C3015" w:rsidRPr="009A539C">
          <w:rPr>
            <w:szCs w:val="18"/>
            <w:u w:val="single"/>
          </w:rPr>
          <w:t>https://www.ine.pt/</w:t>
        </w:r>
      </w:hyperlink>
    </w:p>
    <w:p w14:paraId="0D14ED98" w14:textId="77777777" w:rsidR="003C3015" w:rsidRPr="009A539C" w:rsidRDefault="003C3015" w:rsidP="00A95C56">
      <w:pPr>
        <w:numPr>
          <w:ilvl w:val="0"/>
          <w:numId w:val="23"/>
        </w:numPr>
        <w:spacing w:line="240" w:lineRule="auto"/>
        <w:ind w:right="-1"/>
        <w:rPr>
          <w:szCs w:val="18"/>
        </w:rPr>
      </w:pPr>
      <w:r w:rsidRPr="009A539C">
        <w:rPr>
          <w:szCs w:val="18"/>
        </w:rPr>
        <w:t>Relatório Único (ACT)</w:t>
      </w:r>
      <w:r w:rsidR="00D87EF5" w:rsidRPr="009A539C">
        <w:rPr>
          <w:szCs w:val="18"/>
        </w:rPr>
        <w:t>:</w:t>
      </w:r>
    </w:p>
    <w:p w14:paraId="76EB8801" w14:textId="77777777" w:rsidR="003C3015" w:rsidRPr="009A539C" w:rsidRDefault="00E742C1" w:rsidP="00B90788">
      <w:pPr>
        <w:spacing w:line="240" w:lineRule="auto"/>
        <w:ind w:left="1503" w:right="-1"/>
        <w:rPr>
          <w:szCs w:val="18"/>
          <w:u w:val="single"/>
        </w:rPr>
      </w:pPr>
      <w:hyperlink r:id="rId125" w:history="1">
        <w:r w:rsidR="003C3015" w:rsidRPr="009A539C">
          <w:rPr>
            <w:szCs w:val="18"/>
            <w:u w:val="single"/>
          </w:rPr>
          <w:t>https://www.relatoriounico.pt/</w:t>
        </w:r>
      </w:hyperlink>
    </w:p>
    <w:p w14:paraId="44CD7983" w14:textId="77777777" w:rsidR="003C3015" w:rsidRPr="009A539C" w:rsidRDefault="003C3015" w:rsidP="00B90788">
      <w:pPr>
        <w:ind w:right="-1"/>
        <w:rPr>
          <w:rFonts w:asciiTheme="majorHAnsi" w:eastAsiaTheme="majorEastAsia" w:hAnsiTheme="majorHAnsi" w:cstheme="majorBidi"/>
          <w:spacing w:val="5"/>
          <w:kern w:val="28"/>
          <w:sz w:val="28"/>
        </w:rPr>
      </w:pPr>
    </w:p>
    <w:p w14:paraId="19BB66D7" w14:textId="77777777" w:rsidR="003C3015" w:rsidRPr="009A539C" w:rsidRDefault="003C3015" w:rsidP="00B90788">
      <w:pPr>
        <w:ind w:right="-1"/>
        <w:rPr>
          <w:b/>
        </w:rPr>
      </w:pPr>
    </w:p>
    <w:p w14:paraId="45650E30" w14:textId="77777777" w:rsidR="003C3015" w:rsidRPr="009A539C" w:rsidRDefault="003C3015" w:rsidP="00B90788">
      <w:pPr>
        <w:ind w:right="-1"/>
        <w:rPr>
          <w:b/>
        </w:rPr>
      </w:pPr>
    </w:p>
    <w:p w14:paraId="50DE173C" w14:textId="77777777" w:rsidR="003C3015" w:rsidRPr="009A539C" w:rsidRDefault="003C3015" w:rsidP="00B90788">
      <w:pPr>
        <w:ind w:right="-1"/>
        <w:rPr>
          <w:b/>
        </w:rPr>
      </w:pPr>
    </w:p>
    <w:p w14:paraId="732E43CB" w14:textId="77777777" w:rsidR="003C3015" w:rsidRPr="009A539C" w:rsidRDefault="003C3015" w:rsidP="00B90788">
      <w:pPr>
        <w:ind w:right="-1"/>
        <w:rPr>
          <w:b/>
        </w:rPr>
      </w:pPr>
    </w:p>
    <w:p w14:paraId="50EBAB45" w14:textId="77777777" w:rsidR="003C3015" w:rsidRPr="009A539C" w:rsidRDefault="003C3015" w:rsidP="00B90788">
      <w:pPr>
        <w:ind w:right="-1"/>
        <w:rPr>
          <w:b/>
        </w:rPr>
      </w:pPr>
    </w:p>
    <w:p w14:paraId="7C165EE3" w14:textId="77777777" w:rsidR="003C3015" w:rsidRPr="009A539C" w:rsidRDefault="003C3015" w:rsidP="00B90788">
      <w:pPr>
        <w:ind w:right="-1"/>
        <w:rPr>
          <w:b/>
        </w:rPr>
      </w:pPr>
    </w:p>
    <w:p w14:paraId="01432F18" w14:textId="77777777" w:rsidR="003C3015" w:rsidRPr="009A539C" w:rsidRDefault="003C3015" w:rsidP="00B90788">
      <w:pPr>
        <w:ind w:right="-1"/>
        <w:rPr>
          <w:b/>
        </w:rPr>
      </w:pPr>
    </w:p>
    <w:p w14:paraId="09724C51" w14:textId="77777777" w:rsidR="003C3015" w:rsidRPr="009A539C" w:rsidRDefault="003C3015" w:rsidP="00B90788">
      <w:pPr>
        <w:ind w:right="-1"/>
        <w:rPr>
          <w:b/>
        </w:rPr>
      </w:pPr>
    </w:p>
    <w:p w14:paraId="00E6736E" w14:textId="77777777" w:rsidR="003C3015" w:rsidRPr="009A539C" w:rsidRDefault="003C3015" w:rsidP="00B90788">
      <w:pPr>
        <w:ind w:right="-1"/>
        <w:rPr>
          <w:b/>
        </w:rPr>
      </w:pPr>
    </w:p>
    <w:p w14:paraId="23E70430" w14:textId="77777777" w:rsidR="003C3015" w:rsidRPr="009A539C" w:rsidRDefault="003C3015" w:rsidP="00B90788">
      <w:pPr>
        <w:ind w:right="-1"/>
        <w:rPr>
          <w:b/>
        </w:rPr>
      </w:pPr>
    </w:p>
    <w:p w14:paraId="709870A0" w14:textId="77777777" w:rsidR="003C3015" w:rsidRPr="009A539C" w:rsidRDefault="003C3015" w:rsidP="00B90788">
      <w:pPr>
        <w:ind w:right="-1"/>
        <w:rPr>
          <w:b/>
        </w:rPr>
      </w:pPr>
    </w:p>
    <w:p w14:paraId="2325AD40" w14:textId="77777777" w:rsidR="003C3015" w:rsidRPr="009A539C" w:rsidRDefault="003C3015" w:rsidP="00B90788">
      <w:pPr>
        <w:ind w:right="-1"/>
        <w:rPr>
          <w:b/>
        </w:rPr>
      </w:pPr>
    </w:p>
    <w:p w14:paraId="7774454A" w14:textId="77777777" w:rsidR="003C3015" w:rsidRPr="009A539C" w:rsidRDefault="003C3015" w:rsidP="00B90788">
      <w:pPr>
        <w:ind w:right="-1"/>
        <w:rPr>
          <w:b/>
        </w:rPr>
      </w:pPr>
    </w:p>
    <w:p w14:paraId="42932E4E" w14:textId="77777777" w:rsidR="003C3015" w:rsidRPr="009A539C" w:rsidRDefault="003C3015" w:rsidP="00B90788">
      <w:pPr>
        <w:ind w:right="-1"/>
        <w:rPr>
          <w:rFonts w:asciiTheme="majorHAnsi" w:eastAsiaTheme="majorEastAsia" w:hAnsiTheme="majorHAnsi" w:cstheme="majorBidi"/>
          <w:spacing w:val="5"/>
          <w:kern w:val="28"/>
          <w:sz w:val="28"/>
        </w:rPr>
      </w:pPr>
    </w:p>
    <w:p w14:paraId="23643B15" w14:textId="77777777" w:rsidR="003C3015" w:rsidRPr="009A539C" w:rsidRDefault="003C3015" w:rsidP="00B90788">
      <w:pPr>
        <w:ind w:right="-1"/>
        <w:rPr>
          <w:rFonts w:asciiTheme="majorHAnsi" w:eastAsiaTheme="majorEastAsia" w:hAnsiTheme="majorHAnsi" w:cstheme="majorBidi"/>
          <w:spacing w:val="5"/>
          <w:kern w:val="28"/>
          <w:sz w:val="28"/>
        </w:rPr>
      </w:pPr>
    </w:p>
    <w:p w14:paraId="573B58D0" w14:textId="77777777" w:rsidR="003C3015" w:rsidRPr="009A539C" w:rsidRDefault="003C3015" w:rsidP="00B90788">
      <w:pPr>
        <w:ind w:right="-1"/>
        <w:rPr>
          <w:rFonts w:asciiTheme="majorHAnsi" w:eastAsiaTheme="majorEastAsia" w:hAnsiTheme="majorHAnsi" w:cstheme="majorBidi"/>
          <w:spacing w:val="5"/>
          <w:kern w:val="28"/>
          <w:sz w:val="28"/>
        </w:rPr>
      </w:pPr>
    </w:p>
    <w:p w14:paraId="1ACB08A5" w14:textId="77777777" w:rsidR="003C3015" w:rsidRPr="009A539C" w:rsidRDefault="003C3015" w:rsidP="00B90788">
      <w:pPr>
        <w:pBdr>
          <w:bottom w:val="single" w:sz="8" w:space="4" w:color="4F81BD" w:themeColor="accent1"/>
        </w:pBdr>
        <w:spacing w:after="300"/>
        <w:ind w:right="-1"/>
        <w:contextualSpacing/>
        <w:rPr>
          <w:rFonts w:asciiTheme="majorHAnsi" w:eastAsiaTheme="majorEastAsia" w:hAnsiTheme="majorHAnsi" w:cstheme="majorBidi"/>
          <w:spacing w:val="5"/>
          <w:kern w:val="28"/>
          <w:sz w:val="28"/>
        </w:rPr>
      </w:pPr>
    </w:p>
    <w:p w14:paraId="7A1756B0" w14:textId="77777777" w:rsidR="003C3015" w:rsidRPr="009A539C" w:rsidRDefault="003C3015" w:rsidP="00B90788">
      <w:pPr>
        <w:keepNext/>
        <w:keepLines/>
        <w:spacing w:before="240"/>
        <w:ind w:left="425" w:right="-1" w:hanging="425"/>
        <w:jc w:val="right"/>
        <w:outlineLvl w:val="1"/>
        <w:rPr>
          <w:rFonts w:asciiTheme="majorHAnsi" w:eastAsiaTheme="majorEastAsia" w:hAnsiTheme="majorHAnsi" w:cstheme="majorBidi"/>
          <w:b/>
          <w:bCs/>
          <w:color w:val="4F81BD" w:themeColor="accent1"/>
          <w:sz w:val="48"/>
          <w:szCs w:val="23"/>
        </w:rPr>
      </w:pPr>
      <w:bookmarkStart w:id="948" w:name="_Toc417550439"/>
      <w:bookmarkStart w:id="949" w:name="_Toc417996753"/>
    </w:p>
    <w:p w14:paraId="6C659958" w14:textId="77777777" w:rsidR="003C3015" w:rsidRPr="009A539C" w:rsidRDefault="003C3015" w:rsidP="00B90788">
      <w:pPr>
        <w:ind w:right="-1"/>
        <w:jc w:val="right"/>
        <w:rPr>
          <w:rFonts w:asciiTheme="majorHAnsi" w:hAnsiTheme="majorHAnsi"/>
          <w:b/>
          <w:color w:val="000000" w:themeColor="text1"/>
          <w:sz w:val="72"/>
          <w:szCs w:val="52"/>
        </w:rPr>
      </w:pPr>
      <w:bookmarkStart w:id="950" w:name="ANEXOS"/>
      <w:r w:rsidRPr="009A539C">
        <w:rPr>
          <w:rFonts w:asciiTheme="majorHAnsi" w:hAnsiTheme="majorHAnsi"/>
          <w:b/>
          <w:color w:val="000000" w:themeColor="text1"/>
          <w:sz w:val="48"/>
          <w:szCs w:val="23"/>
        </w:rPr>
        <w:t>ANEXOS</w:t>
      </w:r>
      <w:bookmarkEnd w:id="948"/>
      <w:bookmarkEnd w:id="949"/>
      <w:r w:rsidR="009972BC" w:rsidRPr="009A539C">
        <w:rPr>
          <w:rFonts w:asciiTheme="majorHAnsi" w:hAnsiTheme="majorHAnsi"/>
          <w:b/>
          <w:color w:val="000000" w:themeColor="text1"/>
          <w:sz w:val="48"/>
          <w:szCs w:val="23"/>
        </w:rPr>
        <w:fldChar w:fldCharType="begin"/>
      </w:r>
      <w:r w:rsidRPr="009A539C">
        <w:instrText xml:space="preserve"> XE "</w:instrText>
      </w:r>
      <w:r w:rsidRPr="009A539C">
        <w:rPr>
          <w:rFonts w:asciiTheme="majorHAnsi" w:hAnsiTheme="majorHAnsi"/>
          <w:b/>
          <w:color w:val="000000" w:themeColor="text1"/>
          <w:sz w:val="48"/>
          <w:szCs w:val="23"/>
        </w:rPr>
        <w:instrText>ANEXOS</w:instrText>
      </w:r>
      <w:r w:rsidRPr="009A539C">
        <w:instrText xml:space="preserve">" </w:instrText>
      </w:r>
      <w:r w:rsidR="009972BC" w:rsidRPr="009A539C">
        <w:rPr>
          <w:rFonts w:asciiTheme="majorHAnsi" w:hAnsiTheme="majorHAnsi"/>
          <w:b/>
          <w:color w:val="000000" w:themeColor="text1"/>
          <w:sz w:val="48"/>
          <w:szCs w:val="23"/>
        </w:rPr>
        <w:fldChar w:fldCharType="end"/>
      </w:r>
      <w:r w:rsidRPr="009A539C">
        <w:rPr>
          <w:rFonts w:asciiTheme="majorHAnsi" w:hAnsiTheme="majorHAnsi"/>
          <w:b/>
          <w:color w:val="000000" w:themeColor="text1"/>
          <w:sz w:val="72"/>
          <w:szCs w:val="52"/>
        </w:rPr>
        <w:t xml:space="preserve"> </w:t>
      </w:r>
    </w:p>
    <w:bookmarkEnd w:id="950"/>
    <w:p w14:paraId="10B8A51B" w14:textId="77777777" w:rsidR="003C3015" w:rsidRPr="009A539C" w:rsidRDefault="003C3015" w:rsidP="00B90788">
      <w:pPr>
        <w:pBdr>
          <w:bottom w:val="single" w:sz="8" w:space="4" w:color="4F81BD" w:themeColor="accent1"/>
        </w:pBdr>
        <w:spacing w:after="300"/>
        <w:ind w:right="-1" w:firstLine="6237"/>
        <w:contextualSpacing/>
        <w:rPr>
          <w:rFonts w:asciiTheme="majorHAnsi" w:eastAsiaTheme="majorEastAsia" w:hAnsiTheme="majorHAnsi" w:cstheme="majorBidi"/>
          <w:spacing w:val="5"/>
          <w:kern w:val="28"/>
          <w:sz w:val="44"/>
        </w:rPr>
      </w:pPr>
    </w:p>
    <w:p w14:paraId="16A2B216" w14:textId="77777777" w:rsidR="003C3015" w:rsidRPr="009A539C" w:rsidRDefault="003C3015" w:rsidP="00B90788">
      <w:pPr>
        <w:pBdr>
          <w:bottom w:val="single" w:sz="8" w:space="4" w:color="4F81BD" w:themeColor="accent1"/>
        </w:pBdr>
        <w:spacing w:after="300"/>
        <w:ind w:right="-1" w:firstLine="6237"/>
        <w:contextualSpacing/>
        <w:rPr>
          <w:rFonts w:asciiTheme="majorHAnsi" w:eastAsiaTheme="majorEastAsia" w:hAnsiTheme="majorHAnsi" w:cstheme="majorBidi"/>
          <w:spacing w:val="5"/>
          <w:kern w:val="28"/>
          <w:sz w:val="44"/>
        </w:rPr>
      </w:pPr>
    </w:p>
    <w:p w14:paraId="7A96AF16" w14:textId="77777777" w:rsidR="003C3015" w:rsidRPr="009A539C" w:rsidRDefault="003C3015" w:rsidP="00B90788">
      <w:pPr>
        <w:spacing w:after="300"/>
        <w:ind w:right="-1" w:firstLine="6237"/>
        <w:contextualSpacing/>
        <w:rPr>
          <w:rFonts w:asciiTheme="majorHAnsi" w:eastAsiaTheme="majorEastAsia" w:hAnsiTheme="majorHAnsi" w:cstheme="majorBidi"/>
          <w:spacing w:val="5"/>
          <w:kern w:val="28"/>
          <w:sz w:val="44"/>
        </w:rPr>
      </w:pPr>
    </w:p>
    <w:p w14:paraId="01C7C892" w14:textId="77777777" w:rsidR="003C3015" w:rsidRPr="009A539C" w:rsidRDefault="003C3015" w:rsidP="00B90788">
      <w:pPr>
        <w:spacing w:after="300"/>
        <w:ind w:right="-1" w:firstLine="6237"/>
        <w:contextualSpacing/>
        <w:rPr>
          <w:rFonts w:asciiTheme="majorHAnsi" w:eastAsiaTheme="majorEastAsia" w:hAnsiTheme="majorHAnsi" w:cstheme="majorBidi"/>
          <w:spacing w:val="5"/>
          <w:kern w:val="28"/>
          <w:sz w:val="44"/>
        </w:rPr>
      </w:pPr>
    </w:p>
    <w:p w14:paraId="686639F7" w14:textId="77777777" w:rsidR="003C3015" w:rsidRPr="009A539C" w:rsidRDefault="003C3015" w:rsidP="00B90788">
      <w:pPr>
        <w:ind w:right="-1"/>
        <w:rPr>
          <w:b/>
        </w:rPr>
      </w:pPr>
    </w:p>
    <w:p w14:paraId="34CAAA07" w14:textId="77777777" w:rsidR="003C3015" w:rsidRPr="009A539C" w:rsidRDefault="003C3015" w:rsidP="00B90788">
      <w:pPr>
        <w:ind w:right="-1"/>
        <w:rPr>
          <w:b/>
        </w:rPr>
      </w:pPr>
    </w:p>
    <w:p w14:paraId="5DE98B3C" w14:textId="77777777" w:rsidR="003C3015" w:rsidRPr="009A539C" w:rsidRDefault="003C3015" w:rsidP="00B90788">
      <w:pPr>
        <w:ind w:right="-1"/>
        <w:rPr>
          <w:b/>
        </w:rPr>
      </w:pPr>
    </w:p>
    <w:p w14:paraId="638F5B94" w14:textId="77777777" w:rsidR="003C3015" w:rsidRPr="009A539C" w:rsidRDefault="003C3015" w:rsidP="00B90788">
      <w:pPr>
        <w:ind w:right="-1"/>
        <w:rPr>
          <w:b/>
        </w:rPr>
      </w:pPr>
    </w:p>
    <w:p w14:paraId="0DB9345B" w14:textId="77777777" w:rsidR="00792199" w:rsidRPr="009A539C" w:rsidRDefault="00792199" w:rsidP="00B90788">
      <w:pPr>
        <w:spacing w:after="0"/>
        <w:ind w:right="-1"/>
        <w:rPr>
          <w:b/>
          <w:color w:val="00000A"/>
          <w:sz w:val="28"/>
        </w:rPr>
      </w:pPr>
      <w:r w:rsidRPr="009A539C">
        <w:rPr>
          <w:b/>
          <w:color w:val="00000A"/>
          <w:sz w:val="28"/>
        </w:rPr>
        <w:t>ÍNDICE DE QUADROS DO ANEXO</w:t>
      </w:r>
    </w:p>
    <w:p w14:paraId="151A36A4" w14:textId="77777777" w:rsidR="00792199" w:rsidRPr="009A539C" w:rsidRDefault="00792199" w:rsidP="00B90788">
      <w:pPr>
        <w:spacing w:after="0"/>
        <w:ind w:right="-1"/>
        <w:rPr>
          <w:b/>
        </w:rPr>
      </w:pPr>
    </w:p>
    <w:p w14:paraId="27C7200E" w14:textId="77777777" w:rsidR="00911EC8" w:rsidRPr="009A539C" w:rsidRDefault="00087ECE">
      <w:pPr>
        <w:pStyle w:val="ndicedeilustraes"/>
        <w:tabs>
          <w:tab w:val="right" w:leader="dot" w:pos="10621"/>
        </w:tabs>
        <w:rPr>
          <w:rFonts w:eastAsiaTheme="minorEastAsia" w:cstheme="minorBidi"/>
          <w:b/>
          <w:smallCaps w:val="0"/>
          <w:noProof/>
          <w:color w:val="auto"/>
          <w:sz w:val="22"/>
          <w:szCs w:val="22"/>
          <w:lang w:eastAsia="pt-PT"/>
        </w:rPr>
      </w:pPr>
      <w:r w:rsidRPr="009A539C">
        <w:rPr>
          <w:b/>
        </w:rPr>
        <w:fldChar w:fldCharType="begin"/>
      </w:r>
      <w:r w:rsidRPr="009A539C">
        <w:rPr>
          <w:b/>
        </w:rPr>
        <w:instrText xml:space="preserve"> TOC \h \z \c "Anexo - Quadro" </w:instrText>
      </w:r>
      <w:r w:rsidRPr="009A539C">
        <w:rPr>
          <w:b/>
        </w:rPr>
        <w:fldChar w:fldCharType="separate"/>
      </w:r>
      <w:hyperlink w:anchor="_Toc45048697" w:history="1">
        <w:r w:rsidR="00911EC8" w:rsidRPr="009A539C">
          <w:rPr>
            <w:rStyle w:val="Hiperligao"/>
            <w:b/>
            <w:noProof/>
          </w:rPr>
          <w:t>Anexo - Quadro 1</w:t>
        </w:r>
        <w:r w:rsidR="00911EC8" w:rsidRPr="009A539C">
          <w:rPr>
            <w:rStyle w:val="Hiperligao"/>
            <w:rFonts w:ascii="Calibri" w:eastAsia="Times New Roman" w:hAnsi="Calibri" w:cs="Calibri"/>
            <w:b/>
            <w:bCs/>
            <w:noProof/>
            <w:lang w:eastAsia="pt-PT"/>
          </w:rPr>
          <w:t xml:space="preserve"> - </w:t>
        </w:r>
        <w:r w:rsidR="00911EC8" w:rsidRPr="009A539C">
          <w:rPr>
            <w:rStyle w:val="Hiperligao"/>
            <w:b/>
            <w:bCs/>
            <w:caps/>
            <w:noProof/>
          </w:rPr>
          <w:t>Convenções Publicadas em 2019</w:t>
        </w:r>
        <w:r w:rsidR="00911EC8" w:rsidRPr="009A539C">
          <w:rPr>
            <w:b/>
            <w:noProof/>
            <w:webHidden/>
          </w:rPr>
          <w:tab/>
        </w:r>
        <w:r w:rsidR="00911EC8" w:rsidRPr="009A539C">
          <w:rPr>
            <w:b/>
            <w:noProof/>
            <w:webHidden/>
          </w:rPr>
          <w:fldChar w:fldCharType="begin"/>
        </w:r>
        <w:r w:rsidR="00911EC8" w:rsidRPr="009A539C">
          <w:rPr>
            <w:b/>
            <w:noProof/>
            <w:webHidden/>
          </w:rPr>
          <w:instrText xml:space="preserve"> PAGEREF _Toc45048697 \h </w:instrText>
        </w:r>
        <w:r w:rsidR="00911EC8" w:rsidRPr="009A539C">
          <w:rPr>
            <w:b/>
            <w:noProof/>
            <w:webHidden/>
          </w:rPr>
        </w:r>
        <w:r w:rsidR="00911EC8" w:rsidRPr="009A539C">
          <w:rPr>
            <w:b/>
            <w:noProof/>
            <w:webHidden/>
          </w:rPr>
          <w:fldChar w:fldCharType="separate"/>
        </w:r>
        <w:r w:rsidR="00D821DE">
          <w:rPr>
            <w:b/>
            <w:noProof/>
            <w:webHidden/>
          </w:rPr>
          <w:t>200</w:t>
        </w:r>
        <w:r w:rsidR="00911EC8" w:rsidRPr="009A539C">
          <w:rPr>
            <w:b/>
            <w:noProof/>
            <w:webHidden/>
          </w:rPr>
          <w:fldChar w:fldCharType="end"/>
        </w:r>
      </w:hyperlink>
    </w:p>
    <w:p w14:paraId="1D257F12" w14:textId="77777777" w:rsidR="00911EC8" w:rsidRPr="009A539C" w:rsidRDefault="00E742C1">
      <w:pPr>
        <w:pStyle w:val="ndicedeilustraes"/>
        <w:tabs>
          <w:tab w:val="right" w:leader="dot" w:pos="10621"/>
        </w:tabs>
        <w:rPr>
          <w:rFonts w:eastAsiaTheme="minorEastAsia" w:cstheme="minorBidi"/>
          <w:b/>
          <w:smallCaps w:val="0"/>
          <w:noProof/>
          <w:color w:val="auto"/>
          <w:sz w:val="22"/>
          <w:szCs w:val="22"/>
          <w:lang w:eastAsia="pt-PT"/>
        </w:rPr>
      </w:pPr>
      <w:hyperlink w:anchor="_Toc45048698" w:history="1">
        <w:r w:rsidR="00911EC8" w:rsidRPr="009A539C">
          <w:rPr>
            <w:rStyle w:val="Hiperligao"/>
            <w:b/>
            <w:noProof/>
          </w:rPr>
          <w:t>Anexo - Quadro 2 - TRABALHADORES ABRANGIDOS POR CONVENÇÕES PUBLICADAS EM 2019</w:t>
        </w:r>
        <w:r w:rsidR="00911EC8" w:rsidRPr="009A539C">
          <w:rPr>
            <w:b/>
            <w:noProof/>
            <w:webHidden/>
          </w:rPr>
          <w:tab/>
        </w:r>
        <w:r w:rsidR="00911EC8" w:rsidRPr="009A539C">
          <w:rPr>
            <w:b/>
            <w:noProof/>
            <w:webHidden/>
          </w:rPr>
          <w:fldChar w:fldCharType="begin"/>
        </w:r>
        <w:r w:rsidR="00911EC8" w:rsidRPr="009A539C">
          <w:rPr>
            <w:b/>
            <w:noProof/>
            <w:webHidden/>
          </w:rPr>
          <w:instrText xml:space="preserve"> PAGEREF _Toc45048698 \h </w:instrText>
        </w:r>
        <w:r w:rsidR="00911EC8" w:rsidRPr="009A539C">
          <w:rPr>
            <w:b/>
            <w:noProof/>
            <w:webHidden/>
          </w:rPr>
        </w:r>
        <w:r w:rsidR="00911EC8" w:rsidRPr="009A539C">
          <w:rPr>
            <w:b/>
            <w:noProof/>
            <w:webHidden/>
          </w:rPr>
          <w:fldChar w:fldCharType="separate"/>
        </w:r>
        <w:r w:rsidR="00D821DE">
          <w:rPr>
            <w:b/>
            <w:noProof/>
            <w:webHidden/>
          </w:rPr>
          <w:t>205</w:t>
        </w:r>
        <w:r w:rsidR="00911EC8" w:rsidRPr="009A539C">
          <w:rPr>
            <w:b/>
            <w:noProof/>
            <w:webHidden/>
          </w:rPr>
          <w:fldChar w:fldCharType="end"/>
        </w:r>
      </w:hyperlink>
    </w:p>
    <w:p w14:paraId="4288A20B" w14:textId="77777777" w:rsidR="00911EC8" w:rsidRPr="009A539C" w:rsidRDefault="00E742C1">
      <w:pPr>
        <w:pStyle w:val="ndicedeilustraes"/>
        <w:tabs>
          <w:tab w:val="right" w:leader="dot" w:pos="10621"/>
        </w:tabs>
        <w:rPr>
          <w:rFonts w:eastAsiaTheme="minorEastAsia" w:cstheme="minorBidi"/>
          <w:b/>
          <w:smallCaps w:val="0"/>
          <w:noProof/>
          <w:color w:val="auto"/>
          <w:sz w:val="22"/>
          <w:szCs w:val="22"/>
          <w:lang w:eastAsia="pt-PT"/>
        </w:rPr>
      </w:pPr>
      <w:hyperlink w:anchor="_Toc45048699" w:history="1">
        <w:r w:rsidR="00911EC8" w:rsidRPr="009A539C">
          <w:rPr>
            <w:rStyle w:val="Hiperligao"/>
            <w:b/>
            <w:noProof/>
          </w:rPr>
          <w:t>Anexo - Quadro 3 - ACORDOS DE ADESÃO PUBLICADOS EM 2019 – Quadro síntese</w:t>
        </w:r>
        <w:r w:rsidR="00911EC8" w:rsidRPr="009A539C">
          <w:rPr>
            <w:b/>
            <w:noProof/>
            <w:webHidden/>
          </w:rPr>
          <w:tab/>
        </w:r>
        <w:r w:rsidR="00911EC8" w:rsidRPr="009A539C">
          <w:rPr>
            <w:b/>
            <w:noProof/>
            <w:webHidden/>
          </w:rPr>
          <w:fldChar w:fldCharType="begin"/>
        </w:r>
        <w:r w:rsidR="00911EC8" w:rsidRPr="009A539C">
          <w:rPr>
            <w:b/>
            <w:noProof/>
            <w:webHidden/>
          </w:rPr>
          <w:instrText xml:space="preserve"> PAGEREF _Toc45048699 \h </w:instrText>
        </w:r>
        <w:r w:rsidR="00911EC8" w:rsidRPr="009A539C">
          <w:rPr>
            <w:b/>
            <w:noProof/>
            <w:webHidden/>
          </w:rPr>
        </w:r>
        <w:r w:rsidR="00911EC8" w:rsidRPr="009A539C">
          <w:rPr>
            <w:b/>
            <w:noProof/>
            <w:webHidden/>
          </w:rPr>
          <w:fldChar w:fldCharType="separate"/>
        </w:r>
        <w:r w:rsidR="00D821DE">
          <w:rPr>
            <w:b/>
            <w:noProof/>
            <w:webHidden/>
          </w:rPr>
          <w:t>206</w:t>
        </w:r>
        <w:r w:rsidR="00911EC8" w:rsidRPr="009A539C">
          <w:rPr>
            <w:b/>
            <w:noProof/>
            <w:webHidden/>
          </w:rPr>
          <w:fldChar w:fldCharType="end"/>
        </w:r>
      </w:hyperlink>
    </w:p>
    <w:p w14:paraId="0EBD44EF" w14:textId="77777777" w:rsidR="00911EC8" w:rsidRPr="009A539C" w:rsidRDefault="00E742C1">
      <w:pPr>
        <w:pStyle w:val="ndicedeilustraes"/>
        <w:tabs>
          <w:tab w:val="right" w:leader="dot" w:pos="10621"/>
        </w:tabs>
        <w:rPr>
          <w:rFonts w:eastAsiaTheme="minorEastAsia" w:cstheme="minorBidi"/>
          <w:b/>
          <w:smallCaps w:val="0"/>
          <w:noProof/>
          <w:color w:val="auto"/>
          <w:sz w:val="22"/>
          <w:szCs w:val="22"/>
          <w:lang w:eastAsia="pt-PT"/>
        </w:rPr>
      </w:pPr>
      <w:hyperlink w:anchor="_Toc45048700" w:history="1">
        <w:r w:rsidR="00911EC8" w:rsidRPr="009A539C">
          <w:rPr>
            <w:rStyle w:val="Hiperligao"/>
            <w:b/>
            <w:noProof/>
          </w:rPr>
          <w:t>Anexo - Quadro 4 - PORTARIAS DE EXTENSÃO PUBLICADAS EM 2019 - Quadro síntese</w:t>
        </w:r>
        <w:r w:rsidR="00911EC8" w:rsidRPr="009A539C">
          <w:rPr>
            <w:b/>
            <w:noProof/>
            <w:webHidden/>
          </w:rPr>
          <w:tab/>
        </w:r>
        <w:r w:rsidR="00911EC8" w:rsidRPr="009A539C">
          <w:rPr>
            <w:b/>
            <w:noProof/>
            <w:webHidden/>
          </w:rPr>
          <w:fldChar w:fldCharType="begin"/>
        </w:r>
        <w:r w:rsidR="00911EC8" w:rsidRPr="009A539C">
          <w:rPr>
            <w:b/>
            <w:noProof/>
            <w:webHidden/>
          </w:rPr>
          <w:instrText xml:space="preserve"> PAGEREF _Toc45048700 \h </w:instrText>
        </w:r>
        <w:r w:rsidR="00911EC8" w:rsidRPr="009A539C">
          <w:rPr>
            <w:b/>
            <w:noProof/>
            <w:webHidden/>
          </w:rPr>
        </w:r>
        <w:r w:rsidR="00911EC8" w:rsidRPr="009A539C">
          <w:rPr>
            <w:b/>
            <w:noProof/>
            <w:webHidden/>
          </w:rPr>
          <w:fldChar w:fldCharType="separate"/>
        </w:r>
        <w:r w:rsidR="00D821DE">
          <w:rPr>
            <w:b/>
            <w:noProof/>
            <w:webHidden/>
          </w:rPr>
          <w:t>207</w:t>
        </w:r>
        <w:r w:rsidR="00911EC8" w:rsidRPr="009A539C">
          <w:rPr>
            <w:b/>
            <w:noProof/>
            <w:webHidden/>
          </w:rPr>
          <w:fldChar w:fldCharType="end"/>
        </w:r>
      </w:hyperlink>
    </w:p>
    <w:p w14:paraId="0E0A3C80" w14:textId="77777777" w:rsidR="00911EC8" w:rsidRPr="009A539C" w:rsidRDefault="00E742C1">
      <w:pPr>
        <w:pStyle w:val="ndicedeilustraes"/>
        <w:tabs>
          <w:tab w:val="right" w:leader="dot" w:pos="10621"/>
        </w:tabs>
        <w:rPr>
          <w:rFonts w:eastAsiaTheme="minorEastAsia" w:cstheme="minorBidi"/>
          <w:b/>
          <w:smallCaps w:val="0"/>
          <w:noProof/>
          <w:color w:val="auto"/>
          <w:sz w:val="22"/>
          <w:szCs w:val="22"/>
          <w:lang w:eastAsia="pt-PT"/>
        </w:rPr>
      </w:pPr>
      <w:hyperlink w:anchor="_Toc45048701" w:history="1">
        <w:r w:rsidR="00911EC8" w:rsidRPr="009A539C">
          <w:rPr>
            <w:rStyle w:val="Hiperligao"/>
            <w:b/>
            <w:noProof/>
          </w:rPr>
          <w:t xml:space="preserve">Anexo - Quadro 5 - </w:t>
        </w:r>
        <w:r w:rsidR="00911EC8" w:rsidRPr="009A539C">
          <w:rPr>
            <w:rStyle w:val="Hiperligao"/>
            <w:b/>
            <w:caps/>
            <w:noProof/>
          </w:rPr>
          <w:t xml:space="preserve">Convenções publicadas entre 2005 e 2019 </w:t>
        </w:r>
        <w:r w:rsidR="00911EC8" w:rsidRPr="009A539C">
          <w:rPr>
            <w:rStyle w:val="Hiperligao"/>
            <w:b/>
            <w:noProof/>
          </w:rPr>
          <w:t>(por tipo)</w:t>
        </w:r>
        <w:r w:rsidR="00911EC8" w:rsidRPr="009A539C">
          <w:rPr>
            <w:b/>
            <w:noProof/>
            <w:webHidden/>
          </w:rPr>
          <w:tab/>
        </w:r>
        <w:r w:rsidR="00911EC8" w:rsidRPr="009A539C">
          <w:rPr>
            <w:b/>
            <w:noProof/>
            <w:webHidden/>
          </w:rPr>
          <w:fldChar w:fldCharType="begin"/>
        </w:r>
        <w:r w:rsidR="00911EC8" w:rsidRPr="009A539C">
          <w:rPr>
            <w:b/>
            <w:noProof/>
            <w:webHidden/>
          </w:rPr>
          <w:instrText xml:space="preserve"> PAGEREF _Toc45048701 \h </w:instrText>
        </w:r>
        <w:r w:rsidR="00911EC8" w:rsidRPr="009A539C">
          <w:rPr>
            <w:b/>
            <w:noProof/>
            <w:webHidden/>
          </w:rPr>
        </w:r>
        <w:r w:rsidR="00911EC8" w:rsidRPr="009A539C">
          <w:rPr>
            <w:b/>
            <w:noProof/>
            <w:webHidden/>
          </w:rPr>
          <w:fldChar w:fldCharType="separate"/>
        </w:r>
        <w:r w:rsidR="00D821DE">
          <w:rPr>
            <w:b/>
            <w:noProof/>
            <w:webHidden/>
          </w:rPr>
          <w:t>209</w:t>
        </w:r>
        <w:r w:rsidR="00911EC8" w:rsidRPr="009A539C">
          <w:rPr>
            <w:b/>
            <w:noProof/>
            <w:webHidden/>
          </w:rPr>
          <w:fldChar w:fldCharType="end"/>
        </w:r>
      </w:hyperlink>
    </w:p>
    <w:p w14:paraId="39BFAC67" w14:textId="77777777" w:rsidR="00911EC8" w:rsidRPr="009A539C" w:rsidRDefault="00E742C1">
      <w:pPr>
        <w:pStyle w:val="ndicedeilustraes"/>
        <w:tabs>
          <w:tab w:val="right" w:leader="dot" w:pos="10621"/>
        </w:tabs>
        <w:rPr>
          <w:rFonts w:eastAsiaTheme="minorEastAsia" w:cstheme="minorBidi"/>
          <w:b/>
          <w:smallCaps w:val="0"/>
          <w:noProof/>
          <w:color w:val="auto"/>
          <w:sz w:val="22"/>
          <w:szCs w:val="22"/>
          <w:lang w:eastAsia="pt-PT"/>
        </w:rPr>
      </w:pPr>
      <w:hyperlink w:anchor="_Toc45048702" w:history="1">
        <w:r w:rsidR="00911EC8" w:rsidRPr="009A539C">
          <w:rPr>
            <w:rStyle w:val="Hiperligao"/>
            <w:b/>
            <w:noProof/>
          </w:rPr>
          <w:t>Anexo - Quadro 6 -</w:t>
        </w:r>
        <w:r w:rsidR="00911EC8" w:rsidRPr="009A539C">
          <w:rPr>
            <w:rStyle w:val="Hiperligao"/>
            <w:b/>
            <w:caps/>
            <w:noProof/>
          </w:rPr>
          <w:t xml:space="preserve">Trabalhadores abrangidos por Convenções publicadas entre 2005 e 2019  </w:t>
        </w:r>
        <w:r w:rsidR="00911EC8" w:rsidRPr="009A539C">
          <w:rPr>
            <w:rStyle w:val="Hiperligao"/>
            <w:b/>
            <w:noProof/>
          </w:rPr>
          <w:t>(por tipo)</w:t>
        </w:r>
        <w:r w:rsidR="00911EC8" w:rsidRPr="009A539C">
          <w:rPr>
            <w:b/>
            <w:noProof/>
            <w:webHidden/>
          </w:rPr>
          <w:tab/>
        </w:r>
        <w:r w:rsidR="00911EC8" w:rsidRPr="009A539C">
          <w:rPr>
            <w:b/>
            <w:noProof/>
            <w:webHidden/>
          </w:rPr>
          <w:fldChar w:fldCharType="begin"/>
        </w:r>
        <w:r w:rsidR="00911EC8" w:rsidRPr="009A539C">
          <w:rPr>
            <w:b/>
            <w:noProof/>
            <w:webHidden/>
          </w:rPr>
          <w:instrText xml:space="preserve"> PAGEREF _Toc45048702 \h </w:instrText>
        </w:r>
        <w:r w:rsidR="00911EC8" w:rsidRPr="009A539C">
          <w:rPr>
            <w:b/>
            <w:noProof/>
            <w:webHidden/>
          </w:rPr>
        </w:r>
        <w:r w:rsidR="00911EC8" w:rsidRPr="009A539C">
          <w:rPr>
            <w:b/>
            <w:noProof/>
            <w:webHidden/>
          </w:rPr>
          <w:fldChar w:fldCharType="separate"/>
        </w:r>
        <w:r w:rsidR="00D821DE">
          <w:rPr>
            <w:b/>
            <w:noProof/>
            <w:webHidden/>
          </w:rPr>
          <w:t>209</w:t>
        </w:r>
        <w:r w:rsidR="00911EC8" w:rsidRPr="009A539C">
          <w:rPr>
            <w:b/>
            <w:noProof/>
            <w:webHidden/>
          </w:rPr>
          <w:fldChar w:fldCharType="end"/>
        </w:r>
      </w:hyperlink>
    </w:p>
    <w:p w14:paraId="0945C436" w14:textId="77777777" w:rsidR="00911EC8" w:rsidRPr="009A539C" w:rsidRDefault="00E742C1">
      <w:pPr>
        <w:pStyle w:val="ndicedeilustraes"/>
        <w:tabs>
          <w:tab w:val="right" w:leader="dot" w:pos="10621"/>
        </w:tabs>
        <w:rPr>
          <w:rFonts w:eastAsiaTheme="minorEastAsia" w:cstheme="minorBidi"/>
          <w:b/>
          <w:smallCaps w:val="0"/>
          <w:noProof/>
          <w:color w:val="auto"/>
          <w:sz w:val="22"/>
          <w:szCs w:val="22"/>
          <w:lang w:eastAsia="pt-PT"/>
        </w:rPr>
      </w:pPr>
      <w:hyperlink w:anchor="_Toc45048703" w:history="1">
        <w:r w:rsidR="00911EC8" w:rsidRPr="009A539C">
          <w:rPr>
            <w:rStyle w:val="Hiperligao"/>
            <w:b/>
            <w:noProof/>
          </w:rPr>
          <w:t>Anexo - Quadro 7 - ADAPTABILIDADE E BANCO DE HORAS – Análise das convenções de 2019 relativamente à convenção anterior</w:t>
        </w:r>
        <w:r w:rsidR="00911EC8" w:rsidRPr="009A539C">
          <w:rPr>
            <w:b/>
            <w:noProof/>
            <w:webHidden/>
          </w:rPr>
          <w:tab/>
        </w:r>
        <w:r w:rsidR="00911EC8" w:rsidRPr="009A539C">
          <w:rPr>
            <w:b/>
            <w:noProof/>
            <w:webHidden/>
          </w:rPr>
          <w:fldChar w:fldCharType="begin"/>
        </w:r>
        <w:r w:rsidR="00911EC8" w:rsidRPr="009A539C">
          <w:rPr>
            <w:b/>
            <w:noProof/>
            <w:webHidden/>
          </w:rPr>
          <w:instrText xml:space="preserve"> PAGEREF _Toc45048703 \h </w:instrText>
        </w:r>
        <w:r w:rsidR="00911EC8" w:rsidRPr="009A539C">
          <w:rPr>
            <w:b/>
            <w:noProof/>
            <w:webHidden/>
          </w:rPr>
        </w:r>
        <w:r w:rsidR="00911EC8" w:rsidRPr="009A539C">
          <w:rPr>
            <w:b/>
            <w:noProof/>
            <w:webHidden/>
          </w:rPr>
          <w:fldChar w:fldCharType="separate"/>
        </w:r>
        <w:r w:rsidR="00D821DE">
          <w:rPr>
            <w:b/>
            <w:noProof/>
            <w:webHidden/>
          </w:rPr>
          <w:t>210</w:t>
        </w:r>
        <w:r w:rsidR="00911EC8" w:rsidRPr="009A539C">
          <w:rPr>
            <w:b/>
            <w:noProof/>
            <w:webHidden/>
          </w:rPr>
          <w:fldChar w:fldCharType="end"/>
        </w:r>
      </w:hyperlink>
    </w:p>
    <w:p w14:paraId="54850875" w14:textId="77777777" w:rsidR="00911EC8" w:rsidRPr="009A539C" w:rsidRDefault="00E742C1">
      <w:pPr>
        <w:pStyle w:val="ndicedeilustraes"/>
        <w:tabs>
          <w:tab w:val="right" w:leader="dot" w:pos="10621"/>
        </w:tabs>
        <w:rPr>
          <w:rFonts w:eastAsiaTheme="minorEastAsia" w:cstheme="minorBidi"/>
          <w:b/>
          <w:smallCaps w:val="0"/>
          <w:noProof/>
          <w:color w:val="auto"/>
          <w:sz w:val="22"/>
          <w:szCs w:val="22"/>
          <w:lang w:eastAsia="pt-PT"/>
        </w:rPr>
      </w:pPr>
      <w:hyperlink w:anchor="_Toc45048704" w:history="1">
        <w:r w:rsidR="00911EC8" w:rsidRPr="009A539C">
          <w:rPr>
            <w:rStyle w:val="Hiperligao"/>
            <w:b/>
            <w:noProof/>
          </w:rPr>
          <w:t>Anexo - Quadro 8 - TRABALHO SUPLEMENTAR – Análise das convenções de 2019 em relação à convenção anterior</w:t>
        </w:r>
        <w:r w:rsidR="00911EC8" w:rsidRPr="009A539C">
          <w:rPr>
            <w:b/>
            <w:noProof/>
            <w:webHidden/>
          </w:rPr>
          <w:tab/>
        </w:r>
        <w:r w:rsidR="00911EC8" w:rsidRPr="009A539C">
          <w:rPr>
            <w:b/>
            <w:noProof/>
            <w:webHidden/>
          </w:rPr>
          <w:fldChar w:fldCharType="begin"/>
        </w:r>
        <w:r w:rsidR="00911EC8" w:rsidRPr="009A539C">
          <w:rPr>
            <w:b/>
            <w:noProof/>
            <w:webHidden/>
          </w:rPr>
          <w:instrText xml:space="preserve"> PAGEREF _Toc45048704 \h </w:instrText>
        </w:r>
        <w:r w:rsidR="00911EC8" w:rsidRPr="009A539C">
          <w:rPr>
            <w:b/>
            <w:noProof/>
            <w:webHidden/>
          </w:rPr>
        </w:r>
        <w:r w:rsidR="00911EC8" w:rsidRPr="009A539C">
          <w:rPr>
            <w:b/>
            <w:noProof/>
            <w:webHidden/>
          </w:rPr>
          <w:fldChar w:fldCharType="separate"/>
        </w:r>
        <w:r w:rsidR="00D821DE">
          <w:rPr>
            <w:b/>
            <w:noProof/>
            <w:webHidden/>
          </w:rPr>
          <w:t>211</w:t>
        </w:r>
        <w:r w:rsidR="00911EC8" w:rsidRPr="009A539C">
          <w:rPr>
            <w:b/>
            <w:noProof/>
            <w:webHidden/>
          </w:rPr>
          <w:fldChar w:fldCharType="end"/>
        </w:r>
      </w:hyperlink>
    </w:p>
    <w:p w14:paraId="0EA25D3A" w14:textId="77777777" w:rsidR="00911EC8" w:rsidRPr="009A539C" w:rsidRDefault="00E742C1">
      <w:pPr>
        <w:pStyle w:val="ndicedeilustraes"/>
        <w:tabs>
          <w:tab w:val="right" w:leader="dot" w:pos="10621"/>
        </w:tabs>
        <w:rPr>
          <w:rFonts w:eastAsiaTheme="minorEastAsia" w:cstheme="minorBidi"/>
          <w:b/>
          <w:smallCaps w:val="0"/>
          <w:noProof/>
          <w:color w:val="auto"/>
          <w:sz w:val="22"/>
          <w:szCs w:val="22"/>
          <w:lang w:eastAsia="pt-PT"/>
        </w:rPr>
      </w:pPr>
      <w:hyperlink w:anchor="_Toc45048705" w:history="1">
        <w:r w:rsidR="00911EC8" w:rsidRPr="009A539C">
          <w:rPr>
            <w:rStyle w:val="Hiperligao"/>
            <w:b/>
            <w:noProof/>
          </w:rPr>
          <w:t>Anexo - Quadro 9 - TRABALHO SUPLEMENTAR –Acréscimos Remuneratórios – 2019</w:t>
        </w:r>
        <w:r w:rsidR="00911EC8" w:rsidRPr="009A539C">
          <w:rPr>
            <w:b/>
            <w:noProof/>
            <w:webHidden/>
          </w:rPr>
          <w:tab/>
        </w:r>
        <w:r w:rsidR="00911EC8" w:rsidRPr="009A539C">
          <w:rPr>
            <w:b/>
            <w:noProof/>
            <w:webHidden/>
          </w:rPr>
          <w:fldChar w:fldCharType="begin"/>
        </w:r>
        <w:r w:rsidR="00911EC8" w:rsidRPr="009A539C">
          <w:rPr>
            <w:b/>
            <w:noProof/>
            <w:webHidden/>
          </w:rPr>
          <w:instrText xml:space="preserve"> PAGEREF _Toc45048705 \h </w:instrText>
        </w:r>
        <w:r w:rsidR="00911EC8" w:rsidRPr="009A539C">
          <w:rPr>
            <w:b/>
            <w:noProof/>
            <w:webHidden/>
          </w:rPr>
        </w:r>
        <w:r w:rsidR="00911EC8" w:rsidRPr="009A539C">
          <w:rPr>
            <w:b/>
            <w:noProof/>
            <w:webHidden/>
          </w:rPr>
          <w:fldChar w:fldCharType="separate"/>
        </w:r>
        <w:r w:rsidR="00D821DE">
          <w:rPr>
            <w:b/>
            <w:noProof/>
            <w:webHidden/>
          </w:rPr>
          <w:t>213</w:t>
        </w:r>
        <w:r w:rsidR="00911EC8" w:rsidRPr="009A539C">
          <w:rPr>
            <w:b/>
            <w:noProof/>
            <w:webHidden/>
          </w:rPr>
          <w:fldChar w:fldCharType="end"/>
        </w:r>
      </w:hyperlink>
    </w:p>
    <w:p w14:paraId="05DF430E" w14:textId="77777777" w:rsidR="00911EC8" w:rsidRPr="009A539C" w:rsidRDefault="00E742C1">
      <w:pPr>
        <w:pStyle w:val="ndicedeilustraes"/>
        <w:tabs>
          <w:tab w:val="right" w:leader="dot" w:pos="10621"/>
        </w:tabs>
        <w:rPr>
          <w:rFonts w:eastAsiaTheme="minorEastAsia" w:cstheme="minorBidi"/>
          <w:b/>
          <w:smallCaps w:val="0"/>
          <w:noProof/>
          <w:color w:val="auto"/>
          <w:sz w:val="22"/>
          <w:szCs w:val="22"/>
          <w:lang w:eastAsia="pt-PT"/>
        </w:rPr>
      </w:pPr>
      <w:hyperlink w:anchor="_Toc45048706" w:history="1">
        <w:r w:rsidR="00911EC8" w:rsidRPr="009A539C">
          <w:rPr>
            <w:rStyle w:val="Hiperligao"/>
            <w:b/>
            <w:noProof/>
          </w:rPr>
          <w:t>Anexo - Quadro 10 - ISENÇÃO DE HORÁRIO – Análise das convenções de 2019 relativamente à convenção anterior</w:t>
        </w:r>
        <w:r w:rsidR="00911EC8" w:rsidRPr="009A539C">
          <w:rPr>
            <w:b/>
            <w:noProof/>
            <w:webHidden/>
          </w:rPr>
          <w:tab/>
        </w:r>
        <w:r w:rsidR="00911EC8" w:rsidRPr="009A539C">
          <w:rPr>
            <w:b/>
            <w:noProof/>
            <w:webHidden/>
          </w:rPr>
          <w:fldChar w:fldCharType="begin"/>
        </w:r>
        <w:r w:rsidR="00911EC8" w:rsidRPr="009A539C">
          <w:rPr>
            <w:b/>
            <w:noProof/>
            <w:webHidden/>
          </w:rPr>
          <w:instrText xml:space="preserve"> PAGEREF _Toc45048706 \h </w:instrText>
        </w:r>
        <w:r w:rsidR="00911EC8" w:rsidRPr="009A539C">
          <w:rPr>
            <w:b/>
            <w:noProof/>
            <w:webHidden/>
          </w:rPr>
        </w:r>
        <w:r w:rsidR="00911EC8" w:rsidRPr="009A539C">
          <w:rPr>
            <w:b/>
            <w:noProof/>
            <w:webHidden/>
          </w:rPr>
          <w:fldChar w:fldCharType="separate"/>
        </w:r>
        <w:r w:rsidR="00D821DE">
          <w:rPr>
            <w:b/>
            <w:noProof/>
            <w:webHidden/>
          </w:rPr>
          <w:t>214</w:t>
        </w:r>
        <w:r w:rsidR="00911EC8" w:rsidRPr="009A539C">
          <w:rPr>
            <w:b/>
            <w:noProof/>
            <w:webHidden/>
          </w:rPr>
          <w:fldChar w:fldCharType="end"/>
        </w:r>
      </w:hyperlink>
    </w:p>
    <w:p w14:paraId="611C206A" w14:textId="77777777" w:rsidR="00911EC8" w:rsidRPr="009A539C" w:rsidRDefault="00E742C1">
      <w:pPr>
        <w:pStyle w:val="ndicedeilustraes"/>
        <w:tabs>
          <w:tab w:val="right" w:leader="dot" w:pos="10621"/>
        </w:tabs>
        <w:rPr>
          <w:rFonts w:eastAsiaTheme="minorEastAsia" w:cstheme="minorBidi"/>
          <w:b/>
          <w:smallCaps w:val="0"/>
          <w:noProof/>
          <w:color w:val="auto"/>
          <w:sz w:val="22"/>
          <w:szCs w:val="22"/>
          <w:lang w:eastAsia="pt-PT"/>
        </w:rPr>
      </w:pPr>
      <w:hyperlink w:anchor="_Toc45048707" w:history="1">
        <w:r w:rsidR="00911EC8" w:rsidRPr="009A539C">
          <w:rPr>
            <w:rStyle w:val="Hiperligao"/>
            <w:b/>
            <w:noProof/>
          </w:rPr>
          <w:t>Anexo - Quadro 11 – HORÁRIOS FLEXÍVEIS – Análise das convenções de 2019 relativamente à convenção anterior</w:t>
        </w:r>
        <w:r w:rsidR="00911EC8" w:rsidRPr="009A539C">
          <w:rPr>
            <w:b/>
            <w:noProof/>
            <w:webHidden/>
          </w:rPr>
          <w:tab/>
        </w:r>
        <w:r w:rsidR="00911EC8" w:rsidRPr="009A539C">
          <w:rPr>
            <w:b/>
            <w:noProof/>
            <w:webHidden/>
          </w:rPr>
          <w:fldChar w:fldCharType="begin"/>
        </w:r>
        <w:r w:rsidR="00911EC8" w:rsidRPr="009A539C">
          <w:rPr>
            <w:b/>
            <w:noProof/>
            <w:webHidden/>
          </w:rPr>
          <w:instrText xml:space="preserve"> PAGEREF _Toc45048707 \h </w:instrText>
        </w:r>
        <w:r w:rsidR="00911EC8" w:rsidRPr="009A539C">
          <w:rPr>
            <w:b/>
            <w:noProof/>
            <w:webHidden/>
          </w:rPr>
        </w:r>
        <w:r w:rsidR="00911EC8" w:rsidRPr="009A539C">
          <w:rPr>
            <w:b/>
            <w:noProof/>
            <w:webHidden/>
          </w:rPr>
          <w:fldChar w:fldCharType="separate"/>
        </w:r>
        <w:r w:rsidR="00D821DE">
          <w:rPr>
            <w:b/>
            <w:noProof/>
            <w:webHidden/>
          </w:rPr>
          <w:t>215</w:t>
        </w:r>
        <w:r w:rsidR="00911EC8" w:rsidRPr="009A539C">
          <w:rPr>
            <w:b/>
            <w:noProof/>
            <w:webHidden/>
          </w:rPr>
          <w:fldChar w:fldCharType="end"/>
        </w:r>
      </w:hyperlink>
    </w:p>
    <w:p w14:paraId="0F14626B" w14:textId="77777777" w:rsidR="00911EC8" w:rsidRPr="009A539C" w:rsidRDefault="00E742C1">
      <w:pPr>
        <w:pStyle w:val="ndicedeilustraes"/>
        <w:tabs>
          <w:tab w:val="right" w:leader="dot" w:pos="10621"/>
        </w:tabs>
        <w:rPr>
          <w:rFonts w:eastAsiaTheme="minorEastAsia" w:cstheme="minorBidi"/>
          <w:b/>
          <w:smallCaps w:val="0"/>
          <w:noProof/>
          <w:color w:val="auto"/>
          <w:sz w:val="22"/>
          <w:szCs w:val="22"/>
          <w:lang w:eastAsia="pt-PT"/>
        </w:rPr>
      </w:pPr>
      <w:hyperlink w:anchor="_Toc45048708" w:history="1">
        <w:r w:rsidR="00911EC8" w:rsidRPr="009A539C">
          <w:rPr>
            <w:rStyle w:val="Hiperligao"/>
            <w:b/>
            <w:noProof/>
          </w:rPr>
          <w:t>Anexo - Quadro 12 – AVALIAÇÃO DE DESEMPENHO–convenções de 2019 relativamente à convenção anterior</w:t>
        </w:r>
        <w:r w:rsidR="00911EC8" w:rsidRPr="009A539C">
          <w:rPr>
            <w:b/>
            <w:noProof/>
            <w:webHidden/>
          </w:rPr>
          <w:tab/>
        </w:r>
        <w:r w:rsidR="00911EC8" w:rsidRPr="009A539C">
          <w:rPr>
            <w:b/>
            <w:noProof/>
            <w:webHidden/>
          </w:rPr>
          <w:fldChar w:fldCharType="begin"/>
        </w:r>
        <w:r w:rsidR="00911EC8" w:rsidRPr="009A539C">
          <w:rPr>
            <w:b/>
            <w:noProof/>
            <w:webHidden/>
          </w:rPr>
          <w:instrText xml:space="preserve"> PAGEREF _Toc45048708 \h </w:instrText>
        </w:r>
        <w:r w:rsidR="00911EC8" w:rsidRPr="009A539C">
          <w:rPr>
            <w:b/>
            <w:noProof/>
            <w:webHidden/>
          </w:rPr>
        </w:r>
        <w:r w:rsidR="00911EC8" w:rsidRPr="009A539C">
          <w:rPr>
            <w:b/>
            <w:noProof/>
            <w:webHidden/>
          </w:rPr>
          <w:fldChar w:fldCharType="separate"/>
        </w:r>
        <w:r w:rsidR="00D821DE">
          <w:rPr>
            <w:b/>
            <w:noProof/>
            <w:webHidden/>
          </w:rPr>
          <w:t>216</w:t>
        </w:r>
        <w:r w:rsidR="00911EC8" w:rsidRPr="009A539C">
          <w:rPr>
            <w:b/>
            <w:noProof/>
            <w:webHidden/>
          </w:rPr>
          <w:fldChar w:fldCharType="end"/>
        </w:r>
      </w:hyperlink>
    </w:p>
    <w:p w14:paraId="1C106988" w14:textId="77777777" w:rsidR="00911EC8" w:rsidRPr="009A539C" w:rsidRDefault="00E742C1">
      <w:pPr>
        <w:pStyle w:val="ndicedeilustraes"/>
        <w:tabs>
          <w:tab w:val="right" w:leader="dot" w:pos="10621"/>
        </w:tabs>
        <w:rPr>
          <w:rFonts w:eastAsiaTheme="minorEastAsia" w:cstheme="minorBidi"/>
          <w:b/>
          <w:smallCaps w:val="0"/>
          <w:noProof/>
          <w:color w:val="auto"/>
          <w:sz w:val="22"/>
          <w:szCs w:val="22"/>
          <w:lang w:eastAsia="pt-PT"/>
        </w:rPr>
      </w:pPr>
      <w:hyperlink w:anchor="_Toc45048709" w:history="1">
        <w:r w:rsidR="00911EC8" w:rsidRPr="009A539C">
          <w:rPr>
            <w:rStyle w:val="Hiperligao"/>
            <w:b/>
            <w:noProof/>
          </w:rPr>
          <w:t>Anexo - Quadro 13 – ATIVIDADE SINDICAL – Análise das convenções de 2019 relativamente à convenção anterior</w:t>
        </w:r>
        <w:r w:rsidR="00911EC8" w:rsidRPr="009A539C">
          <w:rPr>
            <w:b/>
            <w:noProof/>
            <w:webHidden/>
          </w:rPr>
          <w:tab/>
        </w:r>
        <w:r w:rsidR="00911EC8" w:rsidRPr="009A539C">
          <w:rPr>
            <w:b/>
            <w:noProof/>
            <w:webHidden/>
          </w:rPr>
          <w:fldChar w:fldCharType="begin"/>
        </w:r>
        <w:r w:rsidR="00911EC8" w:rsidRPr="009A539C">
          <w:rPr>
            <w:b/>
            <w:noProof/>
            <w:webHidden/>
          </w:rPr>
          <w:instrText xml:space="preserve"> PAGEREF _Toc45048709 \h </w:instrText>
        </w:r>
        <w:r w:rsidR="00911EC8" w:rsidRPr="009A539C">
          <w:rPr>
            <w:b/>
            <w:noProof/>
            <w:webHidden/>
          </w:rPr>
        </w:r>
        <w:r w:rsidR="00911EC8" w:rsidRPr="009A539C">
          <w:rPr>
            <w:b/>
            <w:noProof/>
            <w:webHidden/>
          </w:rPr>
          <w:fldChar w:fldCharType="separate"/>
        </w:r>
        <w:r w:rsidR="00D821DE">
          <w:rPr>
            <w:b/>
            <w:noProof/>
            <w:webHidden/>
          </w:rPr>
          <w:t>217</w:t>
        </w:r>
        <w:r w:rsidR="00911EC8" w:rsidRPr="009A539C">
          <w:rPr>
            <w:b/>
            <w:noProof/>
            <w:webHidden/>
          </w:rPr>
          <w:fldChar w:fldCharType="end"/>
        </w:r>
      </w:hyperlink>
    </w:p>
    <w:p w14:paraId="3CAD44E6" w14:textId="77777777" w:rsidR="00911EC8" w:rsidRPr="009A539C" w:rsidRDefault="00E742C1">
      <w:pPr>
        <w:pStyle w:val="ndicedeilustraes"/>
        <w:tabs>
          <w:tab w:val="right" w:leader="dot" w:pos="10621"/>
        </w:tabs>
        <w:rPr>
          <w:rFonts w:eastAsiaTheme="minorEastAsia" w:cstheme="minorBidi"/>
          <w:b/>
          <w:smallCaps w:val="0"/>
          <w:noProof/>
          <w:color w:val="auto"/>
          <w:sz w:val="22"/>
          <w:szCs w:val="22"/>
          <w:lang w:eastAsia="pt-PT"/>
        </w:rPr>
      </w:pPr>
      <w:hyperlink w:anchor="_Toc45048710" w:history="1">
        <w:r w:rsidR="00911EC8" w:rsidRPr="009A539C">
          <w:rPr>
            <w:rStyle w:val="Hiperligao"/>
            <w:b/>
            <w:noProof/>
          </w:rPr>
          <w:t xml:space="preserve">Anexo - Quadro 14 </w:t>
        </w:r>
        <w:r w:rsidR="00911EC8" w:rsidRPr="009A539C">
          <w:rPr>
            <w:rStyle w:val="Hiperligao"/>
            <w:rFonts w:eastAsia="Calibri" w:cstheme="minorHAnsi"/>
            <w:b/>
            <w:noProof/>
          </w:rPr>
          <w:t>- LISTAGEM DE ACRÓNIMOS E SIGLAS DE EMPREGADORES</w:t>
        </w:r>
        <w:r w:rsidR="00911EC8" w:rsidRPr="009A539C">
          <w:rPr>
            <w:b/>
            <w:noProof/>
            <w:webHidden/>
          </w:rPr>
          <w:tab/>
        </w:r>
        <w:r w:rsidR="00911EC8" w:rsidRPr="009A539C">
          <w:rPr>
            <w:b/>
            <w:noProof/>
            <w:webHidden/>
          </w:rPr>
          <w:fldChar w:fldCharType="begin"/>
        </w:r>
        <w:r w:rsidR="00911EC8" w:rsidRPr="009A539C">
          <w:rPr>
            <w:b/>
            <w:noProof/>
            <w:webHidden/>
          </w:rPr>
          <w:instrText xml:space="preserve"> PAGEREF _Toc45048710 \h </w:instrText>
        </w:r>
        <w:r w:rsidR="00911EC8" w:rsidRPr="009A539C">
          <w:rPr>
            <w:b/>
            <w:noProof/>
            <w:webHidden/>
          </w:rPr>
        </w:r>
        <w:r w:rsidR="00911EC8" w:rsidRPr="009A539C">
          <w:rPr>
            <w:b/>
            <w:noProof/>
            <w:webHidden/>
          </w:rPr>
          <w:fldChar w:fldCharType="separate"/>
        </w:r>
        <w:r w:rsidR="00D821DE">
          <w:rPr>
            <w:b/>
            <w:noProof/>
            <w:webHidden/>
          </w:rPr>
          <w:t>219</w:t>
        </w:r>
        <w:r w:rsidR="00911EC8" w:rsidRPr="009A539C">
          <w:rPr>
            <w:b/>
            <w:noProof/>
            <w:webHidden/>
          </w:rPr>
          <w:fldChar w:fldCharType="end"/>
        </w:r>
      </w:hyperlink>
    </w:p>
    <w:p w14:paraId="5E38F1C3" w14:textId="77777777" w:rsidR="00911EC8" w:rsidRPr="009A539C" w:rsidRDefault="00E742C1">
      <w:pPr>
        <w:pStyle w:val="ndicedeilustraes"/>
        <w:tabs>
          <w:tab w:val="right" w:leader="dot" w:pos="10621"/>
        </w:tabs>
        <w:rPr>
          <w:rFonts w:eastAsiaTheme="minorEastAsia" w:cstheme="minorBidi"/>
          <w:smallCaps w:val="0"/>
          <w:noProof/>
          <w:color w:val="auto"/>
          <w:sz w:val="22"/>
          <w:szCs w:val="22"/>
          <w:lang w:eastAsia="pt-PT"/>
        </w:rPr>
      </w:pPr>
      <w:hyperlink w:anchor="_Toc45048711" w:history="1">
        <w:r w:rsidR="00911EC8" w:rsidRPr="009A539C">
          <w:rPr>
            <w:rStyle w:val="Hiperligao"/>
            <w:b/>
            <w:noProof/>
          </w:rPr>
          <w:t>Anexo - Quadro 15 – LISTAGEM DE ACRÓNIMOS E SIGLAS DE ASSOCIAÇÕES SINDICAIS</w:t>
        </w:r>
        <w:r w:rsidR="00911EC8" w:rsidRPr="009A539C">
          <w:rPr>
            <w:b/>
            <w:noProof/>
            <w:webHidden/>
          </w:rPr>
          <w:tab/>
        </w:r>
        <w:r w:rsidR="00911EC8" w:rsidRPr="009A539C">
          <w:rPr>
            <w:b/>
            <w:noProof/>
            <w:webHidden/>
          </w:rPr>
          <w:fldChar w:fldCharType="begin"/>
        </w:r>
        <w:r w:rsidR="00911EC8" w:rsidRPr="009A539C">
          <w:rPr>
            <w:b/>
            <w:noProof/>
            <w:webHidden/>
          </w:rPr>
          <w:instrText xml:space="preserve"> PAGEREF _Toc45048711 \h </w:instrText>
        </w:r>
        <w:r w:rsidR="00911EC8" w:rsidRPr="009A539C">
          <w:rPr>
            <w:b/>
            <w:noProof/>
            <w:webHidden/>
          </w:rPr>
        </w:r>
        <w:r w:rsidR="00911EC8" w:rsidRPr="009A539C">
          <w:rPr>
            <w:b/>
            <w:noProof/>
            <w:webHidden/>
          </w:rPr>
          <w:fldChar w:fldCharType="separate"/>
        </w:r>
        <w:r w:rsidR="00D821DE">
          <w:rPr>
            <w:b/>
            <w:noProof/>
            <w:webHidden/>
          </w:rPr>
          <w:t>221</w:t>
        </w:r>
        <w:r w:rsidR="00911EC8" w:rsidRPr="009A539C">
          <w:rPr>
            <w:b/>
            <w:noProof/>
            <w:webHidden/>
          </w:rPr>
          <w:fldChar w:fldCharType="end"/>
        </w:r>
      </w:hyperlink>
    </w:p>
    <w:p w14:paraId="76E86BED" w14:textId="77777777" w:rsidR="003C3015" w:rsidRPr="009A539C" w:rsidRDefault="00087ECE" w:rsidP="00B90788">
      <w:pPr>
        <w:spacing w:line="360" w:lineRule="auto"/>
        <w:ind w:right="-1"/>
        <w:rPr>
          <w:b/>
        </w:rPr>
      </w:pPr>
      <w:r w:rsidRPr="009A539C">
        <w:rPr>
          <w:b/>
        </w:rPr>
        <w:fldChar w:fldCharType="end"/>
      </w:r>
    </w:p>
    <w:p w14:paraId="4D8168C5" w14:textId="77777777" w:rsidR="003C3015" w:rsidRPr="009A539C" w:rsidRDefault="003C3015" w:rsidP="00B90788">
      <w:pPr>
        <w:ind w:right="-1"/>
        <w:rPr>
          <w:b/>
        </w:rPr>
      </w:pPr>
    </w:p>
    <w:p w14:paraId="789D2933" w14:textId="77777777" w:rsidR="003C3015" w:rsidRPr="009A539C" w:rsidRDefault="003C3015" w:rsidP="00B90788">
      <w:pPr>
        <w:ind w:right="-1"/>
        <w:rPr>
          <w:b/>
        </w:rPr>
      </w:pPr>
    </w:p>
    <w:p w14:paraId="40428F59" w14:textId="77777777" w:rsidR="003C3015" w:rsidRPr="009A539C" w:rsidRDefault="003C3015" w:rsidP="00B90788">
      <w:pPr>
        <w:ind w:right="-1"/>
        <w:rPr>
          <w:b/>
        </w:rPr>
      </w:pPr>
    </w:p>
    <w:p w14:paraId="5482330E" w14:textId="77777777" w:rsidR="003C3015" w:rsidRPr="009A539C" w:rsidRDefault="003C3015" w:rsidP="00B90788">
      <w:pPr>
        <w:ind w:right="-1"/>
        <w:rPr>
          <w:b/>
        </w:rPr>
      </w:pPr>
    </w:p>
    <w:p w14:paraId="76C7ACB8" w14:textId="77777777" w:rsidR="00C27346" w:rsidRPr="009A539C" w:rsidRDefault="00C27346" w:rsidP="00C27346">
      <w:pPr>
        <w:rPr>
          <w:b/>
        </w:rPr>
      </w:pPr>
    </w:p>
    <w:p w14:paraId="653A036E" w14:textId="77777777" w:rsidR="00C27346" w:rsidRPr="009A539C" w:rsidRDefault="00C27346" w:rsidP="00C27346">
      <w:pPr>
        <w:rPr>
          <w:b/>
        </w:rPr>
      </w:pPr>
    </w:p>
    <w:p w14:paraId="7DA28513" w14:textId="77777777" w:rsidR="00C27346" w:rsidRPr="009A539C" w:rsidRDefault="00C27346" w:rsidP="00C27346">
      <w:pPr>
        <w:rPr>
          <w:b/>
        </w:rPr>
      </w:pPr>
    </w:p>
    <w:p w14:paraId="5ED81C3E" w14:textId="77777777" w:rsidR="00C27346" w:rsidRPr="009A539C" w:rsidRDefault="00C27346" w:rsidP="00C27346">
      <w:pPr>
        <w:rPr>
          <w:b/>
        </w:rPr>
      </w:pPr>
    </w:p>
    <w:p w14:paraId="23C05768" w14:textId="77777777" w:rsidR="00C27346" w:rsidRPr="009A539C" w:rsidRDefault="00C27346" w:rsidP="00C27346">
      <w:pPr>
        <w:rPr>
          <w:b/>
        </w:rPr>
      </w:pPr>
    </w:p>
    <w:p w14:paraId="24E6054D" w14:textId="77777777" w:rsidR="00C27346" w:rsidRPr="009A539C" w:rsidRDefault="00C27346" w:rsidP="00C27346">
      <w:pPr>
        <w:rPr>
          <w:b/>
        </w:rPr>
      </w:pPr>
    </w:p>
    <w:p w14:paraId="2766309E" w14:textId="77777777" w:rsidR="00C27346" w:rsidRPr="009A539C" w:rsidRDefault="00C27346" w:rsidP="00C27346">
      <w:pPr>
        <w:rPr>
          <w:b/>
        </w:rPr>
      </w:pPr>
    </w:p>
    <w:p w14:paraId="70A8B671" w14:textId="5EF1A159" w:rsidR="00A10D63" w:rsidRPr="009A539C" w:rsidRDefault="00C27346" w:rsidP="00911EC8">
      <w:pPr>
        <w:jc w:val="center"/>
        <w:rPr>
          <w:b/>
        </w:rPr>
      </w:pPr>
      <w:bookmarkStart w:id="951" w:name="_Toc45048697"/>
      <w:r w:rsidRPr="009A539C">
        <w:rPr>
          <w:b/>
        </w:rPr>
        <w:t xml:space="preserve">Anexo - Quadro </w:t>
      </w:r>
      <w:r w:rsidRPr="009A539C">
        <w:rPr>
          <w:b/>
        </w:rPr>
        <w:fldChar w:fldCharType="begin"/>
      </w:r>
      <w:r w:rsidRPr="009A539C">
        <w:rPr>
          <w:b/>
        </w:rPr>
        <w:instrText xml:space="preserve"> SEQ Anexo_-_Quadro \* ARABIC </w:instrText>
      </w:r>
      <w:r w:rsidRPr="009A539C">
        <w:rPr>
          <w:b/>
        </w:rPr>
        <w:fldChar w:fldCharType="separate"/>
      </w:r>
      <w:r w:rsidR="00D821DE">
        <w:rPr>
          <w:b/>
          <w:noProof/>
        </w:rPr>
        <w:t>1</w:t>
      </w:r>
      <w:r w:rsidRPr="009A539C">
        <w:rPr>
          <w:b/>
        </w:rPr>
        <w:fldChar w:fldCharType="end"/>
      </w:r>
      <w:r w:rsidR="00A10D63" w:rsidRPr="009A539C">
        <w:rPr>
          <w:rFonts w:ascii="Calibri" w:eastAsia="Times New Roman" w:hAnsi="Calibri" w:cs="Calibri"/>
          <w:b/>
          <w:bCs/>
          <w:lang w:eastAsia="pt-PT"/>
        </w:rPr>
        <w:t xml:space="preserve"> </w:t>
      </w:r>
      <w:r w:rsidR="00C165C6" w:rsidRPr="009A539C">
        <w:rPr>
          <w:rFonts w:ascii="Calibri" w:eastAsia="Times New Roman" w:hAnsi="Calibri" w:cs="Calibri"/>
          <w:b/>
          <w:bCs/>
          <w:lang w:eastAsia="pt-PT"/>
        </w:rPr>
        <w:t xml:space="preserve">- </w:t>
      </w:r>
      <w:r w:rsidR="00A10D63" w:rsidRPr="009A539C">
        <w:rPr>
          <w:b/>
          <w:bCs/>
          <w:caps/>
        </w:rPr>
        <w:t>Convenções Publicadas em 2019</w:t>
      </w:r>
      <w:bookmarkEnd w:id="951"/>
    </w:p>
    <w:p w14:paraId="65E5A3C1" w14:textId="6424246B" w:rsidR="00B92698" w:rsidRPr="009A539C" w:rsidRDefault="00B92698" w:rsidP="00B92698">
      <w:pPr>
        <w:jc w:val="center"/>
      </w:pPr>
      <w:r w:rsidRPr="009A539C">
        <w:rPr>
          <w:noProof/>
          <w:lang w:eastAsia="pt-PT"/>
        </w:rPr>
        <w:drawing>
          <wp:inline distT="0" distB="0" distL="0" distR="0" wp14:anchorId="492792A7" wp14:editId="22D77279">
            <wp:extent cx="4592472" cy="7758957"/>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593907" cy="7761381"/>
                    </a:xfrm>
                    <a:prstGeom prst="rect">
                      <a:avLst/>
                    </a:prstGeom>
                    <a:noFill/>
                    <a:ln>
                      <a:noFill/>
                    </a:ln>
                  </pic:spPr>
                </pic:pic>
              </a:graphicData>
            </a:graphic>
          </wp:inline>
        </w:drawing>
      </w:r>
    </w:p>
    <w:p w14:paraId="6C2A3828" w14:textId="0904BCF8" w:rsidR="00A10D63" w:rsidRPr="009A539C" w:rsidRDefault="00B92698" w:rsidP="00B92698">
      <w:pPr>
        <w:jc w:val="center"/>
      </w:pPr>
      <w:r w:rsidRPr="009A539C">
        <w:rPr>
          <w:noProof/>
          <w:lang w:eastAsia="pt-PT"/>
        </w:rPr>
        <w:drawing>
          <wp:inline distT="0" distB="0" distL="0" distR="0" wp14:anchorId="2909FEFA" wp14:editId="01812682">
            <wp:extent cx="5329219" cy="8972550"/>
            <wp:effectExtent l="0" t="0" r="508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343635" cy="8996821"/>
                    </a:xfrm>
                    <a:prstGeom prst="rect">
                      <a:avLst/>
                    </a:prstGeom>
                    <a:noFill/>
                    <a:ln>
                      <a:noFill/>
                    </a:ln>
                  </pic:spPr>
                </pic:pic>
              </a:graphicData>
            </a:graphic>
          </wp:inline>
        </w:drawing>
      </w:r>
    </w:p>
    <w:p w14:paraId="15D23423" w14:textId="5F12084A" w:rsidR="00B92698" w:rsidRPr="009A539C" w:rsidRDefault="00B92698" w:rsidP="00B92698">
      <w:pPr>
        <w:jc w:val="center"/>
      </w:pPr>
      <w:r w:rsidRPr="009A539C">
        <w:rPr>
          <w:noProof/>
          <w:lang w:eastAsia="pt-PT"/>
        </w:rPr>
        <w:drawing>
          <wp:inline distT="0" distB="0" distL="0" distR="0" wp14:anchorId="5740EFFF" wp14:editId="38686CA8">
            <wp:extent cx="5143500" cy="8681703"/>
            <wp:effectExtent l="0" t="0" r="0" b="5715"/>
            <wp:docPr id="1165" name="Imagem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144659" cy="8683660"/>
                    </a:xfrm>
                    <a:prstGeom prst="rect">
                      <a:avLst/>
                    </a:prstGeom>
                    <a:noFill/>
                    <a:ln>
                      <a:noFill/>
                    </a:ln>
                  </pic:spPr>
                </pic:pic>
              </a:graphicData>
            </a:graphic>
          </wp:inline>
        </w:drawing>
      </w:r>
    </w:p>
    <w:p w14:paraId="191D3815" w14:textId="413A56A6" w:rsidR="00B92698" w:rsidRPr="009A539C" w:rsidRDefault="00B92698" w:rsidP="00B92698">
      <w:pPr>
        <w:jc w:val="center"/>
      </w:pPr>
      <w:r w:rsidRPr="009A539C">
        <w:rPr>
          <w:noProof/>
          <w:lang w:eastAsia="pt-PT"/>
        </w:rPr>
        <w:drawing>
          <wp:inline distT="0" distB="0" distL="0" distR="0" wp14:anchorId="4194C8FF" wp14:editId="0C02BBDA">
            <wp:extent cx="5486400" cy="8631469"/>
            <wp:effectExtent l="0" t="0" r="0" b="0"/>
            <wp:docPr id="1176" name="Imagem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503897" cy="8658996"/>
                    </a:xfrm>
                    <a:prstGeom prst="rect">
                      <a:avLst/>
                    </a:prstGeom>
                    <a:noFill/>
                    <a:ln>
                      <a:noFill/>
                    </a:ln>
                  </pic:spPr>
                </pic:pic>
              </a:graphicData>
            </a:graphic>
          </wp:inline>
        </w:drawing>
      </w:r>
    </w:p>
    <w:p w14:paraId="60D3439E" w14:textId="78C457ED" w:rsidR="00B92698" w:rsidRPr="009A539C" w:rsidRDefault="00B92698" w:rsidP="00B92698">
      <w:pPr>
        <w:jc w:val="center"/>
      </w:pPr>
      <w:r w:rsidRPr="009A539C">
        <w:rPr>
          <w:noProof/>
          <w:lang w:eastAsia="pt-PT"/>
        </w:rPr>
        <w:drawing>
          <wp:inline distT="0" distB="0" distL="0" distR="0" wp14:anchorId="5782088C" wp14:editId="57B3C742">
            <wp:extent cx="4376468" cy="8743950"/>
            <wp:effectExtent l="0" t="0" r="5080" b="0"/>
            <wp:docPr id="1177" name="Imagem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376468" cy="8743950"/>
                    </a:xfrm>
                    <a:prstGeom prst="rect">
                      <a:avLst/>
                    </a:prstGeom>
                    <a:noFill/>
                    <a:ln>
                      <a:noFill/>
                    </a:ln>
                  </pic:spPr>
                </pic:pic>
              </a:graphicData>
            </a:graphic>
          </wp:inline>
        </w:drawing>
      </w:r>
    </w:p>
    <w:p w14:paraId="3AF1323C" w14:textId="77777777" w:rsidR="00A10D63" w:rsidRPr="009A539C" w:rsidRDefault="00A10D63" w:rsidP="00B90788">
      <w:pPr>
        <w:spacing w:after="0" w:line="240" w:lineRule="auto"/>
        <w:ind w:right="-1"/>
        <w:jc w:val="center"/>
        <w:rPr>
          <w:rFonts w:ascii="Calibri" w:eastAsia="Times New Roman" w:hAnsi="Calibri" w:cs="Calibri"/>
          <w:b/>
          <w:bCs/>
          <w:color w:val="00000A"/>
          <w:lang w:eastAsia="pt-PT"/>
        </w:rPr>
      </w:pPr>
    </w:p>
    <w:p w14:paraId="52210A1A" w14:textId="77777777" w:rsidR="00A10D63" w:rsidRPr="009A539C" w:rsidRDefault="00A10D63" w:rsidP="00B90788">
      <w:pPr>
        <w:spacing w:after="0" w:line="240" w:lineRule="auto"/>
        <w:ind w:right="-1"/>
        <w:jc w:val="center"/>
        <w:rPr>
          <w:rFonts w:ascii="Calibri" w:eastAsia="Times New Roman" w:hAnsi="Calibri" w:cs="Calibri"/>
          <w:b/>
          <w:bCs/>
          <w:color w:val="00000A"/>
          <w:lang w:eastAsia="pt-PT"/>
        </w:rPr>
      </w:pPr>
    </w:p>
    <w:p w14:paraId="588D6D46" w14:textId="77777777" w:rsidR="00A10D63" w:rsidRPr="009A539C" w:rsidRDefault="00A10D63" w:rsidP="00B90788">
      <w:pPr>
        <w:spacing w:after="0" w:line="240" w:lineRule="auto"/>
        <w:ind w:right="-1"/>
        <w:jc w:val="center"/>
        <w:rPr>
          <w:rFonts w:ascii="Calibri" w:eastAsia="Times New Roman" w:hAnsi="Calibri" w:cs="Calibri"/>
          <w:b/>
          <w:bCs/>
          <w:color w:val="00000A"/>
          <w:lang w:eastAsia="pt-PT"/>
        </w:rPr>
      </w:pPr>
    </w:p>
    <w:p w14:paraId="44A5EA80" w14:textId="7EDFFD45" w:rsidR="00A10D63" w:rsidRPr="009A539C" w:rsidRDefault="00C27346" w:rsidP="00911EC8">
      <w:pPr>
        <w:pStyle w:val="Legenda"/>
        <w:jc w:val="center"/>
        <w:rPr>
          <w:color w:val="auto"/>
          <w:sz w:val="22"/>
          <w:szCs w:val="22"/>
        </w:rPr>
      </w:pPr>
      <w:bookmarkStart w:id="952" w:name="_Toc45048698"/>
      <w:r w:rsidRPr="009A539C">
        <w:rPr>
          <w:color w:val="auto"/>
          <w:sz w:val="22"/>
          <w:szCs w:val="22"/>
        </w:rPr>
        <w:t xml:space="preserve">Anexo - Quadro </w:t>
      </w:r>
      <w:r w:rsidRPr="009A539C">
        <w:rPr>
          <w:color w:val="auto"/>
          <w:sz w:val="22"/>
          <w:szCs w:val="22"/>
        </w:rPr>
        <w:fldChar w:fldCharType="begin"/>
      </w:r>
      <w:r w:rsidRPr="009A539C">
        <w:rPr>
          <w:color w:val="auto"/>
          <w:sz w:val="22"/>
          <w:szCs w:val="22"/>
        </w:rPr>
        <w:instrText xml:space="preserve"> SEQ Anexo_-_Quadro \* ARABIC </w:instrText>
      </w:r>
      <w:r w:rsidRPr="009A539C">
        <w:rPr>
          <w:color w:val="auto"/>
          <w:sz w:val="22"/>
          <w:szCs w:val="22"/>
        </w:rPr>
        <w:fldChar w:fldCharType="separate"/>
      </w:r>
      <w:r w:rsidR="00D821DE">
        <w:rPr>
          <w:noProof/>
          <w:color w:val="auto"/>
          <w:sz w:val="22"/>
          <w:szCs w:val="22"/>
        </w:rPr>
        <w:t>2</w:t>
      </w:r>
      <w:r w:rsidRPr="009A539C">
        <w:rPr>
          <w:color w:val="auto"/>
          <w:sz w:val="22"/>
          <w:szCs w:val="22"/>
        </w:rPr>
        <w:fldChar w:fldCharType="end"/>
      </w:r>
      <w:r w:rsidR="00C165C6" w:rsidRPr="009A539C">
        <w:rPr>
          <w:color w:val="auto"/>
          <w:sz w:val="22"/>
          <w:szCs w:val="22"/>
        </w:rPr>
        <w:t xml:space="preserve"> - </w:t>
      </w:r>
      <w:r w:rsidR="00A10D63" w:rsidRPr="009A539C">
        <w:rPr>
          <w:color w:val="auto"/>
          <w:sz w:val="22"/>
          <w:szCs w:val="22"/>
        </w:rPr>
        <w:t>TRABALHADORES ABRANGIDOS POR CONVENÇÕES PUBLICADAS EM 2019</w:t>
      </w:r>
      <w:bookmarkEnd w:id="952"/>
    </w:p>
    <w:p w14:paraId="2C2202B3" w14:textId="77777777" w:rsidR="00A10D63" w:rsidRPr="009A539C" w:rsidRDefault="00A10D63" w:rsidP="00B90788">
      <w:pPr>
        <w:ind w:right="-1"/>
        <w:jc w:val="center"/>
        <w:rPr>
          <w:b/>
        </w:rPr>
      </w:pPr>
      <w:r w:rsidRPr="009A539C">
        <w:rPr>
          <w:noProof/>
          <w:lang w:eastAsia="pt-PT"/>
        </w:rPr>
        <w:drawing>
          <wp:inline distT="0" distB="0" distL="0" distR="0" wp14:anchorId="31887EEC" wp14:editId="5C79EE83">
            <wp:extent cx="5760720" cy="7290816"/>
            <wp:effectExtent l="0" t="0" r="0" b="5715"/>
            <wp:docPr id="1170" name="Imagem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60720" cy="7290816"/>
                    </a:xfrm>
                    <a:prstGeom prst="rect">
                      <a:avLst/>
                    </a:prstGeom>
                    <a:noFill/>
                    <a:ln>
                      <a:noFill/>
                    </a:ln>
                  </pic:spPr>
                </pic:pic>
              </a:graphicData>
            </a:graphic>
          </wp:inline>
        </w:drawing>
      </w:r>
    </w:p>
    <w:p w14:paraId="2FCE4A78" w14:textId="77777777" w:rsidR="00A10D63" w:rsidRPr="009A539C" w:rsidRDefault="00A10D63" w:rsidP="00B90788">
      <w:pPr>
        <w:ind w:right="-1"/>
        <w:jc w:val="center"/>
        <w:rPr>
          <w:b/>
        </w:rPr>
      </w:pPr>
    </w:p>
    <w:p w14:paraId="1438729F" w14:textId="2E378463" w:rsidR="00C165C6" w:rsidRPr="009A539C" w:rsidRDefault="00C27346" w:rsidP="00911EC8">
      <w:pPr>
        <w:pStyle w:val="Legenda"/>
        <w:jc w:val="center"/>
        <w:rPr>
          <w:color w:val="auto"/>
          <w:sz w:val="22"/>
          <w:szCs w:val="22"/>
        </w:rPr>
      </w:pPr>
      <w:bookmarkStart w:id="953" w:name="_Toc45048699"/>
      <w:r w:rsidRPr="009A539C">
        <w:rPr>
          <w:color w:val="auto"/>
          <w:sz w:val="22"/>
          <w:szCs w:val="22"/>
        </w:rPr>
        <w:t xml:space="preserve">Anexo - Quadro </w:t>
      </w:r>
      <w:r w:rsidRPr="009A539C">
        <w:rPr>
          <w:color w:val="auto"/>
          <w:sz w:val="22"/>
          <w:szCs w:val="22"/>
        </w:rPr>
        <w:fldChar w:fldCharType="begin"/>
      </w:r>
      <w:r w:rsidRPr="009A539C">
        <w:rPr>
          <w:color w:val="auto"/>
          <w:sz w:val="22"/>
          <w:szCs w:val="22"/>
        </w:rPr>
        <w:instrText xml:space="preserve"> SEQ Anexo_-_Quadro \* ARABIC </w:instrText>
      </w:r>
      <w:r w:rsidRPr="009A539C">
        <w:rPr>
          <w:color w:val="auto"/>
          <w:sz w:val="22"/>
          <w:szCs w:val="22"/>
        </w:rPr>
        <w:fldChar w:fldCharType="separate"/>
      </w:r>
      <w:r w:rsidR="00D821DE">
        <w:rPr>
          <w:noProof/>
          <w:color w:val="auto"/>
          <w:sz w:val="22"/>
          <w:szCs w:val="22"/>
        </w:rPr>
        <w:t>3</w:t>
      </w:r>
      <w:r w:rsidRPr="009A539C">
        <w:rPr>
          <w:color w:val="auto"/>
          <w:sz w:val="22"/>
          <w:szCs w:val="22"/>
        </w:rPr>
        <w:fldChar w:fldCharType="end"/>
      </w:r>
      <w:r w:rsidR="00C165C6" w:rsidRPr="009A539C">
        <w:rPr>
          <w:color w:val="auto"/>
          <w:sz w:val="22"/>
          <w:szCs w:val="22"/>
        </w:rPr>
        <w:t xml:space="preserve"> - ACORDOS DE ADESÃO PUBLICADOS EM 2019 – Quadro síntese</w:t>
      </w:r>
      <w:bookmarkEnd w:id="953"/>
    </w:p>
    <w:p w14:paraId="350EA740" w14:textId="77777777" w:rsidR="00C27346" w:rsidRPr="009A539C" w:rsidRDefault="006307B3" w:rsidP="00C27346">
      <w:pPr>
        <w:ind w:right="-1"/>
        <w:jc w:val="center"/>
      </w:pPr>
      <w:r w:rsidRPr="009A539C">
        <w:rPr>
          <w:noProof/>
          <w:lang w:eastAsia="pt-PT"/>
        </w:rPr>
        <w:drawing>
          <wp:inline distT="0" distB="0" distL="0" distR="0" wp14:anchorId="4CBFFC11" wp14:editId="7C360844">
            <wp:extent cx="5680509" cy="8352000"/>
            <wp:effectExtent l="0" t="0" r="0" b="0"/>
            <wp:docPr id="1171" name="Imagem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680509" cy="8352000"/>
                    </a:xfrm>
                    <a:prstGeom prst="rect">
                      <a:avLst/>
                    </a:prstGeom>
                    <a:noFill/>
                    <a:ln>
                      <a:noFill/>
                    </a:ln>
                  </pic:spPr>
                </pic:pic>
              </a:graphicData>
            </a:graphic>
          </wp:inline>
        </w:drawing>
      </w:r>
    </w:p>
    <w:p w14:paraId="7DDAC316" w14:textId="5A69997A" w:rsidR="006307B3" w:rsidRPr="009A539C" w:rsidRDefault="00C27346" w:rsidP="00911EC8">
      <w:pPr>
        <w:pStyle w:val="Legenda"/>
        <w:jc w:val="center"/>
        <w:rPr>
          <w:color w:val="auto"/>
          <w:sz w:val="22"/>
          <w:szCs w:val="22"/>
        </w:rPr>
      </w:pPr>
      <w:bookmarkStart w:id="954" w:name="_Toc45048700"/>
      <w:r w:rsidRPr="009A539C">
        <w:rPr>
          <w:color w:val="auto"/>
          <w:sz w:val="22"/>
          <w:szCs w:val="22"/>
        </w:rPr>
        <w:t xml:space="preserve">Anexo - Quadro </w:t>
      </w:r>
      <w:r w:rsidRPr="009A539C">
        <w:rPr>
          <w:color w:val="auto"/>
          <w:sz w:val="22"/>
          <w:szCs w:val="22"/>
        </w:rPr>
        <w:fldChar w:fldCharType="begin"/>
      </w:r>
      <w:r w:rsidRPr="009A539C">
        <w:rPr>
          <w:color w:val="auto"/>
          <w:sz w:val="22"/>
          <w:szCs w:val="22"/>
        </w:rPr>
        <w:instrText xml:space="preserve"> SEQ Anexo_-_Quadro \* ARABIC </w:instrText>
      </w:r>
      <w:r w:rsidRPr="009A539C">
        <w:rPr>
          <w:color w:val="auto"/>
          <w:sz w:val="22"/>
          <w:szCs w:val="22"/>
        </w:rPr>
        <w:fldChar w:fldCharType="separate"/>
      </w:r>
      <w:r w:rsidR="00D821DE">
        <w:rPr>
          <w:noProof/>
          <w:color w:val="auto"/>
          <w:sz w:val="22"/>
          <w:szCs w:val="22"/>
        </w:rPr>
        <w:t>4</w:t>
      </w:r>
      <w:r w:rsidRPr="009A539C">
        <w:rPr>
          <w:color w:val="auto"/>
          <w:sz w:val="22"/>
          <w:szCs w:val="22"/>
        </w:rPr>
        <w:fldChar w:fldCharType="end"/>
      </w:r>
      <w:r w:rsidR="00C165C6" w:rsidRPr="009A539C">
        <w:rPr>
          <w:color w:val="auto"/>
          <w:sz w:val="22"/>
          <w:szCs w:val="22"/>
        </w:rPr>
        <w:t xml:space="preserve"> - </w:t>
      </w:r>
      <w:r w:rsidR="006307B3" w:rsidRPr="009A539C">
        <w:rPr>
          <w:color w:val="auto"/>
          <w:sz w:val="22"/>
          <w:szCs w:val="22"/>
        </w:rPr>
        <w:t>PORTARIAS DE EXTENSÃO PUBLICADAS EM 2019 - Quadro síntese</w:t>
      </w:r>
      <w:bookmarkEnd w:id="954"/>
    </w:p>
    <w:p w14:paraId="4C7B2AFD" w14:textId="77777777" w:rsidR="006307B3" w:rsidRPr="009A539C" w:rsidRDefault="006307B3" w:rsidP="00B90788">
      <w:pPr>
        <w:ind w:right="-1"/>
        <w:jc w:val="center"/>
        <w:rPr>
          <w:b/>
        </w:rPr>
      </w:pPr>
      <w:r w:rsidRPr="009A539C">
        <w:rPr>
          <w:noProof/>
          <w:lang w:eastAsia="pt-PT"/>
        </w:rPr>
        <w:drawing>
          <wp:inline distT="0" distB="0" distL="0" distR="0" wp14:anchorId="3FE80EB7" wp14:editId="44895F9E">
            <wp:extent cx="5819775" cy="8311659"/>
            <wp:effectExtent l="0" t="0" r="0" b="0"/>
            <wp:docPr id="1188" name="Imagem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823072" cy="8316368"/>
                    </a:xfrm>
                    <a:prstGeom prst="rect">
                      <a:avLst/>
                    </a:prstGeom>
                    <a:noFill/>
                    <a:ln>
                      <a:noFill/>
                    </a:ln>
                  </pic:spPr>
                </pic:pic>
              </a:graphicData>
            </a:graphic>
          </wp:inline>
        </w:drawing>
      </w:r>
    </w:p>
    <w:p w14:paraId="2C2CF976" w14:textId="77777777" w:rsidR="006307B3" w:rsidRPr="009A539C" w:rsidRDefault="006307B3" w:rsidP="00B90788">
      <w:pPr>
        <w:ind w:right="-1"/>
        <w:jc w:val="center"/>
        <w:rPr>
          <w:b/>
        </w:rPr>
      </w:pPr>
    </w:p>
    <w:p w14:paraId="546AFDA1" w14:textId="77777777" w:rsidR="006307B3" w:rsidRPr="009A539C" w:rsidRDefault="006307B3" w:rsidP="00B90788">
      <w:pPr>
        <w:ind w:right="-1"/>
        <w:jc w:val="center"/>
        <w:rPr>
          <w:b/>
        </w:rPr>
      </w:pPr>
      <w:r w:rsidRPr="009A539C">
        <w:rPr>
          <w:noProof/>
          <w:lang w:eastAsia="pt-PT"/>
        </w:rPr>
        <w:drawing>
          <wp:inline distT="0" distB="0" distL="0" distR="0" wp14:anchorId="652601C5" wp14:editId="7E1EC671">
            <wp:extent cx="5135727" cy="5422025"/>
            <wp:effectExtent l="0" t="0" r="8255" b="7620"/>
            <wp:docPr id="1189" name="Imagem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142629" cy="5429312"/>
                    </a:xfrm>
                    <a:prstGeom prst="rect">
                      <a:avLst/>
                    </a:prstGeom>
                    <a:noFill/>
                    <a:ln>
                      <a:noFill/>
                    </a:ln>
                  </pic:spPr>
                </pic:pic>
              </a:graphicData>
            </a:graphic>
          </wp:inline>
        </w:drawing>
      </w:r>
    </w:p>
    <w:p w14:paraId="2790FA8F" w14:textId="77777777" w:rsidR="006307B3" w:rsidRPr="009A539C" w:rsidRDefault="006307B3" w:rsidP="00B90788">
      <w:pPr>
        <w:ind w:right="-1"/>
        <w:jc w:val="center"/>
        <w:rPr>
          <w:b/>
        </w:rPr>
      </w:pPr>
    </w:p>
    <w:p w14:paraId="7FE8F718" w14:textId="77777777" w:rsidR="006307B3" w:rsidRPr="009A539C" w:rsidRDefault="006307B3" w:rsidP="00B90788">
      <w:pPr>
        <w:ind w:right="-1"/>
        <w:jc w:val="center"/>
        <w:rPr>
          <w:b/>
        </w:rPr>
      </w:pPr>
    </w:p>
    <w:p w14:paraId="275C47EF" w14:textId="77777777" w:rsidR="006307B3" w:rsidRPr="009A539C" w:rsidRDefault="006307B3" w:rsidP="00B90788">
      <w:pPr>
        <w:ind w:right="-1"/>
        <w:jc w:val="center"/>
        <w:rPr>
          <w:b/>
        </w:rPr>
      </w:pPr>
    </w:p>
    <w:p w14:paraId="1A406B2D" w14:textId="77777777" w:rsidR="006307B3" w:rsidRPr="009A539C" w:rsidRDefault="006307B3" w:rsidP="00B90788">
      <w:pPr>
        <w:ind w:right="-1"/>
        <w:jc w:val="center"/>
        <w:rPr>
          <w:b/>
        </w:rPr>
      </w:pPr>
    </w:p>
    <w:p w14:paraId="345C5E89" w14:textId="77777777" w:rsidR="006307B3" w:rsidRPr="009A539C" w:rsidRDefault="006307B3" w:rsidP="00B90788">
      <w:pPr>
        <w:ind w:right="-1"/>
        <w:jc w:val="center"/>
        <w:rPr>
          <w:b/>
        </w:rPr>
      </w:pPr>
    </w:p>
    <w:p w14:paraId="56A388A8" w14:textId="77777777" w:rsidR="006307B3" w:rsidRPr="009A539C" w:rsidRDefault="006307B3" w:rsidP="00B90788">
      <w:pPr>
        <w:ind w:right="-1"/>
        <w:jc w:val="center"/>
        <w:rPr>
          <w:b/>
        </w:rPr>
      </w:pPr>
    </w:p>
    <w:p w14:paraId="5ABE7B88" w14:textId="77777777" w:rsidR="006307B3" w:rsidRPr="009A539C" w:rsidRDefault="006307B3" w:rsidP="00B90788">
      <w:pPr>
        <w:ind w:right="-1"/>
        <w:jc w:val="center"/>
        <w:rPr>
          <w:b/>
        </w:rPr>
      </w:pPr>
    </w:p>
    <w:p w14:paraId="5895FCD4" w14:textId="77777777" w:rsidR="006307B3" w:rsidRPr="009A539C" w:rsidRDefault="006307B3" w:rsidP="00B90788">
      <w:pPr>
        <w:ind w:right="-1"/>
        <w:jc w:val="center"/>
        <w:rPr>
          <w:b/>
        </w:rPr>
      </w:pPr>
    </w:p>
    <w:p w14:paraId="0D11247D" w14:textId="77777777" w:rsidR="006307B3" w:rsidRPr="009A539C" w:rsidRDefault="006307B3" w:rsidP="00B90788">
      <w:pPr>
        <w:ind w:right="-1"/>
        <w:jc w:val="center"/>
        <w:rPr>
          <w:b/>
        </w:rPr>
      </w:pPr>
    </w:p>
    <w:p w14:paraId="65B19039" w14:textId="4CE0AC8C" w:rsidR="006307B3" w:rsidRPr="009A539C" w:rsidRDefault="00C27346" w:rsidP="00911EC8">
      <w:pPr>
        <w:pStyle w:val="Legenda"/>
        <w:jc w:val="center"/>
        <w:rPr>
          <w:color w:val="auto"/>
          <w:sz w:val="22"/>
          <w:szCs w:val="22"/>
        </w:rPr>
      </w:pPr>
      <w:bookmarkStart w:id="955" w:name="_Toc45048701"/>
      <w:r w:rsidRPr="009A539C">
        <w:rPr>
          <w:color w:val="auto"/>
          <w:sz w:val="22"/>
          <w:szCs w:val="22"/>
        </w:rPr>
        <w:t xml:space="preserve">Anexo - Quadro </w:t>
      </w:r>
      <w:r w:rsidRPr="009A539C">
        <w:rPr>
          <w:color w:val="auto"/>
          <w:sz w:val="22"/>
          <w:szCs w:val="22"/>
        </w:rPr>
        <w:fldChar w:fldCharType="begin"/>
      </w:r>
      <w:r w:rsidRPr="009A539C">
        <w:rPr>
          <w:color w:val="auto"/>
          <w:sz w:val="22"/>
          <w:szCs w:val="22"/>
        </w:rPr>
        <w:instrText xml:space="preserve"> SEQ Anexo_-_Quadro \* ARABIC </w:instrText>
      </w:r>
      <w:r w:rsidRPr="009A539C">
        <w:rPr>
          <w:color w:val="auto"/>
          <w:sz w:val="22"/>
          <w:szCs w:val="22"/>
        </w:rPr>
        <w:fldChar w:fldCharType="separate"/>
      </w:r>
      <w:r w:rsidR="00D821DE">
        <w:rPr>
          <w:noProof/>
          <w:color w:val="auto"/>
          <w:sz w:val="22"/>
          <w:szCs w:val="22"/>
        </w:rPr>
        <w:t>5</w:t>
      </w:r>
      <w:r w:rsidRPr="009A539C">
        <w:rPr>
          <w:color w:val="auto"/>
          <w:sz w:val="22"/>
          <w:szCs w:val="22"/>
        </w:rPr>
        <w:fldChar w:fldCharType="end"/>
      </w:r>
      <w:r w:rsidR="006307B3" w:rsidRPr="009A539C">
        <w:rPr>
          <w:color w:val="auto"/>
          <w:sz w:val="22"/>
          <w:szCs w:val="22"/>
        </w:rPr>
        <w:t xml:space="preserve"> - </w:t>
      </w:r>
      <w:r w:rsidR="006307B3" w:rsidRPr="009A539C">
        <w:rPr>
          <w:caps/>
          <w:color w:val="auto"/>
          <w:sz w:val="22"/>
          <w:szCs w:val="22"/>
        </w:rPr>
        <w:t xml:space="preserve">Convenções publicadas entre 2005 e 2019 </w:t>
      </w:r>
      <w:r w:rsidR="006307B3" w:rsidRPr="009A539C">
        <w:rPr>
          <w:color w:val="auto"/>
          <w:sz w:val="22"/>
          <w:szCs w:val="22"/>
        </w:rPr>
        <w:t>(por tipo)</w:t>
      </w:r>
      <w:bookmarkEnd w:id="955"/>
    </w:p>
    <w:p w14:paraId="67F6B91D" w14:textId="77777777" w:rsidR="006307B3" w:rsidRPr="009A539C" w:rsidRDefault="006307B3" w:rsidP="00B90788">
      <w:pPr>
        <w:ind w:right="-1"/>
        <w:jc w:val="center"/>
        <w:rPr>
          <w:b/>
        </w:rPr>
      </w:pPr>
    </w:p>
    <w:p w14:paraId="7F2888A4" w14:textId="77777777" w:rsidR="006307B3" w:rsidRPr="009A539C" w:rsidRDefault="006307B3" w:rsidP="00B90788">
      <w:pPr>
        <w:ind w:right="-1"/>
        <w:jc w:val="center"/>
        <w:rPr>
          <w:b/>
        </w:rPr>
      </w:pPr>
      <w:r w:rsidRPr="009A539C">
        <w:rPr>
          <w:noProof/>
          <w:lang w:eastAsia="pt-PT"/>
        </w:rPr>
        <w:drawing>
          <wp:inline distT="0" distB="0" distL="0" distR="0" wp14:anchorId="7DAFE21F" wp14:editId="5F82AFE1">
            <wp:extent cx="5760720" cy="1201379"/>
            <wp:effectExtent l="0" t="0" r="0" b="0"/>
            <wp:docPr id="1190" name="Imagem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60720" cy="1201379"/>
                    </a:xfrm>
                    <a:prstGeom prst="rect">
                      <a:avLst/>
                    </a:prstGeom>
                    <a:noFill/>
                    <a:ln>
                      <a:noFill/>
                    </a:ln>
                  </pic:spPr>
                </pic:pic>
              </a:graphicData>
            </a:graphic>
          </wp:inline>
        </w:drawing>
      </w:r>
    </w:p>
    <w:p w14:paraId="510EE620" w14:textId="77777777" w:rsidR="006307B3" w:rsidRPr="009A539C" w:rsidRDefault="006307B3" w:rsidP="00B90788">
      <w:pPr>
        <w:ind w:right="-1"/>
        <w:jc w:val="center"/>
        <w:rPr>
          <w:b/>
        </w:rPr>
      </w:pPr>
    </w:p>
    <w:p w14:paraId="439F3EDA" w14:textId="04865C54" w:rsidR="006307B3" w:rsidRPr="009A539C" w:rsidRDefault="00C27346" w:rsidP="00911EC8">
      <w:pPr>
        <w:pStyle w:val="Legenda"/>
        <w:jc w:val="center"/>
        <w:rPr>
          <w:color w:val="auto"/>
          <w:sz w:val="22"/>
          <w:szCs w:val="22"/>
        </w:rPr>
      </w:pPr>
      <w:bookmarkStart w:id="956" w:name="_Toc45048702"/>
      <w:r w:rsidRPr="009A539C">
        <w:rPr>
          <w:color w:val="auto"/>
          <w:sz w:val="22"/>
          <w:szCs w:val="22"/>
        </w:rPr>
        <w:t xml:space="preserve">Anexo - Quadro </w:t>
      </w:r>
      <w:r w:rsidRPr="009A539C">
        <w:rPr>
          <w:color w:val="auto"/>
          <w:sz w:val="22"/>
          <w:szCs w:val="22"/>
        </w:rPr>
        <w:fldChar w:fldCharType="begin"/>
      </w:r>
      <w:r w:rsidRPr="009A539C">
        <w:rPr>
          <w:color w:val="auto"/>
          <w:sz w:val="22"/>
          <w:szCs w:val="22"/>
        </w:rPr>
        <w:instrText xml:space="preserve"> SEQ Anexo_-_Quadro \* ARABIC </w:instrText>
      </w:r>
      <w:r w:rsidRPr="009A539C">
        <w:rPr>
          <w:color w:val="auto"/>
          <w:sz w:val="22"/>
          <w:szCs w:val="22"/>
        </w:rPr>
        <w:fldChar w:fldCharType="separate"/>
      </w:r>
      <w:r w:rsidR="00D821DE">
        <w:rPr>
          <w:noProof/>
          <w:color w:val="auto"/>
          <w:sz w:val="22"/>
          <w:szCs w:val="22"/>
        </w:rPr>
        <w:t>6</w:t>
      </w:r>
      <w:r w:rsidRPr="009A539C">
        <w:rPr>
          <w:color w:val="auto"/>
          <w:sz w:val="22"/>
          <w:szCs w:val="22"/>
        </w:rPr>
        <w:fldChar w:fldCharType="end"/>
      </w:r>
      <w:r w:rsidR="00C165C6" w:rsidRPr="009A539C">
        <w:rPr>
          <w:color w:val="auto"/>
          <w:sz w:val="22"/>
          <w:szCs w:val="22"/>
        </w:rPr>
        <w:t xml:space="preserve"> -</w:t>
      </w:r>
      <w:r w:rsidR="006307B3" w:rsidRPr="009A539C">
        <w:rPr>
          <w:caps/>
          <w:color w:val="auto"/>
          <w:sz w:val="22"/>
          <w:szCs w:val="22"/>
        </w:rPr>
        <w:t xml:space="preserve">Trabalhadores abrangidos por Convenções publicadas entre 2005 e 2019 </w:t>
      </w:r>
      <w:r w:rsidR="00087ECE" w:rsidRPr="009A539C">
        <w:rPr>
          <w:caps/>
          <w:color w:val="auto"/>
          <w:sz w:val="22"/>
          <w:szCs w:val="22"/>
        </w:rPr>
        <w:br/>
      </w:r>
      <w:r w:rsidR="006307B3" w:rsidRPr="009A539C">
        <w:rPr>
          <w:color w:val="auto"/>
          <w:sz w:val="22"/>
          <w:szCs w:val="22"/>
        </w:rPr>
        <w:t>(por tipo)</w:t>
      </w:r>
      <w:bookmarkEnd w:id="956"/>
    </w:p>
    <w:p w14:paraId="4F3B1A3F" w14:textId="77777777" w:rsidR="006307B3" w:rsidRPr="009A539C" w:rsidRDefault="006307B3" w:rsidP="00B90788">
      <w:pPr>
        <w:ind w:right="-1"/>
        <w:jc w:val="center"/>
        <w:rPr>
          <w:b/>
        </w:rPr>
      </w:pPr>
    </w:p>
    <w:p w14:paraId="296AAFB1" w14:textId="77777777" w:rsidR="00A10D63" w:rsidRPr="009A539C" w:rsidRDefault="006307B3" w:rsidP="00B90788">
      <w:pPr>
        <w:spacing w:after="0" w:line="240" w:lineRule="auto"/>
        <w:ind w:right="-1"/>
        <w:jc w:val="center"/>
        <w:rPr>
          <w:rFonts w:ascii="Calibri" w:eastAsia="Times New Roman" w:hAnsi="Calibri" w:cs="Calibri"/>
          <w:b/>
          <w:bCs/>
          <w:color w:val="00000A"/>
          <w:lang w:eastAsia="pt-PT"/>
        </w:rPr>
      </w:pPr>
      <w:r w:rsidRPr="009A539C">
        <w:rPr>
          <w:noProof/>
          <w:lang w:eastAsia="pt-PT"/>
        </w:rPr>
        <w:drawing>
          <wp:inline distT="0" distB="0" distL="0" distR="0" wp14:anchorId="33A224E1" wp14:editId="09E63588">
            <wp:extent cx="7327389" cy="1323975"/>
            <wp:effectExtent l="0" t="0" r="6985" b="0"/>
            <wp:docPr id="1191" name="Imagem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346240" cy="1327381"/>
                    </a:xfrm>
                    <a:prstGeom prst="rect">
                      <a:avLst/>
                    </a:prstGeom>
                    <a:noFill/>
                    <a:ln>
                      <a:noFill/>
                    </a:ln>
                  </pic:spPr>
                </pic:pic>
              </a:graphicData>
            </a:graphic>
          </wp:inline>
        </w:drawing>
      </w:r>
    </w:p>
    <w:p w14:paraId="7CE2D3BE" w14:textId="77777777" w:rsidR="006307B3" w:rsidRPr="009A539C" w:rsidRDefault="006307B3" w:rsidP="00B90788">
      <w:pPr>
        <w:spacing w:after="0" w:line="240" w:lineRule="auto"/>
        <w:ind w:right="-1"/>
        <w:jc w:val="center"/>
        <w:rPr>
          <w:rFonts w:ascii="Calibri" w:eastAsia="Times New Roman" w:hAnsi="Calibri" w:cs="Calibri"/>
          <w:b/>
          <w:bCs/>
          <w:color w:val="00000A"/>
          <w:lang w:eastAsia="pt-PT"/>
        </w:rPr>
      </w:pPr>
    </w:p>
    <w:p w14:paraId="24E213F1" w14:textId="77777777" w:rsidR="006307B3" w:rsidRPr="009A539C" w:rsidRDefault="006307B3" w:rsidP="00B90788">
      <w:pPr>
        <w:spacing w:after="0" w:line="240" w:lineRule="auto"/>
        <w:ind w:right="-1"/>
        <w:jc w:val="center"/>
        <w:rPr>
          <w:rFonts w:ascii="Calibri" w:eastAsia="Times New Roman" w:hAnsi="Calibri" w:cs="Calibri"/>
          <w:b/>
          <w:bCs/>
          <w:color w:val="00000A"/>
          <w:lang w:eastAsia="pt-PT"/>
        </w:rPr>
      </w:pPr>
    </w:p>
    <w:p w14:paraId="1023B808" w14:textId="77777777" w:rsidR="006307B3" w:rsidRPr="009A539C" w:rsidRDefault="006307B3" w:rsidP="00B90788">
      <w:pPr>
        <w:spacing w:after="0" w:line="240" w:lineRule="auto"/>
        <w:ind w:right="-1"/>
        <w:jc w:val="center"/>
        <w:rPr>
          <w:rFonts w:ascii="Calibri" w:eastAsia="Times New Roman" w:hAnsi="Calibri" w:cs="Calibri"/>
          <w:b/>
          <w:bCs/>
          <w:color w:val="00000A"/>
          <w:lang w:eastAsia="pt-PT"/>
        </w:rPr>
      </w:pPr>
    </w:p>
    <w:p w14:paraId="4557B637" w14:textId="77777777" w:rsidR="006307B3" w:rsidRPr="009A539C" w:rsidRDefault="006307B3" w:rsidP="00B90788">
      <w:pPr>
        <w:spacing w:after="0" w:line="240" w:lineRule="auto"/>
        <w:ind w:right="-1"/>
        <w:jc w:val="center"/>
        <w:rPr>
          <w:rFonts w:ascii="Calibri" w:eastAsia="Times New Roman" w:hAnsi="Calibri" w:cs="Calibri"/>
          <w:b/>
          <w:bCs/>
          <w:color w:val="00000A"/>
          <w:lang w:eastAsia="pt-PT"/>
        </w:rPr>
      </w:pPr>
    </w:p>
    <w:p w14:paraId="50F6355F" w14:textId="77777777" w:rsidR="006307B3" w:rsidRPr="009A539C" w:rsidRDefault="006307B3" w:rsidP="00B90788">
      <w:pPr>
        <w:spacing w:after="0" w:line="240" w:lineRule="auto"/>
        <w:ind w:right="-1"/>
        <w:jc w:val="center"/>
        <w:rPr>
          <w:rFonts w:ascii="Calibri" w:eastAsia="Times New Roman" w:hAnsi="Calibri" w:cs="Calibri"/>
          <w:b/>
          <w:bCs/>
          <w:color w:val="00000A"/>
          <w:lang w:eastAsia="pt-PT"/>
        </w:rPr>
      </w:pPr>
    </w:p>
    <w:p w14:paraId="106A4BBD" w14:textId="77777777" w:rsidR="006307B3" w:rsidRPr="009A539C" w:rsidRDefault="006307B3" w:rsidP="00B90788">
      <w:pPr>
        <w:spacing w:after="0" w:line="240" w:lineRule="auto"/>
        <w:ind w:right="-1"/>
        <w:jc w:val="center"/>
        <w:rPr>
          <w:rFonts w:ascii="Calibri" w:eastAsia="Times New Roman" w:hAnsi="Calibri" w:cs="Calibri"/>
          <w:b/>
          <w:bCs/>
          <w:color w:val="00000A"/>
          <w:lang w:eastAsia="pt-PT"/>
        </w:rPr>
      </w:pPr>
    </w:p>
    <w:p w14:paraId="58E85D69" w14:textId="77777777" w:rsidR="006307B3" w:rsidRPr="009A539C" w:rsidRDefault="006307B3" w:rsidP="00B90788">
      <w:pPr>
        <w:spacing w:after="0" w:line="240" w:lineRule="auto"/>
        <w:ind w:right="-1"/>
        <w:jc w:val="center"/>
        <w:rPr>
          <w:rFonts w:ascii="Calibri" w:eastAsia="Times New Roman" w:hAnsi="Calibri" w:cs="Calibri"/>
          <w:b/>
          <w:bCs/>
          <w:color w:val="00000A"/>
          <w:lang w:eastAsia="pt-PT"/>
        </w:rPr>
      </w:pPr>
    </w:p>
    <w:p w14:paraId="6554777C" w14:textId="77777777" w:rsidR="006307B3" w:rsidRPr="009A539C" w:rsidRDefault="006307B3" w:rsidP="00B90788">
      <w:pPr>
        <w:spacing w:after="0" w:line="240" w:lineRule="auto"/>
        <w:ind w:right="-1"/>
        <w:jc w:val="center"/>
        <w:rPr>
          <w:rFonts w:ascii="Calibri" w:eastAsia="Times New Roman" w:hAnsi="Calibri" w:cs="Calibri"/>
          <w:b/>
          <w:bCs/>
          <w:color w:val="00000A"/>
          <w:lang w:eastAsia="pt-PT"/>
        </w:rPr>
      </w:pPr>
    </w:p>
    <w:p w14:paraId="7478B0ED" w14:textId="77777777" w:rsidR="006307B3" w:rsidRPr="009A539C" w:rsidRDefault="006307B3" w:rsidP="00B90788">
      <w:pPr>
        <w:spacing w:after="0" w:line="240" w:lineRule="auto"/>
        <w:ind w:right="-1"/>
        <w:jc w:val="center"/>
        <w:rPr>
          <w:rFonts w:ascii="Calibri" w:eastAsia="Times New Roman" w:hAnsi="Calibri" w:cs="Calibri"/>
          <w:b/>
          <w:bCs/>
          <w:color w:val="00000A"/>
          <w:lang w:eastAsia="pt-PT"/>
        </w:rPr>
      </w:pPr>
    </w:p>
    <w:p w14:paraId="55286EFB" w14:textId="77777777" w:rsidR="006307B3" w:rsidRPr="009A539C" w:rsidRDefault="006307B3" w:rsidP="00B90788">
      <w:pPr>
        <w:spacing w:after="0" w:line="240" w:lineRule="auto"/>
        <w:ind w:right="-1"/>
        <w:jc w:val="center"/>
        <w:rPr>
          <w:rFonts w:ascii="Calibri" w:eastAsia="Times New Roman" w:hAnsi="Calibri" w:cs="Calibri"/>
          <w:b/>
          <w:bCs/>
          <w:color w:val="00000A"/>
          <w:lang w:eastAsia="pt-PT"/>
        </w:rPr>
      </w:pPr>
    </w:p>
    <w:p w14:paraId="0B3668D5" w14:textId="77777777" w:rsidR="006307B3" w:rsidRPr="009A539C" w:rsidRDefault="006307B3" w:rsidP="00B90788">
      <w:pPr>
        <w:spacing w:after="0" w:line="240" w:lineRule="auto"/>
        <w:ind w:right="-1"/>
        <w:jc w:val="center"/>
        <w:rPr>
          <w:rFonts w:ascii="Calibri" w:eastAsia="Times New Roman" w:hAnsi="Calibri" w:cs="Calibri"/>
          <w:b/>
          <w:bCs/>
          <w:color w:val="00000A"/>
          <w:lang w:eastAsia="pt-PT"/>
        </w:rPr>
      </w:pPr>
    </w:p>
    <w:p w14:paraId="41605818" w14:textId="77777777" w:rsidR="006307B3" w:rsidRPr="009A539C" w:rsidRDefault="006307B3" w:rsidP="00B90788">
      <w:pPr>
        <w:spacing w:after="0" w:line="240" w:lineRule="auto"/>
        <w:ind w:right="-1"/>
        <w:jc w:val="center"/>
        <w:rPr>
          <w:rFonts w:ascii="Calibri" w:eastAsia="Times New Roman" w:hAnsi="Calibri" w:cs="Calibri"/>
          <w:b/>
          <w:bCs/>
          <w:color w:val="00000A"/>
          <w:lang w:eastAsia="pt-PT"/>
        </w:rPr>
      </w:pPr>
    </w:p>
    <w:p w14:paraId="28206AB6" w14:textId="77777777" w:rsidR="006307B3" w:rsidRPr="009A539C" w:rsidRDefault="006307B3" w:rsidP="00B90788">
      <w:pPr>
        <w:spacing w:after="0" w:line="240" w:lineRule="auto"/>
        <w:ind w:right="-1"/>
        <w:jc w:val="center"/>
        <w:rPr>
          <w:rFonts w:ascii="Calibri" w:eastAsia="Times New Roman" w:hAnsi="Calibri" w:cs="Calibri"/>
          <w:b/>
          <w:bCs/>
          <w:color w:val="00000A"/>
          <w:lang w:eastAsia="pt-PT"/>
        </w:rPr>
      </w:pPr>
    </w:p>
    <w:p w14:paraId="7EAA815C" w14:textId="77777777" w:rsidR="006307B3" w:rsidRPr="009A539C" w:rsidRDefault="006307B3" w:rsidP="00B90788">
      <w:pPr>
        <w:spacing w:after="0" w:line="240" w:lineRule="auto"/>
        <w:ind w:right="-1"/>
        <w:jc w:val="center"/>
        <w:rPr>
          <w:rFonts w:ascii="Calibri" w:eastAsia="Times New Roman" w:hAnsi="Calibri" w:cs="Calibri"/>
          <w:b/>
          <w:bCs/>
          <w:color w:val="00000A"/>
          <w:lang w:eastAsia="pt-PT"/>
        </w:rPr>
      </w:pPr>
    </w:p>
    <w:p w14:paraId="6E319DEE" w14:textId="77777777" w:rsidR="006307B3" w:rsidRPr="009A539C" w:rsidRDefault="006307B3" w:rsidP="00B90788">
      <w:pPr>
        <w:spacing w:after="0" w:line="240" w:lineRule="auto"/>
        <w:ind w:right="-1"/>
        <w:jc w:val="center"/>
        <w:rPr>
          <w:rFonts w:ascii="Calibri" w:eastAsia="Times New Roman" w:hAnsi="Calibri" w:cs="Calibri"/>
          <w:b/>
          <w:bCs/>
          <w:color w:val="00000A"/>
          <w:lang w:eastAsia="pt-PT"/>
        </w:rPr>
      </w:pPr>
    </w:p>
    <w:p w14:paraId="0084A8E1" w14:textId="77777777" w:rsidR="006307B3" w:rsidRPr="009A539C" w:rsidRDefault="006307B3" w:rsidP="00B90788">
      <w:pPr>
        <w:spacing w:after="0" w:line="240" w:lineRule="auto"/>
        <w:ind w:right="-1"/>
        <w:jc w:val="center"/>
        <w:rPr>
          <w:rFonts w:ascii="Calibri" w:eastAsia="Times New Roman" w:hAnsi="Calibri" w:cs="Calibri"/>
          <w:b/>
          <w:bCs/>
          <w:color w:val="00000A"/>
          <w:lang w:eastAsia="pt-PT"/>
        </w:rPr>
      </w:pPr>
    </w:p>
    <w:p w14:paraId="7C4F6520" w14:textId="77777777" w:rsidR="006307B3" w:rsidRPr="009A539C" w:rsidRDefault="006307B3" w:rsidP="00B90788">
      <w:pPr>
        <w:spacing w:after="0" w:line="240" w:lineRule="auto"/>
        <w:ind w:right="-1"/>
        <w:jc w:val="center"/>
        <w:rPr>
          <w:rFonts w:ascii="Calibri" w:eastAsia="Times New Roman" w:hAnsi="Calibri" w:cs="Calibri"/>
          <w:b/>
          <w:bCs/>
          <w:color w:val="00000A"/>
          <w:lang w:eastAsia="pt-PT"/>
        </w:rPr>
      </w:pPr>
    </w:p>
    <w:p w14:paraId="0CE76EF8" w14:textId="77777777" w:rsidR="006307B3" w:rsidRPr="009A539C" w:rsidRDefault="006307B3" w:rsidP="00B90788">
      <w:pPr>
        <w:spacing w:after="0" w:line="240" w:lineRule="auto"/>
        <w:ind w:right="-1"/>
        <w:jc w:val="center"/>
        <w:rPr>
          <w:rFonts w:ascii="Calibri" w:eastAsia="Times New Roman" w:hAnsi="Calibri" w:cs="Calibri"/>
          <w:b/>
          <w:bCs/>
          <w:color w:val="00000A"/>
          <w:lang w:eastAsia="pt-PT"/>
        </w:rPr>
      </w:pPr>
    </w:p>
    <w:p w14:paraId="2598E627" w14:textId="77777777" w:rsidR="006307B3" w:rsidRPr="009A539C" w:rsidRDefault="006307B3" w:rsidP="00B90788">
      <w:pPr>
        <w:spacing w:after="0" w:line="240" w:lineRule="auto"/>
        <w:ind w:right="-1"/>
        <w:jc w:val="center"/>
        <w:rPr>
          <w:rFonts w:ascii="Calibri" w:eastAsia="Times New Roman" w:hAnsi="Calibri" w:cs="Calibri"/>
          <w:b/>
          <w:bCs/>
          <w:color w:val="00000A"/>
          <w:lang w:eastAsia="pt-PT"/>
        </w:rPr>
      </w:pPr>
    </w:p>
    <w:p w14:paraId="75C239A3" w14:textId="77777777" w:rsidR="006307B3" w:rsidRPr="009A539C" w:rsidRDefault="006307B3" w:rsidP="00B90788">
      <w:pPr>
        <w:spacing w:after="0" w:line="240" w:lineRule="auto"/>
        <w:ind w:right="-1"/>
        <w:jc w:val="center"/>
        <w:rPr>
          <w:rFonts w:ascii="Calibri" w:eastAsia="Times New Roman" w:hAnsi="Calibri" w:cs="Calibri"/>
          <w:b/>
          <w:bCs/>
          <w:color w:val="00000A"/>
          <w:lang w:eastAsia="pt-PT"/>
        </w:rPr>
      </w:pPr>
    </w:p>
    <w:p w14:paraId="372A0964" w14:textId="77777777" w:rsidR="006307B3" w:rsidRPr="009A539C" w:rsidRDefault="006307B3" w:rsidP="00B90788">
      <w:pPr>
        <w:spacing w:after="0" w:line="240" w:lineRule="auto"/>
        <w:ind w:right="-1"/>
        <w:jc w:val="center"/>
        <w:rPr>
          <w:rFonts w:ascii="Calibri" w:eastAsia="Times New Roman" w:hAnsi="Calibri" w:cs="Calibri"/>
          <w:b/>
          <w:bCs/>
          <w:color w:val="00000A"/>
          <w:lang w:eastAsia="pt-PT"/>
        </w:rPr>
      </w:pPr>
    </w:p>
    <w:p w14:paraId="62B71FD0" w14:textId="77777777" w:rsidR="006307B3" w:rsidRPr="009A539C" w:rsidRDefault="006307B3" w:rsidP="00B90788">
      <w:pPr>
        <w:spacing w:after="0" w:line="240" w:lineRule="auto"/>
        <w:ind w:right="-1"/>
        <w:jc w:val="center"/>
        <w:rPr>
          <w:rFonts w:ascii="Calibri" w:eastAsia="Times New Roman" w:hAnsi="Calibri" w:cs="Calibri"/>
          <w:b/>
          <w:bCs/>
          <w:color w:val="00000A"/>
          <w:lang w:eastAsia="pt-PT"/>
        </w:rPr>
      </w:pPr>
    </w:p>
    <w:p w14:paraId="264C4A47" w14:textId="77777777" w:rsidR="006307B3" w:rsidRPr="009A539C" w:rsidRDefault="006307B3" w:rsidP="00B90788">
      <w:pPr>
        <w:spacing w:after="0" w:line="240" w:lineRule="auto"/>
        <w:ind w:right="-1"/>
        <w:jc w:val="center"/>
        <w:rPr>
          <w:rFonts w:ascii="Calibri" w:eastAsia="Times New Roman" w:hAnsi="Calibri" w:cs="Calibri"/>
          <w:b/>
          <w:bCs/>
          <w:color w:val="00000A"/>
          <w:lang w:eastAsia="pt-PT"/>
        </w:rPr>
      </w:pPr>
    </w:p>
    <w:p w14:paraId="57CA45DB" w14:textId="77777777" w:rsidR="006307B3" w:rsidRPr="009A539C" w:rsidRDefault="006307B3" w:rsidP="00B90788">
      <w:pPr>
        <w:spacing w:after="0" w:line="240" w:lineRule="auto"/>
        <w:ind w:right="-1"/>
        <w:jc w:val="center"/>
        <w:rPr>
          <w:rFonts w:ascii="Calibri" w:eastAsia="Times New Roman" w:hAnsi="Calibri" w:cs="Calibri"/>
          <w:b/>
          <w:bCs/>
          <w:color w:val="00000A"/>
          <w:lang w:eastAsia="pt-PT"/>
        </w:rPr>
      </w:pPr>
    </w:p>
    <w:p w14:paraId="05E6C804" w14:textId="77777777" w:rsidR="006307B3" w:rsidRPr="009A539C" w:rsidRDefault="006307B3" w:rsidP="00B90788">
      <w:pPr>
        <w:spacing w:after="0" w:line="240" w:lineRule="auto"/>
        <w:ind w:right="-1"/>
        <w:jc w:val="center"/>
        <w:rPr>
          <w:rFonts w:ascii="Calibri" w:eastAsia="Times New Roman" w:hAnsi="Calibri" w:cs="Calibri"/>
          <w:b/>
          <w:bCs/>
          <w:color w:val="00000A"/>
          <w:lang w:eastAsia="pt-PT"/>
        </w:rPr>
      </w:pPr>
    </w:p>
    <w:p w14:paraId="0193F2AF" w14:textId="77777777" w:rsidR="006307B3" w:rsidRPr="009A539C" w:rsidRDefault="006307B3" w:rsidP="00B90788">
      <w:pPr>
        <w:spacing w:after="0" w:line="240" w:lineRule="auto"/>
        <w:ind w:right="-1"/>
        <w:jc w:val="center"/>
        <w:rPr>
          <w:rFonts w:ascii="Calibri" w:eastAsia="Times New Roman" w:hAnsi="Calibri" w:cs="Calibri"/>
          <w:b/>
          <w:bCs/>
          <w:color w:val="00000A"/>
          <w:lang w:eastAsia="pt-PT"/>
        </w:rPr>
      </w:pPr>
    </w:p>
    <w:p w14:paraId="23D1E404" w14:textId="77777777" w:rsidR="006307B3" w:rsidRPr="009A539C" w:rsidRDefault="006307B3" w:rsidP="00B90788">
      <w:pPr>
        <w:spacing w:after="0" w:line="240" w:lineRule="auto"/>
        <w:ind w:right="-1"/>
        <w:jc w:val="center"/>
        <w:rPr>
          <w:rFonts w:ascii="Calibri" w:eastAsia="Times New Roman" w:hAnsi="Calibri" w:cs="Calibri"/>
          <w:b/>
          <w:bCs/>
          <w:color w:val="00000A"/>
          <w:lang w:eastAsia="pt-PT"/>
        </w:rPr>
      </w:pPr>
    </w:p>
    <w:p w14:paraId="46252906" w14:textId="77777777" w:rsidR="006307B3" w:rsidRPr="009A539C" w:rsidRDefault="006307B3" w:rsidP="00B90788">
      <w:pPr>
        <w:spacing w:after="0" w:line="240" w:lineRule="auto"/>
        <w:ind w:right="-1"/>
        <w:jc w:val="center"/>
        <w:rPr>
          <w:rFonts w:ascii="Calibri" w:eastAsia="Times New Roman" w:hAnsi="Calibri" w:cs="Calibri"/>
          <w:b/>
          <w:bCs/>
          <w:color w:val="00000A"/>
          <w:lang w:eastAsia="pt-PT"/>
        </w:rPr>
      </w:pPr>
    </w:p>
    <w:p w14:paraId="1AA399AB" w14:textId="5B3295E2" w:rsidR="006307B3" w:rsidRPr="009A539C" w:rsidRDefault="00C27346" w:rsidP="00911EC8">
      <w:pPr>
        <w:pStyle w:val="Legenda"/>
        <w:jc w:val="center"/>
        <w:rPr>
          <w:color w:val="auto"/>
          <w:sz w:val="22"/>
          <w:szCs w:val="22"/>
        </w:rPr>
      </w:pPr>
      <w:bookmarkStart w:id="957" w:name="_Toc45048703"/>
      <w:r w:rsidRPr="009A539C">
        <w:rPr>
          <w:color w:val="auto"/>
          <w:sz w:val="22"/>
          <w:szCs w:val="22"/>
        </w:rPr>
        <w:t xml:space="preserve">Anexo - Quadro </w:t>
      </w:r>
      <w:r w:rsidRPr="009A539C">
        <w:rPr>
          <w:color w:val="auto"/>
          <w:sz w:val="22"/>
          <w:szCs w:val="22"/>
        </w:rPr>
        <w:fldChar w:fldCharType="begin"/>
      </w:r>
      <w:r w:rsidRPr="009A539C">
        <w:rPr>
          <w:color w:val="auto"/>
          <w:sz w:val="22"/>
          <w:szCs w:val="22"/>
        </w:rPr>
        <w:instrText xml:space="preserve"> SEQ Anexo_-_Quadro \* ARABIC </w:instrText>
      </w:r>
      <w:r w:rsidRPr="009A539C">
        <w:rPr>
          <w:color w:val="auto"/>
          <w:sz w:val="22"/>
          <w:szCs w:val="22"/>
        </w:rPr>
        <w:fldChar w:fldCharType="separate"/>
      </w:r>
      <w:r w:rsidR="00D821DE">
        <w:rPr>
          <w:noProof/>
          <w:color w:val="auto"/>
          <w:sz w:val="22"/>
          <w:szCs w:val="22"/>
        </w:rPr>
        <w:t>7</w:t>
      </w:r>
      <w:r w:rsidRPr="009A539C">
        <w:rPr>
          <w:color w:val="auto"/>
          <w:sz w:val="22"/>
          <w:szCs w:val="22"/>
        </w:rPr>
        <w:fldChar w:fldCharType="end"/>
      </w:r>
      <w:r w:rsidR="00C165C6" w:rsidRPr="009A539C">
        <w:rPr>
          <w:color w:val="auto"/>
          <w:sz w:val="22"/>
          <w:szCs w:val="22"/>
        </w:rPr>
        <w:t xml:space="preserve"> - </w:t>
      </w:r>
      <w:r w:rsidR="006307B3" w:rsidRPr="009A539C">
        <w:rPr>
          <w:color w:val="auto"/>
          <w:sz w:val="22"/>
          <w:szCs w:val="22"/>
        </w:rPr>
        <w:t>ADAPTABILIDADE E BANCO DE HORAS – Análise das convenções de 2019 relativamente à convenção anterior</w:t>
      </w:r>
      <w:bookmarkEnd w:id="957"/>
    </w:p>
    <w:p w14:paraId="7AAAC577" w14:textId="6225D71E" w:rsidR="00C52E27" w:rsidRPr="009A539C" w:rsidRDefault="00C52E27" w:rsidP="00C52E27">
      <w:r w:rsidRPr="009A539C">
        <w:rPr>
          <w:noProof/>
          <w:lang w:eastAsia="pt-PT"/>
        </w:rPr>
        <w:drawing>
          <wp:inline distT="0" distB="0" distL="0" distR="0" wp14:anchorId="3143544E" wp14:editId="05497429">
            <wp:extent cx="6750685" cy="4717254"/>
            <wp:effectExtent l="0" t="0" r="0" b="7620"/>
            <wp:docPr id="1157" name="Imagem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750685" cy="4717254"/>
                    </a:xfrm>
                    <a:prstGeom prst="rect">
                      <a:avLst/>
                    </a:prstGeom>
                    <a:noFill/>
                    <a:ln>
                      <a:noFill/>
                    </a:ln>
                  </pic:spPr>
                </pic:pic>
              </a:graphicData>
            </a:graphic>
          </wp:inline>
        </w:drawing>
      </w:r>
    </w:p>
    <w:p w14:paraId="2F412E29" w14:textId="1D418251" w:rsidR="00C52E27" w:rsidRPr="009A539C" w:rsidRDefault="00C52E27" w:rsidP="00C52E27"/>
    <w:p w14:paraId="7294A119" w14:textId="77777777" w:rsidR="00C52E27" w:rsidRPr="009A539C" w:rsidRDefault="00C52E27" w:rsidP="00C52E27"/>
    <w:p w14:paraId="114B060C" w14:textId="047E0E38" w:rsidR="006307B3" w:rsidRPr="009A539C" w:rsidRDefault="006307B3" w:rsidP="00B90788">
      <w:pPr>
        <w:spacing w:after="0" w:line="240" w:lineRule="auto"/>
        <w:ind w:right="-1"/>
        <w:jc w:val="center"/>
        <w:rPr>
          <w:rFonts w:ascii="Calibri" w:eastAsia="Times New Roman" w:hAnsi="Calibri" w:cs="Calibri"/>
          <w:b/>
          <w:bCs/>
          <w:color w:val="00000A"/>
          <w:lang w:eastAsia="pt-PT"/>
        </w:rPr>
      </w:pPr>
    </w:p>
    <w:p w14:paraId="0633B46F" w14:textId="77777777" w:rsidR="00A10D63" w:rsidRPr="009A539C" w:rsidRDefault="00A10D63" w:rsidP="00B90788">
      <w:pPr>
        <w:ind w:right="-1"/>
        <w:rPr>
          <w:b/>
        </w:rPr>
      </w:pPr>
    </w:p>
    <w:p w14:paraId="089DB109" w14:textId="77777777" w:rsidR="003C3015" w:rsidRPr="009A539C" w:rsidRDefault="003C3015" w:rsidP="00B90788">
      <w:pPr>
        <w:ind w:right="-1"/>
        <w:rPr>
          <w:b/>
        </w:rPr>
      </w:pPr>
    </w:p>
    <w:p w14:paraId="249D6E47" w14:textId="77777777" w:rsidR="003C3015" w:rsidRPr="009A539C" w:rsidRDefault="003C3015" w:rsidP="00B90788">
      <w:pPr>
        <w:ind w:right="-1"/>
        <w:rPr>
          <w:b/>
        </w:rPr>
      </w:pPr>
    </w:p>
    <w:p w14:paraId="469C62A0" w14:textId="77777777" w:rsidR="006307B3" w:rsidRPr="009A539C" w:rsidRDefault="006307B3" w:rsidP="00B90788">
      <w:pPr>
        <w:ind w:right="-1"/>
        <w:rPr>
          <w:b/>
        </w:rPr>
      </w:pPr>
    </w:p>
    <w:p w14:paraId="78805CE1" w14:textId="77777777" w:rsidR="006307B3" w:rsidRPr="009A539C" w:rsidRDefault="006307B3" w:rsidP="00B90788">
      <w:pPr>
        <w:ind w:right="-1"/>
        <w:rPr>
          <w:b/>
        </w:rPr>
      </w:pPr>
    </w:p>
    <w:p w14:paraId="6F780BE3" w14:textId="77777777" w:rsidR="006307B3" w:rsidRPr="009A539C" w:rsidRDefault="006307B3" w:rsidP="00B90788">
      <w:pPr>
        <w:ind w:right="-1"/>
        <w:rPr>
          <w:b/>
        </w:rPr>
      </w:pPr>
    </w:p>
    <w:p w14:paraId="6B6CEFE2" w14:textId="77777777" w:rsidR="006307B3" w:rsidRPr="009A539C" w:rsidRDefault="006307B3" w:rsidP="00B90788">
      <w:pPr>
        <w:ind w:right="-1"/>
        <w:rPr>
          <w:b/>
        </w:rPr>
      </w:pPr>
    </w:p>
    <w:p w14:paraId="4D3BAB02" w14:textId="77777777" w:rsidR="006307B3" w:rsidRPr="009A539C" w:rsidRDefault="006307B3" w:rsidP="00B90788">
      <w:pPr>
        <w:ind w:right="-1"/>
        <w:rPr>
          <w:b/>
        </w:rPr>
      </w:pPr>
    </w:p>
    <w:p w14:paraId="5E125AC0" w14:textId="52584C8B" w:rsidR="00442DCA" w:rsidRPr="009A539C" w:rsidRDefault="00C27346" w:rsidP="00911EC8">
      <w:pPr>
        <w:pStyle w:val="Legenda"/>
        <w:jc w:val="center"/>
        <w:rPr>
          <w:color w:val="auto"/>
          <w:sz w:val="22"/>
          <w:szCs w:val="22"/>
        </w:rPr>
      </w:pPr>
      <w:bookmarkStart w:id="958" w:name="_Toc45048704"/>
      <w:r w:rsidRPr="009A539C">
        <w:rPr>
          <w:color w:val="auto"/>
          <w:sz w:val="22"/>
          <w:szCs w:val="22"/>
        </w:rPr>
        <w:t xml:space="preserve">Anexo - Quadro </w:t>
      </w:r>
      <w:r w:rsidRPr="009A539C">
        <w:rPr>
          <w:color w:val="auto"/>
          <w:sz w:val="22"/>
          <w:szCs w:val="22"/>
        </w:rPr>
        <w:fldChar w:fldCharType="begin"/>
      </w:r>
      <w:r w:rsidRPr="009A539C">
        <w:rPr>
          <w:color w:val="auto"/>
          <w:sz w:val="22"/>
          <w:szCs w:val="22"/>
        </w:rPr>
        <w:instrText xml:space="preserve"> SEQ Anexo_-_Quadro \* ARABIC </w:instrText>
      </w:r>
      <w:r w:rsidRPr="009A539C">
        <w:rPr>
          <w:color w:val="auto"/>
          <w:sz w:val="22"/>
          <w:szCs w:val="22"/>
        </w:rPr>
        <w:fldChar w:fldCharType="separate"/>
      </w:r>
      <w:r w:rsidR="00D821DE">
        <w:rPr>
          <w:noProof/>
          <w:color w:val="auto"/>
          <w:sz w:val="22"/>
          <w:szCs w:val="22"/>
        </w:rPr>
        <w:t>8</w:t>
      </w:r>
      <w:r w:rsidRPr="009A539C">
        <w:rPr>
          <w:color w:val="auto"/>
          <w:sz w:val="22"/>
          <w:szCs w:val="22"/>
        </w:rPr>
        <w:fldChar w:fldCharType="end"/>
      </w:r>
      <w:r w:rsidR="00C165C6" w:rsidRPr="009A539C">
        <w:rPr>
          <w:color w:val="auto"/>
          <w:sz w:val="22"/>
          <w:szCs w:val="22"/>
        </w:rPr>
        <w:t xml:space="preserve"> - </w:t>
      </w:r>
      <w:r w:rsidR="006307B3" w:rsidRPr="009A539C">
        <w:rPr>
          <w:color w:val="auto"/>
          <w:sz w:val="22"/>
          <w:szCs w:val="22"/>
        </w:rPr>
        <w:t>TRABALHO SUPLEMENTAR – Análise das convenções de 2019 em relação à convenção anterior</w:t>
      </w:r>
      <w:bookmarkEnd w:id="958"/>
    </w:p>
    <w:p w14:paraId="2BB37A2C" w14:textId="23EC396E" w:rsidR="006307B3" w:rsidRPr="009A539C" w:rsidRDefault="003078C2" w:rsidP="00B90788">
      <w:pPr>
        <w:ind w:right="-1"/>
        <w:jc w:val="center"/>
        <w:rPr>
          <w:noProof/>
          <w:lang w:eastAsia="pt-PT"/>
        </w:rPr>
      </w:pPr>
      <w:r w:rsidRPr="009A539C">
        <w:rPr>
          <w:noProof/>
          <w:lang w:eastAsia="pt-PT"/>
        </w:rPr>
        <w:drawing>
          <wp:inline distT="0" distB="0" distL="0" distR="0" wp14:anchorId="27B4C5D4" wp14:editId="2E3D43BF">
            <wp:extent cx="6750685" cy="5923402"/>
            <wp:effectExtent l="0" t="0" r="0" b="1270"/>
            <wp:docPr id="1160" name="Imagem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750685" cy="5923402"/>
                    </a:xfrm>
                    <a:prstGeom prst="rect">
                      <a:avLst/>
                    </a:prstGeom>
                    <a:noFill/>
                    <a:ln>
                      <a:noFill/>
                    </a:ln>
                  </pic:spPr>
                </pic:pic>
              </a:graphicData>
            </a:graphic>
          </wp:inline>
        </w:drawing>
      </w:r>
    </w:p>
    <w:p w14:paraId="7F5CB2DA" w14:textId="77777777" w:rsidR="003078C2" w:rsidRPr="009A539C" w:rsidRDefault="003078C2" w:rsidP="00B90788">
      <w:pPr>
        <w:ind w:right="-1"/>
        <w:jc w:val="center"/>
        <w:rPr>
          <w:noProof/>
          <w:lang w:eastAsia="pt-PT"/>
        </w:rPr>
      </w:pPr>
    </w:p>
    <w:p w14:paraId="22464571" w14:textId="35E613AE" w:rsidR="003078C2" w:rsidRPr="009A539C" w:rsidRDefault="003078C2" w:rsidP="00B90788">
      <w:pPr>
        <w:ind w:right="-1"/>
        <w:jc w:val="center"/>
        <w:rPr>
          <w:noProof/>
          <w:lang w:eastAsia="pt-PT"/>
        </w:rPr>
      </w:pPr>
      <w:r w:rsidRPr="009A539C">
        <w:rPr>
          <w:noProof/>
          <w:lang w:eastAsia="pt-PT"/>
        </w:rPr>
        <w:drawing>
          <wp:inline distT="0" distB="0" distL="0" distR="0" wp14:anchorId="6C11A211" wp14:editId="3E8C602B">
            <wp:extent cx="6750685" cy="5885567"/>
            <wp:effectExtent l="0" t="0" r="0" b="1270"/>
            <wp:docPr id="1161" name="Imagem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750685" cy="5885567"/>
                    </a:xfrm>
                    <a:prstGeom prst="rect">
                      <a:avLst/>
                    </a:prstGeom>
                    <a:noFill/>
                    <a:ln>
                      <a:noFill/>
                    </a:ln>
                  </pic:spPr>
                </pic:pic>
              </a:graphicData>
            </a:graphic>
          </wp:inline>
        </w:drawing>
      </w:r>
    </w:p>
    <w:p w14:paraId="71C2B178" w14:textId="77777777" w:rsidR="003078C2" w:rsidRPr="009A539C" w:rsidRDefault="003078C2" w:rsidP="00B90788">
      <w:pPr>
        <w:ind w:right="-1"/>
        <w:jc w:val="center"/>
        <w:rPr>
          <w:noProof/>
          <w:lang w:eastAsia="pt-PT"/>
        </w:rPr>
      </w:pPr>
    </w:p>
    <w:p w14:paraId="551F3E3B" w14:textId="77777777" w:rsidR="003078C2" w:rsidRPr="009A539C" w:rsidRDefault="003078C2" w:rsidP="00B90788">
      <w:pPr>
        <w:ind w:right="-1"/>
        <w:jc w:val="center"/>
        <w:rPr>
          <w:noProof/>
          <w:lang w:eastAsia="pt-PT"/>
        </w:rPr>
      </w:pPr>
    </w:p>
    <w:p w14:paraId="2AA33E2B" w14:textId="77777777" w:rsidR="003078C2" w:rsidRPr="009A539C" w:rsidRDefault="003078C2" w:rsidP="00B90788">
      <w:pPr>
        <w:ind w:right="-1"/>
        <w:jc w:val="center"/>
        <w:rPr>
          <w:noProof/>
          <w:lang w:eastAsia="pt-PT"/>
        </w:rPr>
      </w:pPr>
    </w:p>
    <w:p w14:paraId="5394BE34" w14:textId="77777777" w:rsidR="003078C2" w:rsidRPr="009A539C" w:rsidRDefault="003078C2" w:rsidP="00B90788">
      <w:pPr>
        <w:ind w:right="-1"/>
        <w:jc w:val="center"/>
        <w:rPr>
          <w:noProof/>
          <w:lang w:eastAsia="pt-PT"/>
        </w:rPr>
      </w:pPr>
    </w:p>
    <w:p w14:paraId="443E4CE8" w14:textId="77777777" w:rsidR="00442DCA" w:rsidRPr="009A539C" w:rsidRDefault="00442DCA" w:rsidP="00B90788">
      <w:pPr>
        <w:ind w:right="-1"/>
        <w:jc w:val="center"/>
        <w:rPr>
          <w:noProof/>
          <w:lang w:eastAsia="pt-PT"/>
        </w:rPr>
      </w:pPr>
    </w:p>
    <w:p w14:paraId="251945A9" w14:textId="77777777" w:rsidR="00442DCA" w:rsidRPr="009A539C" w:rsidRDefault="00442DCA" w:rsidP="00B90788">
      <w:pPr>
        <w:ind w:right="-1"/>
        <w:jc w:val="center"/>
        <w:rPr>
          <w:noProof/>
          <w:lang w:eastAsia="pt-PT"/>
        </w:rPr>
      </w:pPr>
    </w:p>
    <w:p w14:paraId="55923504" w14:textId="77777777" w:rsidR="00442DCA" w:rsidRPr="009A539C" w:rsidRDefault="00442DCA" w:rsidP="00B90788">
      <w:pPr>
        <w:ind w:right="-1"/>
        <w:jc w:val="center"/>
        <w:rPr>
          <w:noProof/>
          <w:lang w:eastAsia="pt-PT"/>
        </w:rPr>
      </w:pPr>
    </w:p>
    <w:p w14:paraId="6508C560" w14:textId="77777777" w:rsidR="00442DCA" w:rsidRPr="009A539C" w:rsidRDefault="00442DCA" w:rsidP="00B90788">
      <w:pPr>
        <w:ind w:right="-1"/>
        <w:jc w:val="center"/>
        <w:rPr>
          <w:noProof/>
          <w:lang w:eastAsia="pt-PT"/>
        </w:rPr>
      </w:pPr>
    </w:p>
    <w:p w14:paraId="0C51AEC7" w14:textId="2C8774E3" w:rsidR="003078C2" w:rsidRPr="009A539C" w:rsidRDefault="00911EC8" w:rsidP="00911EC8">
      <w:pPr>
        <w:pStyle w:val="Legenda"/>
        <w:jc w:val="center"/>
        <w:rPr>
          <w:b w:val="0"/>
          <w:bCs w:val="0"/>
          <w:color w:val="auto"/>
          <w:sz w:val="22"/>
          <w:szCs w:val="22"/>
        </w:rPr>
      </w:pPr>
      <w:bookmarkStart w:id="959" w:name="_Toc45048705"/>
      <w:r w:rsidRPr="009A539C">
        <w:rPr>
          <w:color w:val="auto"/>
          <w:sz w:val="22"/>
          <w:szCs w:val="22"/>
        </w:rPr>
        <w:t xml:space="preserve">Anexo - Quadro </w:t>
      </w:r>
      <w:r w:rsidRPr="009A539C">
        <w:rPr>
          <w:color w:val="auto"/>
          <w:sz w:val="22"/>
          <w:szCs w:val="22"/>
        </w:rPr>
        <w:fldChar w:fldCharType="begin"/>
      </w:r>
      <w:r w:rsidRPr="009A539C">
        <w:rPr>
          <w:color w:val="auto"/>
          <w:sz w:val="22"/>
          <w:szCs w:val="22"/>
        </w:rPr>
        <w:instrText xml:space="preserve"> SEQ Anexo_-_Quadro \* ARABIC </w:instrText>
      </w:r>
      <w:r w:rsidRPr="009A539C">
        <w:rPr>
          <w:color w:val="auto"/>
          <w:sz w:val="22"/>
          <w:szCs w:val="22"/>
        </w:rPr>
        <w:fldChar w:fldCharType="separate"/>
      </w:r>
      <w:r w:rsidR="00D821DE">
        <w:rPr>
          <w:noProof/>
          <w:color w:val="auto"/>
          <w:sz w:val="22"/>
          <w:szCs w:val="22"/>
        </w:rPr>
        <w:t>9</w:t>
      </w:r>
      <w:r w:rsidRPr="009A539C">
        <w:rPr>
          <w:color w:val="auto"/>
          <w:sz w:val="22"/>
          <w:szCs w:val="22"/>
        </w:rPr>
        <w:fldChar w:fldCharType="end"/>
      </w:r>
      <w:r w:rsidR="00442DCA" w:rsidRPr="009A539C">
        <w:rPr>
          <w:color w:val="auto"/>
          <w:sz w:val="22"/>
          <w:szCs w:val="22"/>
        </w:rPr>
        <w:t xml:space="preserve"> - TRABALHO SUPLEMENTAR –</w:t>
      </w:r>
      <w:r w:rsidR="00442DCA" w:rsidRPr="009A539C">
        <w:rPr>
          <w:b w:val="0"/>
          <w:bCs w:val="0"/>
          <w:color w:val="auto"/>
          <w:sz w:val="22"/>
          <w:szCs w:val="22"/>
        </w:rPr>
        <w:t>Acréscimos Remuneratórios – 2019</w:t>
      </w:r>
      <w:bookmarkEnd w:id="959"/>
    </w:p>
    <w:p w14:paraId="34AAD29F" w14:textId="5F6A1AA8" w:rsidR="003078C2" w:rsidRPr="009A539C" w:rsidRDefault="00442DCA" w:rsidP="00B90788">
      <w:pPr>
        <w:ind w:right="-1"/>
        <w:jc w:val="center"/>
        <w:rPr>
          <w:noProof/>
          <w:lang w:eastAsia="pt-PT"/>
        </w:rPr>
      </w:pPr>
      <w:r w:rsidRPr="009A539C">
        <w:rPr>
          <w:noProof/>
          <w:lang w:eastAsia="pt-PT"/>
        </w:rPr>
        <w:drawing>
          <wp:inline distT="0" distB="0" distL="0" distR="0" wp14:anchorId="048D97BF" wp14:editId="61B051C8">
            <wp:extent cx="6750685" cy="5300980"/>
            <wp:effectExtent l="0" t="0" r="0" b="0"/>
            <wp:docPr id="1124" name="Imagem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750685" cy="5300980"/>
                    </a:xfrm>
                    <a:prstGeom prst="rect">
                      <a:avLst/>
                    </a:prstGeom>
                    <a:noFill/>
                    <a:ln>
                      <a:noFill/>
                    </a:ln>
                  </pic:spPr>
                </pic:pic>
              </a:graphicData>
            </a:graphic>
          </wp:inline>
        </w:drawing>
      </w:r>
    </w:p>
    <w:p w14:paraId="185EFECC" w14:textId="77777777" w:rsidR="003078C2" w:rsidRPr="009A539C" w:rsidRDefault="003078C2" w:rsidP="00B90788">
      <w:pPr>
        <w:ind w:right="-1"/>
        <w:jc w:val="center"/>
        <w:rPr>
          <w:noProof/>
          <w:lang w:eastAsia="pt-PT"/>
        </w:rPr>
      </w:pPr>
    </w:p>
    <w:p w14:paraId="36F9EBA2" w14:textId="77777777" w:rsidR="003D4234" w:rsidRPr="009A539C" w:rsidRDefault="003D4234" w:rsidP="003D4234">
      <w:pPr>
        <w:pStyle w:val="Legenda"/>
      </w:pPr>
    </w:p>
    <w:p w14:paraId="02A44D72" w14:textId="77777777" w:rsidR="00557563" w:rsidRPr="009A539C" w:rsidRDefault="00557563" w:rsidP="00557563"/>
    <w:p w14:paraId="743BBB71" w14:textId="77777777" w:rsidR="00557563" w:rsidRPr="009A539C" w:rsidRDefault="00557563" w:rsidP="00557563"/>
    <w:p w14:paraId="3292E4A0" w14:textId="77777777" w:rsidR="00557563" w:rsidRPr="009A539C" w:rsidRDefault="00557563" w:rsidP="00557563"/>
    <w:p w14:paraId="4859A15F" w14:textId="77777777" w:rsidR="00557563" w:rsidRPr="009A539C" w:rsidRDefault="00557563" w:rsidP="00557563"/>
    <w:p w14:paraId="31908BC9" w14:textId="77777777" w:rsidR="00557563" w:rsidRPr="009A539C" w:rsidRDefault="00557563" w:rsidP="00557563"/>
    <w:p w14:paraId="114F626F" w14:textId="77777777" w:rsidR="00557563" w:rsidRPr="009A539C" w:rsidRDefault="00557563" w:rsidP="00557563"/>
    <w:p w14:paraId="2D7FE995" w14:textId="77777777" w:rsidR="00557563" w:rsidRPr="009A539C" w:rsidRDefault="00557563" w:rsidP="00557563"/>
    <w:p w14:paraId="61D3EECB" w14:textId="5286635A" w:rsidR="006307B3" w:rsidRPr="009A539C" w:rsidRDefault="00911EC8" w:rsidP="00911EC8">
      <w:pPr>
        <w:pStyle w:val="Legenda"/>
        <w:jc w:val="center"/>
        <w:rPr>
          <w:color w:val="auto"/>
          <w:sz w:val="22"/>
          <w:szCs w:val="22"/>
        </w:rPr>
      </w:pPr>
      <w:bookmarkStart w:id="960" w:name="_Toc45048706"/>
      <w:r w:rsidRPr="009A539C">
        <w:rPr>
          <w:color w:val="auto"/>
          <w:sz w:val="22"/>
          <w:szCs w:val="22"/>
        </w:rPr>
        <w:t xml:space="preserve">Anexo - Quadro </w:t>
      </w:r>
      <w:r w:rsidRPr="009A539C">
        <w:rPr>
          <w:color w:val="auto"/>
          <w:sz w:val="22"/>
          <w:szCs w:val="22"/>
        </w:rPr>
        <w:fldChar w:fldCharType="begin"/>
      </w:r>
      <w:r w:rsidRPr="009A539C">
        <w:rPr>
          <w:color w:val="auto"/>
          <w:sz w:val="22"/>
          <w:szCs w:val="22"/>
        </w:rPr>
        <w:instrText xml:space="preserve"> SEQ Anexo_-_Quadro \* ARABIC </w:instrText>
      </w:r>
      <w:r w:rsidRPr="009A539C">
        <w:rPr>
          <w:color w:val="auto"/>
          <w:sz w:val="22"/>
          <w:szCs w:val="22"/>
        </w:rPr>
        <w:fldChar w:fldCharType="separate"/>
      </w:r>
      <w:r w:rsidR="00D821DE">
        <w:rPr>
          <w:noProof/>
          <w:color w:val="auto"/>
          <w:sz w:val="22"/>
          <w:szCs w:val="22"/>
        </w:rPr>
        <w:t>10</w:t>
      </w:r>
      <w:r w:rsidRPr="009A539C">
        <w:rPr>
          <w:color w:val="auto"/>
          <w:sz w:val="22"/>
          <w:szCs w:val="22"/>
        </w:rPr>
        <w:fldChar w:fldCharType="end"/>
      </w:r>
      <w:r w:rsidRPr="009A539C">
        <w:rPr>
          <w:color w:val="auto"/>
          <w:sz w:val="22"/>
          <w:szCs w:val="22"/>
        </w:rPr>
        <w:t xml:space="preserve"> </w:t>
      </w:r>
      <w:r w:rsidR="00C165C6" w:rsidRPr="009A539C">
        <w:rPr>
          <w:color w:val="auto"/>
          <w:sz w:val="22"/>
          <w:szCs w:val="22"/>
        </w:rPr>
        <w:t xml:space="preserve">- </w:t>
      </w:r>
      <w:r w:rsidR="006307B3" w:rsidRPr="009A539C">
        <w:rPr>
          <w:color w:val="auto"/>
          <w:sz w:val="22"/>
          <w:szCs w:val="22"/>
        </w:rPr>
        <w:t>ISENÇÃO DE HORÁRIO – Análise das convenções de 2019 relativamente à convenção anterior</w:t>
      </w:r>
      <w:bookmarkEnd w:id="960"/>
    </w:p>
    <w:p w14:paraId="23804575" w14:textId="0AC35935" w:rsidR="003D4234" w:rsidRPr="009A539C" w:rsidRDefault="003D4234" w:rsidP="003D4234">
      <w:pPr>
        <w:jc w:val="center"/>
      </w:pPr>
      <w:r w:rsidRPr="009A539C">
        <w:rPr>
          <w:noProof/>
          <w:lang w:eastAsia="pt-PT"/>
        </w:rPr>
        <w:drawing>
          <wp:inline distT="0" distB="0" distL="0" distR="0" wp14:anchorId="03020C40" wp14:editId="73952FC4">
            <wp:extent cx="5805233" cy="8383219"/>
            <wp:effectExtent l="0" t="0" r="508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810559" cy="8390911"/>
                    </a:xfrm>
                    <a:prstGeom prst="rect">
                      <a:avLst/>
                    </a:prstGeom>
                    <a:noFill/>
                    <a:ln>
                      <a:noFill/>
                    </a:ln>
                  </pic:spPr>
                </pic:pic>
              </a:graphicData>
            </a:graphic>
          </wp:inline>
        </w:drawing>
      </w:r>
    </w:p>
    <w:p w14:paraId="1A7CCD6C" w14:textId="3D56588E" w:rsidR="006307B3" w:rsidRPr="009A539C" w:rsidRDefault="006307B3" w:rsidP="00B90788">
      <w:pPr>
        <w:ind w:right="-1"/>
        <w:jc w:val="center"/>
        <w:rPr>
          <w:b/>
        </w:rPr>
      </w:pPr>
    </w:p>
    <w:p w14:paraId="40E15C62" w14:textId="6F6D3287" w:rsidR="006307B3" w:rsidRPr="009A539C" w:rsidRDefault="00911EC8" w:rsidP="00911EC8">
      <w:pPr>
        <w:pStyle w:val="Legenda"/>
        <w:jc w:val="center"/>
        <w:rPr>
          <w:color w:val="auto"/>
          <w:sz w:val="22"/>
          <w:szCs w:val="22"/>
        </w:rPr>
      </w:pPr>
      <w:bookmarkStart w:id="961" w:name="_Toc45048707"/>
      <w:r w:rsidRPr="009A539C">
        <w:rPr>
          <w:color w:val="auto"/>
          <w:sz w:val="22"/>
          <w:szCs w:val="22"/>
        </w:rPr>
        <w:t xml:space="preserve">Anexo - Quadro </w:t>
      </w:r>
      <w:r w:rsidRPr="009A539C">
        <w:rPr>
          <w:color w:val="auto"/>
          <w:sz w:val="22"/>
          <w:szCs w:val="22"/>
        </w:rPr>
        <w:fldChar w:fldCharType="begin"/>
      </w:r>
      <w:r w:rsidRPr="009A539C">
        <w:rPr>
          <w:color w:val="auto"/>
          <w:sz w:val="22"/>
          <w:szCs w:val="22"/>
        </w:rPr>
        <w:instrText xml:space="preserve"> SEQ Anexo_-_Quadro \* ARABIC </w:instrText>
      </w:r>
      <w:r w:rsidRPr="009A539C">
        <w:rPr>
          <w:color w:val="auto"/>
          <w:sz w:val="22"/>
          <w:szCs w:val="22"/>
        </w:rPr>
        <w:fldChar w:fldCharType="separate"/>
      </w:r>
      <w:r w:rsidR="00D821DE">
        <w:rPr>
          <w:noProof/>
          <w:color w:val="auto"/>
          <w:sz w:val="22"/>
          <w:szCs w:val="22"/>
        </w:rPr>
        <w:t>11</w:t>
      </w:r>
      <w:r w:rsidRPr="009A539C">
        <w:rPr>
          <w:color w:val="auto"/>
          <w:sz w:val="22"/>
          <w:szCs w:val="22"/>
        </w:rPr>
        <w:fldChar w:fldCharType="end"/>
      </w:r>
      <w:r w:rsidR="00C165C6" w:rsidRPr="009A539C">
        <w:rPr>
          <w:color w:val="auto"/>
          <w:sz w:val="22"/>
          <w:szCs w:val="22"/>
        </w:rPr>
        <w:t xml:space="preserve"> </w:t>
      </w:r>
      <w:r w:rsidR="006307B3" w:rsidRPr="009A539C">
        <w:rPr>
          <w:color w:val="auto"/>
          <w:sz w:val="22"/>
          <w:szCs w:val="22"/>
        </w:rPr>
        <w:t>– HORÁRIOS FLEXÍVEIS – Análise das convenções de 2019 relativamente à convenção anterior</w:t>
      </w:r>
      <w:bookmarkEnd w:id="961"/>
    </w:p>
    <w:p w14:paraId="20A205A1" w14:textId="77777777" w:rsidR="003C3015" w:rsidRPr="009A539C" w:rsidRDefault="004B5E80" w:rsidP="005D6A45">
      <w:pPr>
        <w:ind w:right="-1"/>
        <w:jc w:val="center"/>
        <w:rPr>
          <w:b/>
        </w:rPr>
      </w:pPr>
      <w:r w:rsidRPr="009A539C">
        <w:rPr>
          <w:noProof/>
          <w:lang w:eastAsia="pt-PT"/>
        </w:rPr>
        <w:drawing>
          <wp:inline distT="0" distB="0" distL="0" distR="0" wp14:anchorId="59AE98A4" wp14:editId="1A22B0CF">
            <wp:extent cx="5760720" cy="6989918"/>
            <wp:effectExtent l="0" t="0" r="0" b="1905"/>
            <wp:docPr id="1196" name="Imagem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60720" cy="6989918"/>
                    </a:xfrm>
                    <a:prstGeom prst="rect">
                      <a:avLst/>
                    </a:prstGeom>
                    <a:noFill/>
                    <a:ln>
                      <a:noFill/>
                    </a:ln>
                  </pic:spPr>
                </pic:pic>
              </a:graphicData>
            </a:graphic>
          </wp:inline>
        </w:drawing>
      </w:r>
    </w:p>
    <w:p w14:paraId="02BEA5CB" w14:textId="77777777" w:rsidR="004B5E80" w:rsidRPr="009A539C" w:rsidRDefault="004B5E80" w:rsidP="00B90788">
      <w:pPr>
        <w:ind w:right="-1"/>
        <w:jc w:val="center"/>
        <w:rPr>
          <w:b/>
        </w:rPr>
      </w:pPr>
    </w:p>
    <w:p w14:paraId="66EB07FA" w14:textId="77777777" w:rsidR="004B5E80" w:rsidRPr="009A539C" w:rsidRDefault="004B5E80" w:rsidP="00B90788">
      <w:pPr>
        <w:ind w:right="-1"/>
        <w:jc w:val="center"/>
        <w:rPr>
          <w:b/>
        </w:rPr>
      </w:pPr>
    </w:p>
    <w:p w14:paraId="5A67BAC4" w14:textId="77777777" w:rsidR="00B90788" w:rsidRPr="009A539C" w:rsidRDefault="00B90788" w:rsidP="00B90788">
      <w:pPr>
        <w:ind w:right="-1"/>
        <w:jc w:val="center"/>
        <w:rPr>
          <w:b/>
        </w:rPr>
      </w:pPr>
    </w:p>
    <w:p w14:paraId="5874E963" w14:textId="77777777" w:rsidR="004B5E80" w:rsidRPr="009A539C" w:rsidRDefault="004B5E80" w:rsidP="00B90788">
      <w:pPr>
        <w:ind w:right="-1"/>
        <w:jc w:val="center"/>
        <w:rPr>
          <w:b/>
        </w:rPr>
      </w:pPr>
    </w:p>
    <w:p w14:paraId="182A624B" w14:textId="1911BC39" w:rsidR="004B5E80" w:rsidRPr="009A539C" w:rsidRDefault="00911EC8" w:rsidP="00911EC8">
      <w:pPr>
        <w:pStyle w:val="Legenda"/>
        <w:jc w:val="center"/>
        <w:rPr>
          <w:color w:val="auto"/>
          <w:sz w:val="22"/>
          <w:szCs w:val="22"/>
        </w:rPr>
      </w:pPr>
      <w:bookmarkStart w:id="962" w:name="_Toc45048708"/>
      <w:r w:rsidRPr="009A539C">
        <w:rPr>
          <w:color w:val="auto"/>
          <w:sz w:val="22"/>
          <w:szCs w:val="22"/>
        </w:rPr>
        <w:t xml:space="preserve">Anexo - Quadro </w:t>
      </w:r>
      <w:r w:rsidRPr="009A539C">
        <w:rPr>
          <w:color w:val="auto"/>
          <w:sz w:val="22"/>
          <w:szCs w:val="22"/>
        </w:rPr>
        <w:fldChar w:fldCharType="begin"/>
      </w:r>
      <w:r w:rsidRPr="009A539C">
        <w:rPr>
          <w:color w:val="auto"/>
          <w:sz w:val="22"/>
          <w:szCs w:val="22"/>
        </w:rPr>
        <w:instrText xml:space="preserve"> SEQ Anexo_-_Quadro \* ARABIC </w:instrText>
      </w:r>
      <w:r w:rsidRPr="009A539C">
        <w:rPr>
          <w:color w:val="auto"/>
          <w:sz w:val="22"/>
          <w:szCs w:val="22"/>
        </w:rPr>
        <w:fldChar w:fldCharType="separate"/>
      </w:r>
      <w:r w:rsidR="00D821DE">
        <w:rPr>
          <w:noProof/>
          <w:color w:val="auto"/>
          <w:sz w:val="22"/>
          <w:szCs w:val="22"/>
        </w:rPr>
        <w:t>12</w:t>
      </w:r>
      <w:r w:rsidRPr="009A539C">
        <w:rPr>
          <w:color w:val="auto"/>
          <w:sz w:val="22"/>
          <w:szCs w:val="22"/>
        </w:rPr>
        <w:fldChar w:fldCharType="end"/>
      </w:r>
      <w:r w:rsidR="00C165C6" w:rsidRPr="009A539C">
        <w:rPr>
          <w:color w:val="auto"/>
          <w:sz w:val="22"/>
          <w:szCs w:val="22"/>
        </w:rPr>
        <w:t xml:space="preserve"> </w:t>
      </w:r>
      <w:r w:rsidR="004B5E80" w:rsidRPr="009A539C">
        <w:rPr>
          <w:color w:val="auto"/>
          <w:sz w:val="22"/>
          <w:szCs w:val="22"/>
        </w:rPr>
        <w:t>– AVALIAÇÃO DE DESEMPENHO–convenções de 2019 relativamente à convenção anterior</w:t>
      </w:r>
      <w:bookmarkEnd w:id="962"/>
    </w:p>
    <w:p w14:paraId="2D099D3B" w14:textId="2BF46321" w:rsidR="004B5E80" w:rsidRPr="009A539C" w:rsidRDefault="005807EC" w:rsidP="00B90788">
      <w:pPr>
        <w:ind w:right="-1"/>
        <w:jc w:val="center"/>
        <w:rPr>
          <w:b/>
        </w:rPr>
      </w:pPr>
      <w:r w:rsidRPr="009A539C">
        <w:rPr>
          <w:noProof/>
          <w:lang w:eastAsia="pt-PT"/>
        </w:rPr>
        <w:drawing>
          <wp:inline distT="0" distB="0" distL="0" distR="0" wp14:anchorId="4945F939" wp14:editId="17804EFA">
            <wp:extent cx="6750685" cy="7479063"/>
            <wp:effectExtent l="0" t="0" r="0" b="7620"/>
            <wp:docPr id="1133" name="Imagem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750685" cy="7479063"/>
                    </a:xfrm>
                    <a:prstGeom prst="rect">
                      <a:avLst/>
                    </a:prstGeom>
                    <a:noFill/>
                    <a:ln>
                      <a:noFill/>
                    </a:ln>
                  </pic:spPr>
                </pic:pic>
              </a:graphicData>
            </a:graphic>
          </wp:inline>
        </w:drawing>
      </w:r>
    </w:p>
    <w:p w14:paraId="2E79CC2B" w14:textId="77777777" w:rsidR="004B5E80" w:rsidRPr="009A539C" w:rsidRDefault="004B5E80" w:rsidP="00C0016C">
      <w:pPr>
        <w:ind w:right="-1"/>
        <w:rPr>
          <w:b/>
        </w:rPr>
      </w:pPr>
    </w:p>
    <w:p w14:paraId="119A4A77" w14:textId="6343894C" w:rsidR="004B5E80" w:rsidRPr="009A539C" w:rsidRDefault="00911EC8" w:rsidP="00911EC8">
      <w:pPr>
        <w:pStyle w:val="Legenda"/>
        <w:jc w:val="center"/>
        <w:rPr>
          <w:color w:val="auto"/>
          <w:sz w:val="22"/>
          <w:szCs w:val="22"/>
        </w:rPr>
      </w:pPr>
      <w:bookmarkStart w:id="963" w:name="_Toc45048709"/>
      <w:r w:rsidRPr="009A539C">
        <w:rPr>
          <w:color w:val="auto"/>
          <w:sz w:val="22"/>
          <w:szCs w:val="22"/>
        </w:rPr>
        <w:t xml:space="preserve">Anexo - Quadro </w:t>
      </w:r>
      <w:r w:rsidRPr="009A539C">
        <w:rPr>
          <w:color w:val="auto"/>
          <w:sz w:val="22"/>
          <w:szCs w:val="22"/>
        </w:rPr>
        <w:fldChar w:fldCharType="begin"/>
      </w:r>
      <w:r w:rsidRPr="009A539C">
        <w:rPr>
          <w:color w:val="auto"/>
          <w:sz w:val="22"/>
          <w:szCs w:val="22"/>
        </w:rPr>
        <w:instrText xml:space="preserve"> SEQ Anexo_-_Quadro \* ARABIC </w:instrText>
      </w:r>
      <w:r w:rsidRPr="009A539C">
        <w:rPr>
          <w:color w:val="auto"/>
          <w:sz w:val="22"/>
          <w:szCs w:val="22"/>
        </w:rPr>
        <w:fldChar w:fldCharType="separate"/>
      </w:r>
      <w:r w:rsidR="00D821DE">
        <w:rPr>
          <w:noProof/>
          <w:color w:val="auto"/>
          <w:sz w:val="22"/>
          <w:szCs w:val="22"/>
        </w:rPr>
        <w:t>13</w:t>
      </w:r>
      <w:r w:rsidRPr="009A539C">
        <w:rPr>
          <w:color w:val="auto"/>
          <w:sz w:val="22"/>
          <w:szCs w:val="22"/>
        </w:rPr>
        <w:fldChar w:fldCharType="end"/>
      </w:r>
      <w:r w:rsidR="00C165C6" w:rsidRPr="009A539C">
        <w:rPr>
          <w:color w:val="auto"/>
          <w:sz w:val="22"/>
          <w:szCs w:val="22"/>
        </w:rPr>
        <w:t xml:space="preserve"> </w:t>
      </w:r>
      <w:r w:rsidR="004B5E80" w:rsidRPr="009A539C">
        <w:rPr>
          <w:color w:val="auto"/>
          <w:sz w:val="22"/>
          <w:szCs w:val="22"/>
        </w:rPr>
        <w:t>– ATIVIDADE SINDICAL – Análise das convenções de 2019 relativamente à convenção anterior</w:t>
      </w:r>
      <w:bookmarkEnd w:id="963"/>
    </w:p>
    <w:p w14:paraId="3FE20186" w14:textId="07A8E4BD" w:rsidR="00C0016C" w:rsidRPr="009A539C" w:rsidRDefault="00C0016C" w:rsidP="00C0016C">
      <w:pPr>
        <w:jc w:val="center"/>
      </w:pPr>
      <w:r w:rsidRPr="009A539C">
        <w:rPr>
          <w:noProof/>
          <w:lang w:eastAsia="pt-PT"/>
        </w:rPr>
        <w:drawing>
          <wp:inline distT="0" distB="0" distL="0" distR="0" wp14:anchorId="2859D9C5" wp14:editId="48B83B2C">
            <wp:extent cx="5744726" cy="7972575"/>
            <wp:effectExtent l="0" t="0" r="8890" b="0"/>
            <wp:docPr id="1193" name="Imagem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49205" cy="7978790"/>
                    </a:xfrm>
                    <a:prstGeom prst="rect">
                      <a:avLst/>
                    </a:prstGeom>
                    <a:noFill/>
                    <a:ln>
                      <a:noFill/>
                    </a:ln>
                  </pic:spPr>
                </pic:pic>
              </a:graphicData>
            </a:graphic>
          </wp:inline>
        </w:drawing>
      </w:r>
    </w:p>
    <w:p w14:paraId="67277D96" w14:textId="77777777" w:rsidR="003C3015" w:rsidRPr="009A539C" w:rsidRDefault="003C3015" w:rsidP="00B90788">
      <w:pPr>
        <w:ind w:right="-1"/>
        <w:rPr>
          <w:b/>
        </w:rPr>
      </w:pPr>
    </w:p>
    <w:p w14:paraId="7109D2D5" w14:textId="737CC691" w:rsidR="004B5E80" w:rsidRPr="009A539C" w:rsidRDefault="006F3F4D" w:rsidP="00B90788">
      <w:pPr>
        <w:ind w:right="-1"/>
        <w:rPr>
          <w:b/>
        </w:rPr>
      </w:pPr>
      <w:r w:rsidRPr="009A539C">
        <w:rPr>
          <w:noProof/>
          <w:lang w:eastAsia="pt-PT"/>
        </w:rPr>
        <w:drawing>
          <wp:inline distT="0" distB="0" distL="0" distR="0" wp14:anchorId="487A7089" wp14:editId="6067BE6C">
            <wp:extent cx="6750685" cy="8257256"/>
            <wp:effectExtent l="0" t="0" r="0" b="0"/>
            <wp:docPr id="1194" name="Imagem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750685" cy="8257256"/>
                    </a:xfrm>
                    <a:prstGeom prst="rect">
                      <a:avLst/>
                    </a:prstGeom>
                    <a:noFill/>
                    <a:ln>
                      <a:noFill/>
                    </a:ln>
                  </pic:spPr>
                </pic:pic>
              </a:graphicData>
            </a:graphic>
          </wp:inline>
        </w:drawing>
      </w:r>
    </w:p>
    <w:p w14:paraId="20EA3270" w14:textId="77777777" w:rsidR="004B5E80" w:rsidRPr="009A539C" w:rsidRDefault="004B5E80" w:rsidP="00B90788">
      <w:pPr>
        <w:ind w:right="-1"/>
        <w:rPr>
          <w:b/>
        </w:rPr>
      </w:pPr>
    </w:p>
    <w:p w14:paraId="438CB77C" w14:textId="7527A8F5" w:rsidR="004B5E80" w:rsidRPr="009A539C" w:rsidRDefault="00911EC8" w:rsidP="00911EC8">
      <w:pPr>
        <w:pStyle w:val="Legenda"/>
        <w:jc w:val="center"/>
        <w:rPr>
          <w:rFonts w:eastAsia="Calibri" w:cstheme="minorHAnsi"/>
          <w:color w:val="auto"/>
          <w:sz w:val="22"/>
          <w:szCs w:val="22"/>
        </w:rPr>
      </w:pPr>
      <w:bookmarkStart w:id="964" w:name="_Toc45048710"/>
      <w:r w:rsidRPr="009A539C">
        <w:rPr>
          <w:color w:val="auto"/>
          <w:sz w:val="22"/>
          <w:szCs w:val="22"/>
        </w:rPr>
        <w:t xml:space="preserve">Anexo - Quadro </w:t>
      </w:r>
      <w:r w:rsidRPr="009A539C">
        <w:rPr>
          <w:color w:val="auto"/>
          <w:sz w:val="22"/>
          <w:szCs w:val="22"/>
        </w:rPr>
        <w:fldChar w:fldCharType="begin"/>
      </w:r>
      <w:r w:rsidRPr="009A539C">
        <w:rPr>
          <w:color w:val="auto"/>
          <w:sz w:val="22"/>
          <w:szCs w:val="22"/>
        </w:rPr>
        <w:instrText xml:space="preserve"> SEQ Anexo_-_Quadro \* ARABIC </w:instrText>
      </w:r>
      <w:r w:rsidRPr="009A539C">
        <w:rPr>
          <w:color w:val="auto"/>
          <w:sz w:val="22"/>
          <w:szCs w:val="22"/>
        </w:rPr>
        <w:fldChar w:fldCharType="separate"/>
      </w:r>
      <w:r w:rsidR="00D821DE">
        <w:rPr>
          <w:noProof/>
          <w:color w:val="auto"/>
          <w:sz w:val="22"/>
          <w:szCs w:val="22"/>
        </w:rPr>
        <w:t>14</w:t>
      </w:r>
      <w:r w:rsidRPr="009A539C">
        <w:rPr>
          <w:color w:val="auto"/>
          <w:sz w:val="22"/>
          <w:szCs w:val="22"/>
        </w:rPr>
        <w:fldChar w:fldCharType="end"/>
      </w:r>
      <w:r w:rsidR="00C165C6" w:rsidRPr="009A539C">
        <w:rPr>
          <w:color w:val="auto"/>
          <w:sz w:val="22"/>
          <w:szCs w:val="22"/>
        </w:rPr>
        <w:t xml:space="preserve"> </w:t>
      </w:r>
      <w:r w:rsidR="004B5E80" w:rsidRPr="009A539C">
        <w:rPr>
          <w:rFonts w:eastAsia="Calibri" w:cstheme="minorHAnsi"/>
          <w:color w:val="auto"/>
          <w:sz w:val="22"/>
          <w:szCs w:val="22"/>
        </w:rPr>
        <w:t>- LISTAGEM DE ACRÓNIMOS E SIGLAS DE EMPREGADORES</w:t>
      </w:r>
      <w:bookmarkEnd w:id="964"/>
    </w:p>
    <w:p w14:paraId="0867DA74" w14:textId="77777777" w:rsidR="004B5E80" w:rsidRPr="009A539C" w:rsidRDefault="004B5E80" w:rsidP="005D6A45">
      <w:pPr>
        <w:ind w:right="-1"/>
        <w:jc w:val="center"/>
        <w:rPr>
          <w:b/>
        </w:rPr>
      </w:pPr>
      <w:r w:rsidRPr="009A539C">
        <w:rPr>
          <w:noProof/>
          <w:lang w:eastAsia="pt-PT"/>
        </w:rPr>
        <w:drawing>
          <wp:inline distT="0" distB="0" distL="0" distR="0" wp14:anchorId="3A96AD83" wp14:editId="418B4824">
            <wp:extent cx="5760720" cy="8263640"/>
            <wp:effectExtent l="0" t="0" r="0" b="4445"/>
            <wp:docPr id="1198" name="Imagem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760720" cy="8263640"/>
                    </a:xfrm>
                    <a:prstGeom prst="rect">
                      <a:avLst/>
                    </a:prstGeom>
                    <a:noFill/>
                    <a:ln>
                      <a:noFill/>
                    </a:ln>
                  </pic:spPr>
                </pic:pic>
              </a:graphicData>
            </a:graphic>
          </wp:inline>
        </w:drawing>
      </w:r>
    </w:p>
    <w:p w14:paraId="133455C8" w14:textId="77777777" w:rsidR="004B5E80" w:rsidRPr="009A539C" w:rsidRDefault="004B5E80" w:rsidP="005D6A45">
      <w:pPr>
        <w:ind w:right="-1"/>
        <w:jc w:val="center"/>
        <w:rPr>
          <w:b/>
        </w:rPr>
      </w:pPr>
      <w:r w:rsidRPr="009A539C">
        <w:rPr>
          <w:noProof/>
          <w:lang w:eastAsia="pt-PT"/>
        </w:rPr>
        <w:drawing>
          <wp:inline distT="0" distB="0" distL="0" distR="0" wp14:anchorId="175B66D8" wp14:editId="2885372D">
            <wp:extent cx="6588719" cy="6743700"/>
            <wp:effectExtent l="0" t="0" r="0" b="0"/>
            <wp:docPr id="1199" name="Imagem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588998" cy="6743986"/>
                    </a:xfrm>
                    <a:prstGeom prst="rect">
                      <a:avLst/>
                    </a:prstGeom>
                    <a:noFill/>
                    <a:ln>
                      <a:noFill/>
                    </a:ln>
                  </pic:spPr>
                </pic:pic>
              </a:graphicData>
            </a:graphic>
          </wp:inline>
        </w:drawing>
      </w:r>
    </w:p>
    <w:p w14:paraId="59CB91A0" w14:textId="77777777" w:rsidR="004B5E80" w:rsidRPr="009A539C" w:rsidRDefault="004B5E80" w:rsidP="00B90788">
      <w:pPr>
        <w:ind w:right="-1"/>
        <w:rPr>
          <w:b/>
        </w:rPr>
      </w:pPr>
    </w:p>
    <w:p w14:paraId="719E9B43" w14:textId="77777777" w:rsidR="004B5E80" w:rsidRPr="009A539C" w:rsidRDefault="004B5E80" w:rsidP="00B90788">
      <w:pPr>
        <w:ind w:right="-1"/>
        <w:rPr>
          <w:b/>
        </w:rPr>
      </w:pPr>
    </w:p>
    <w:p w14:paraId="6CB74802" w14:textId="77777777" w:rsidR="004B5E80" w:rsidRPr="009A539C" w:rsidRDefault="004B5E80" w:rsidP="00B90788">
      <w:pPr>
        <w:ind w:right="-1"/>
        <w:rPr>
          <w:b/>
        </w:rPr>
      </w:pPr>
    </w:p>
    <w:p w14:paraId="4E525981" w14:textId="77777777" w:rsidR="004B5E80" w:rsidRPr="009A539C" w:rsidRDefault="004B5E80" w:rsidP="00B90788">
      <w:pPr>
        <w:ind w:right="-1"/>
        <w:rPr>
          <w:b/>
        </w:rPr>
      </w:pPr>
    </w:p>
    <w:p w14:paraId="48408F8A" w14:textId="77777777" w:rsidR="004B5E80" w:rsidRPr="009A539C" w:rsidRDefault="004B5E80" w:rsidP="00B90788">
      <w:pPr>
        <w:ind w:right="-1"/>
        <w:rPr>
          <w:b/>
        </w:rPr>
      </w:pPr>
    </w:p>
    <w:p w14:paraId="6FCF8DA0" w14:textId="77777777" w:rsidR="004B5E80" w:rsidRPr="009A539C" w:rsidRDefault="004B5E80" w:rsidP="00B90788">
      <w:pPr>
        <w:ind w:right="-1"/>
        <w:rPr>
          <w:b/>
        </w:rPr>
      </w:pPr>
    </w:p>
    <w:p w14:paraId="087933EE" w14:textId="2E8B469A" w:rsidR="004B5E80" w:rsidRPr="009A539C" w:rsidRDefault="00911EC8" w:rsidP="00911EC8">
      <w:pPr>
        <w:pStyle w:val="Legenda"/>
        <w:jc w:val="center"/>
        <w:rPr>
          <w:color w:val="auto"/>
          <w:sz w:val="22"/>
          <w:szCs w:val="22"/>
        </w:rPr>
      </w:pPr>
      <w:bookmarkStart w:id="965" w:name="_Toc45048711"/>
      <w:r w:rsidRPr="009A539C">
        <w:rPr>
          <w:color w:val="auto"/>
          <w:sz w:val="22"/>
          <w:szCs w:val="22"/>
        </w:rPr>
        <w:t xml:space="preserve">Anexo - Quadro </w:t>
      </w:r>
      <w:r w:rsidRPr="009A539C">
        <w:rPr>
          <w:color w:val="auto"/>
          <w:sz w:val="22"/>
          <w:szCs w:val="22"/>
        </w:rPr>
        <w:fldChar w:fldCharType="begin"/>
      </w:r>
      <w:r w:rsidRPr="009A539C">
        <w:rPr>
          <w:color w:val="auto"/>
          <w:sz w:val="22"/>
          <w:szCs w:val="22"/>
        </w:rPr>
        <w:instrText xml:space="preserve"> SEQ Anexo_-_Quadro \* ARABIC </w:instrText>
      </w:r>
      <w:r w:rsidRPr="009A539C">
        <w:rPr>
          <w:color w:val="auto"/>
          <w:sz w:val="22"/>
          <w:szCs w:val="22"/>
        </w:rPr>
        <w:fldChar w:fldCharType="separate"/>
      </w:r>
      <w:r w:rsidR="00D821DE">
        <w:rPr>
          <w:noProof/>
          <w:color w:val="auto"/>
          <w:sz w:val="22"/>
          <w:szCs w:val="22"/>
        </w:rPr>
        <w:t>15</w:t>
      </w:r>
      <w:r w:rsidRPr="009A539C">
        <w:rPr>
          <w:color w:val="auto"/>
          <w:sz w:val="22"/>
          <w:szCs w:val="22"/>
        </w:rPr>
        <w:fldChar w:fldCharType="end"/>
      </w:r>
      <w:r w:rsidR="00C165C6" w:rsidRPr="009A539C">
        <w:rPr>
          <w:color w:val="auto"/>
          <w:sz w:val="22"/>
          <w:szCs w:val="22"/>
        </w:rPr>
        <w:t xml:space="preserve"> </w:t>
      </w:r>
      <w:r w:rsidR="004B5E80" w:rsidRPr="009A539C">
        <w:rPr>
          <w:color w:val="auto"/>
          <w:sz w:val="22"/>
          <w:szCs w:val="22"/>
        </w:rPr>
        <w:t>– LISTAGEM DE ACRÓNIMOS E SIGLAS DE ASSOCIAÇÕES SINDICAIS</w:t>
      </w:r>
      <w:bookmarkEnd w:id="965"/>
    </w:p>
    <w:p w14:paraId="2CC9EE3B" w14:textId="77777777" w:rsidR="004B5E80" w:rsidRPr="009A539C" w:rsidRDefault="004B5E80" w:rsidP="005D6A45">
      <w:pPr>
        <w:ind w:right="-1"/>
        <w:jc w:val="center"/>
        <w:rPr>
          <w:b/>
        </w:rPr>
      </w:pPr>
      <w:r w:rsidRPr="009A539C">
        <w:rPr>
          <w:noProof/>
          <w:lang w:eastAsia="pt-PT"/>
        </w:rPr>
        <w:drawing>
          <wp:inline distT="0" distB="0" distL="0" distR="0" wp14:anchorId="19A2707F" wp14:editId="07C285FE">
            <wp:extent cx="6067425" cy="7970279"/>
            <wp:effectExtent l="0" t="0" r="0" b="0"/>
            <wp:docPr id="1200" name="Imagem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071064" cy="7975059"/>
                    </a:xfrm>
                    <a:prstGeom prst="rect">
                      <a:avLst/>
                    </a:prstGeom>
                    <a:noFill/>
                    <a:ln>
                      <a:noFill/>
                    </a:ln>
                  </pic:spPr>
                </pic:pic>
              </a:graphicData>
            </a:graphic>
          </wp:inline>
        </w:drawing>
      </w:r>
    </w:p>
    <w:p w14:paraId="59C50CD2" w14:textId="77777777" w:rsidR="004B5E80" w:rsidRPr="009A539C" w:rsidRDefault="004B5E80" w:rsidP="00B90788">
      <w:pPr>
        <w:ind w:right="-1"/>
        <w:rPr>
          <w:b/>
        </w:rPr>
      </w:pPr>
    </w:p>
    <w:p w14:paraId="7789C7C0" w14:textId="77777777" w:rsidR="004B5E80" w:rsidRPr="009A539C" w:rsidRDefault="004B5E80" w:rsidP="00B90788">
      <w:pPr>
        <w:ind w:right="-1"/>
        <w:rPr>
          <w:b/>
        </w:rPr>
      </w:pPr>
    </w:p>
    <w:p w14:paraId="7BC10D6D" w14:textId="77777777" w:rsidR="004B5E80" w:rsidRPr="009A539C" w:rsidRDefault="004B5E80" w:rsidP="00B90788">
      <w:pPr>
        <w:ind w:right="-1"/>
        <w:rPr>
          <w:b/>
        </w:rPr>
      </w:pPr>
    </w:p>
    <w:p w14:paraId="382D1864" w14:textId="77777777" w:rsidR="003C3015" w:rsidRPr="009A539C" w:rsidRDefault="003C3015" w:rsidP="00B90788">
      <w:pPr>
        <w:ind w:right="-1"/>
        <w:rPr>
          <w:b/>
        </w:rPr>
      </w:pPr>
    </w:p>
    <w:p w14:paraId="350D8FAB" w14:textId="77777777" w:rsidR="003C3015" w:rsidRPr="009A539C" w:rsidRDefault="003C3015" w:rsidP="00B90788">
      <w:pPr>
        <w:ind w:right="-1"/>
        <w:jc w:val="center"/>
        <w:rPr>
          <w:b/>
        </w:rPr>
      </w:pPr>
    </w:p>
    <w:p w14:paraId="644D56B4" w14:textId="77777777" w:rsidR="003C3015" w:rsidRPr="009A539C" w:rsidRDefault="003C3015" w:rsidP="00B90788">
      <w:pPr>
        <w:ind w:right="-1"/>
        <w:jc w:val="center"/>
        <w:rPr>
          <w:b/>
        </w:rPr>
      </w:pPr>
    </w:p>
    <w:p w14:paraId="06043174" w14:textId="77777777" w:rsidR="003C3015" w:rsidRPr="009A539C" w:rsidRDefault="003C3015" w:rsidP="00B90788">
      <w:pPr>
        <w:ind w:right="-1"/>
        <w:jc w:val="center"/>
        <w:rPr>
          <w:b/>
        </w:rPr>
      </w:pPr>
    </w:p>
    <w:p w14:paraId="69E9DE7E" w14:textId="77777777" w:rsidR="003C3015" w:rsidRPr="009A539C" w:rsidRDefault="003C3015" w:rsidP="00B90788">
      <w:pPr>
        <w:ind w:right="-1"/>
        <w:jc w:val="center"/>
        <w:rPr>
          <w:b/>
        </w:rPr>
      </w:pPr>
    </w:p>
    <w:p w14:paraId="4C09802F" w14:textId="77777777" w:rsidR="003C3015" w:rsidRPr="009A539C" w:rsidRDefault="003C3015" w:rsidP="00B90788">
      <w:pPr>
        <w:ind w:right="-1"/>
        <w:rPr>
          <w:b/>
        </w:rPr>
      </w:pPr>
    </w:p>
    <w:p w14:paraId="238760F2" w14:textId="77777777" w:rsidR="003C3015" w:rsidRPr="009A539C" w:rsidRDefault="003C3015" w:rsidP="00B90788">
      <w:pPr>
        <w:ind w:right="-1"/>
        <w:rPr>
          <w:rFonts w:ascii="Cambria" w:eastAsia="Times New Roman" w:hAnsi="Cambria"/>
          <w:spacing w:val="5"/>
          <w:kern w:val="28"/>
          <w:sz w:val="28"/>
        </w:rPr>
      </w:pPr>
    </w:p>
    <w:p w14:paraId="1B9EDD89" w14:textId="77777777" w:rsidR="003C3015" w:rsidRPr="009A539C" w:rsidRDefault="003C3015" w:rsidP="00B90788">
      <w:pPr>
        <w:ind w:right="-1"/>
        <w:rPr>
          <w:rFonts w:ascii="Cambria" w:eastAsia="Times New Roman" w:hAnsi="Cambria"/>
          <w:spacing w:val="5"/>
          <w:kern w:val="28"/>
          <w:sz w:val="28"/>
        </w:rPr>
      </w:pPr>
    </w:p>
    <w:p w14:paraId="38A59E65" w14:textId="77777777" w:rsidR="003C3015" w:rsidRPr="009A539C" w:rsidRDefault="003C3015" w:rsidP="00B90788">
      <w:pPr>
        <w:pBdr>
          <w:bottom w:val="single" w:sz="8" w:space="4" w:color="4F81BD" w:themeColor="accent1"/>
        </w:pBdr>
        <w:spacing w:after="300"/>
        <w:ind w:right="-1"/>
        <w:contextualSpacing/>
        <w:rPr>
          <w:rFonts w:ascii="Cambria" w:eastAsia="Times New Roman" w:hAnsi="Cambria"/>
          <w:spacing w:val="5"/>
          <w:kern w:val="28"/>
          <w:sz w:val="28"/>
        </w:rPr>
      </w:pPr>
    </w:p>
    <w:p w14:paraId="44BA696D" w14:textId="77777777" w:rsidR="003C3015" w:rsidRPr="009A539C" w:rsidRDefault="003C3015" w:rsidP="00B90788">
      <w:pPr>
        <w:keepNext/>
        <w:keepLines/>
        <w:spacing w:before="240"/>
        <w:ind w:left="425" w:right="-1" w:hanging="425"/>
        <w:jc w:val="right"/>
        <w:outlineLvl w:val="1"/>
        <w:rPr>
          <w:rFonts w:ascii="Cambria" w:eastAsia="Times New Roman" w:hAnsi="Cambria"/>
          <w:b/>
          <w:bCs/>
          <w:color w:val="4F81BD" w:themeColor="accent1"/>
          <w:sz w:val="48"/>
          <w:szCs w:val="23"/>
        </w:rPr>
      </w:pPr>
    </w:p>
    <w:p w14:paraId="3E6B412E" w14:textId="77777777" w:rsidR="003C3015" w:rsidRPr="009A539C" w:rsidRDefault="003C3015" w:rsidP="00B90788">
      <w:pPr>
        <w:ind w:right="-1"/>
        <w:jc w:val="right"/>
        <w:rPr>
          <w:rFonts w:ascii="Cambria" w:eastAsia="Calibri" w:hAnsi="Cambria"/>
          <w:b/>
          <w:color w:val="000000" w:themeColor="text1"/>
          <w:sz w:val="72"/>
          <w:szCs w:val="52"/>
        </w:rPr>
      </w:pPr>
      <w:bookmarkStart w:id="966" w:name="PARECER_e_COMENTÁRIOS"/>
      <w:r w:rsidRPr="009A539C">
        <w:rPr>
          <w:rFonts w:ascii="Cambria" w:eastAsia="Calibri" w:hAnsi="Cambria"/>
          <w:b/>
          <w:color w:val="000000" w:themeColor="text1"/>
          <w:sz w:val="48"/>
          <w:szCs w:val="23"/>
        </w:rPr>
        <w:t>PARECER E COMENTÁRIOS</w:t>
      </w:r>
      <w:r w:rsidR="009972BC" w:rsidRPr="009A539C">
        <w:rPr>
          <w:rFonts w:ascii="Calibri" w:eastAsia="Calibri" w:hAnsi="Calibri"/>
        </w:rPr>
        <w:fldChar w:fldCharType="begin"/>
      </w:r>
      <w:r w:rsidRPr="009A539C">
        <w:rPr>
          <w:rFonts w:ascii="Calibri" w:eastAsia="Calibri" w:hAnsi="Calibri"/>
        </w:rPr>
        <w:instrText xml:space="preserve"> XE "</w:instrText>
      </w:r>
      <w:r w:rsidRPr="009A539C">
        <w:rPr>
          <w:rFonts w:ascii="Cambria" w:eastAsia="Calibri" w:hAnsi="Cambria"/>
          <w:b/>
          <w:color w:val="000000" w:themeColor="text1"/>
          <w:sz w:val="48"/>
          <w:szCs w:val="23"/>
        </w:rPr>
        <w:instrText>ANEXOS</w:instrText>
      </w:r>
      <w:r w:rsidRPr="009A539C">
        <w:rPr>
          <w:rFonts w:ascii="Calibri" w:eastAsia="Calibri" w:hAnsi="Calibri"/>
        </w:rPr>
        <w:instrText xml:space="preserve">" </w:instrText>
      </w:r>
      <w:r w:rsidR="009972BC" w:rsidRPr="009A539C">
        <w:rPr>
          <w:rFonts w:ascii="Calibri" w:eastAsia="Calibri" w:hAnsi="Calibri"/>
        </w:rPr>
        <w:fldChar w:fldCharType="end"/>
      </w:r>
      <w:r w:rsidRPr="009A539C">
        <w:rPr>
          <w:rFonts w:ascii="Cambria" w:eastAsia="Calibri" w:hAnsi="Cambria"/>
          <w:b/>
          <w:color w:val="000000" w:themeColor="text1"/>
          <w:sz w:val="72"/>
          <w:szCs w:val="52"/>
        </w:rPr>
        <w:t xml:space="preserve"> </w:t>
      </w:r>
    </w:p>
    <w:bookmarkEnd w:id="966"/>
    <w:p w14:paraId="33B05F99" w14:textId="77777777" w:rsidR="003C3015" w:rsidRPr="009A539C" w:rsidRDefault="003C3015" w:rsidP="00B90788">
      <w:pPr>
        <w:pBdr>
          <w:bottom w:val="single" w:sz="8" w:space="4" w:color="4F81BD" w:themeColor="accent1"/>
        </w:pBdr>
        <w:spacing w:after="300"/>
        <w:ind w:right="-1" w:firstLine="6237"/>
        <w:contextualSpacing/>
        <w:rPr>
          <w:rFonts w:ascii="Cambria" w:eastAsia="Times New Roman" w:hAnsi="Cambria"/>
          <w:spacing w:val="5"/>
          <w:kern w:val="28"/>
          <w:sz w:val="44"/>
        </w:rPr>
      </w:pPr>
    </w:p>
    <w:p w14:paraId="10503AEA" w14:textId="77777777" w:rsidR="003C3015" w:rsidRPr="009A539C" w:rsidRDefault="003C3015" w:rsidP="00B90788">
      <w:pPr>
        <w:pBdr>
          <w:bottom w:val="single" w:sz="8" w:space="4" w:color="4F81BD" w:themeColor="accent1"/>
        </w:pBdr>
        <w:spacing w:after="300"/>
        <w:ind w:right="-1" w:firstLine="6237"/>
        <w:contextualSpacing/>
        <w:rPr>
          <w:rFonts w:ascii="Cambria" w:eastAsia="Times New Roman" w:hAnsi="Cambria"/>
          <w:spacing w:val="5"/>
          <w:kern w:val="28"/>
          <w:sz w:val="44"/>
        </w:rPr>
      </w:pPr>
    </w:p>
    <w:p w14:paraId="70F0DDAD" w14:textId="77777777" w:rsidR="003C3015" w:rsidRPr="009A539C" w:rsidRDefault="003C3015" w:rsidP="00B90788">
      <w:pPr>
        <w:spacing w:after="300"/>
        <w:ind w:right="-1" w:firstLine="6237"/>
        <w:contextualSpacing/>
        <w:rPr>
          <w:rFonts w:ascii="Cambria" w:eastAsia="Times New Roman" w:hAnsi="Cambria"/>
          <w:spacing w:val="5"/>
          <w:kern w:val="28"/>
          <w:sz w:val="44"/>
        </w:rPr>
      </w:pPr>
    </w:p>
    <w:p w14:paraId="6375184D" w14:textId="77777777" w:rsidR="003C3015" w:rsidRPr="009A539C" w:rsidRDefault="003C3015" w:rsidP="00B90788">
      <w:pPr>
        <w:ind w:right="-1"/>
        <w:rPr>
          <w:b/>
        </w:rPr>
      </w:pPr>
    </w:p>
    <w:p w14:paraId="3C6A0E2C" w14:textId="77777777" w:rsidR="00877399" w:rsidRPr="009A539C" w:rsidRDefault="00877399" w:rsidP="00B90788">
      <w:pPr>
        <w:ind w:right="-1"/>
        <w:rPr>
          <w:b/>
        </w:rPr>
      </w:pPr>
    </w:p>
    <w:p w14:paraId="4BAE8367" w14:textId="77777777" w:rsidR="00877399" w:rsidRPr="009A539C" w:rsidRDefault="00877399" w:rsidP="00B90788">
      <w:pPr>
        <w:ind w:right="-1"/>
        <w:rPr>
          <w:b/>
        </w:rPr>
      </w:pPr>
    </w:p>
    <w:p w14:paraId="00F3E2F5" w14:textId="77777777" w:rsidR="00877399" w:rsidRPr="009A539C" w:rsidRDefault="00877399" w:rsidP="00B90788">
      <w:pPr>
        <w:ind w:right="-1"/>
        <w:rPr>
          <w:b/>
        </w:rPr>
      </w:pPr>
    </w:p>
    <w:p w14:paraId="275690FF" w14:textId="77777777" w:rsidR="00877399" w:rsidRPr="009A539C" w:rsidRDefault="00877399" w:rsidP="00B90788">
      <w:pPr>
        <w:ind w:right="-1"/>
        <w:rPr>
          <w:b/>
        </w:rPr>
      </w:pPr>
    </w:p>
    <w:p w14:paraId="3F053EC2" w14:textId="77777777" w:rsidR="00877399" w:rsidRPr="009A539C" w:rsidRDefault="00877399" w:rsidP="00B90788">
      <w:pPr>
        <w:ind w:right="-1"/>
        <w:rPr>
          <w:b/>
        </w:rPr>
      </w:pPr>
    </w:p>
    <w:p w14:paraId="47457FB1" w14:textId="77777777" w:rsidR="00877399" w:rsidRPr="009A539C" w:rsidRDefault="00877399" w:rsidP="00B90788">
      <w:pPr>
        <w:ind w:right="-1"/>
        <w:rPr>
          <w:b/>
        </w:rPr>
      </w:pPr>
    </w:p>
    <w:p w14:paraId="5040780D" w14:textId="77777777" w:rsidR="00877399" w:rsidRPr="009A539C" w:rsidRDefault="00877399" w:rsidP="00B90788">
      <w:pPr>
        <w:ind w:right="-1"/>
        <w:rPr>
          <w:b/>
        </w:rPr>
      </w:pPr>
    </w:p>
    <w:p w14:paraId="544A60E4" w14:textId="77777777" w:rsidR="00877399" w:rsidRPr="009A539C" w:rsidRDefault="00877399" w:rsidP="00B90788">
      <w:pPr>
        <w:ind w:right="-1"/>
        <w:rPr>
          <w:b/>
        </w:rPr>
      </w:pPr>
    </w:p>
    <w:p w14:paraId="1E3235E4" w14:textId="1B46587B" w:rsidR="003C3015" w:rsidRPr="009A539C" w:rsidRDefault="003C3015" w:rsidP="00B90788">
      <w:pPr>
        <w:ind w:right="-1"/>
        <w:jc w:val="center"/>
        <w:rPr>
          <w:b/>
          <w:sz w:val="24"/>
          <w:szCs w:val="23"/>
        </w:rPr>
      </w:pPr>
      <w:r w:rsidRPr="009A539C">
        <w:rPr>
          <w:b/>
          <w:sz w:val="24"/>
          <w:szCs w:val="23"/>
        </w:rPr>
        <w:t>PARECER C</w:t>
      </w:r>
      <w:r w:rsidR="00877399" w:rsidRPr="009A539C">
        <w:rPr>
          <w:b/>
          <w:sz w:val="24"/>
          <w:szCs w:val="23"/>
        </w:rPr>
        <w:t xml:space="preserve">ONJUNTO DA COMISSÃO CIENTÍFICA </w:t>
      </w:r>
    </w:p>
    <w:p w14:paraId="74BD1F2D" w14:textId="77777777" w:rsidR="00877399" w:rsidRPr="009A539C" w:rsidRDefault="00877399" w:rsidP="00B90788">
      <w:pPr>
        <w:ind w:right="-1"/>
        <w:jc w:val="center"/>
        <w:rPr>
          <w:b/>
          <w:sz w:val="24"/>
          <w:szCs w:val="23"/>
        </w:rPr>
      </w:pPr>
    </w:p>
    <w:p w14:paraId="66EDB605" w14:textId="273A9B31" w:rsidR="00F90D00" w:rsidRPr="009A539C" w:rsidRDefault="00F90D00" w:rsidP="00877399">
      <w:pPr>
        <w:spacing w:line="360" w:lineRule="auto"/>
        <w:ind w:right="-1"/>
        <w:jc w:val="both"/>
        <w:rPr>
          <w:sz w:val="24"/>
          <w:szCs w:val="23"/>
        </w:rPr>
      </w:pPr>
      <w:r w:rsidRPr="009A539C">
        <w:rPr>
          <w:sz w:val="24"/>
          <w:szCs w:val="23"/>
        </w:rPr>
        <w:t xml:space="preserve">É com o maior gosto que a Comissão Científica do CRL emite o seu Parecer sobre o “Relatório Anual sobre a Negociação Coletiva em 2019”. </w:t>
      </w:r>
    </w:p>
    <w:p w14:paraId="7D8249E3" w14:textId="1D17D0F6" w:rsidR="00F90D00" w:rsidRPr="009A539C" w:rsidRDefault="00F90D00" w:rsidP="0009152F">
      <w:pPr>
        <w:spacing w:line="360" w:lineRule="auto"/>
        <w:ind w:right="-1"/>
        <w:jc w:val="both"/>
        <w:rPr>
          <w:sz w:val="24"/>
          <w:szCs w:val="23"/>
        </w:rPr>
      </w:pPr>
      <w:r w:rsidRPr="009A539C">
        <w:rPr>
          <w:sz w:val="24"/>
          <w:szCs w:val="23"/>
        </w:rPr>
        <w:t xml:space="preserve"> Criado pelo Decreto-Lei nº 189/2012, de 22 de agosto, com a natureza de um órgão colegial de caráter tripartido, constituído por representantes do Ministério responsável pela área laboral, por representantes das Associações de Empregadores com assento na Comissão Permanente de Concertação Social e por representantes das Associações Sindicais com assento na mesma Comissão (num total de doze membros, quatro por cada uma das categorias nele representadas), o CRL tem como uma das suas missões mais importantes a publicação de um Relatório anual sobre a evolução da Negociação Coletiva. </w:t>
      </w:r>
    </w:p>
    <w:p w14:paraId="40657F97" w14:textId="74CDC4C2" w:rsidR="00F90D00" w:rsidRPr="009A539C" w:rsidRDefault="00F90D00" w:rsidP="0009152F">
      <w:pPr>
        <w:spacing w:line="360" w:lineRule="auto"/>
        <w:ind w:right="-1"/>
        <w:jc w:val="both"/>
        <w:rPr>
          <w:sz w:val="24"/>
          <w:szCs w:val="23"/>
        </w:rPr>
      </w:pPr>
      <w:r w:rsidRPr="009A539C">
        <w:rPr>
          <w:sz w:val="24"/>
          <w:szCs w:val="23"/>
        </w:rPr>
        <w:t xml:space="preserve">O gosto com que a Comissão Científica emite e divulga o seu Parecer sobre o Relatório relativo ao ano de 2019 assenta num conjunto de razões: </w:t>
      </w:r>
    </w:p>
    <w:p w14:paraId="3A81FEE6" w14:textId="10B231BE" w:rsidR="00F90D00" w:rsidRPr="009A539C" w:rsidRDefault="00F90D00" w:rsidP="0009152F">
      <w:pPr>
        <w:spacing w:line="360" w:lineRule="auto"/>
        <w:ind w:right="-1"/>
        <w:jc w:val="both"/>
        <w:rPr>
          <w:sz w:val="24"/>
          <w:szCs w:val="23"/>
        </w:rPr>
      </w:pPr>
      <w:r w:rsidRPr="009A539C">
        <w:rPr>
          <w:sz w:val="24"/>
          <w:szCs w:val="23"/>
        </w:rPr>
        <w:t xml:space="preserve">1. Em primeiro lugar, a importância do tema, não apenas para as três partes intervenientes mas, no limite, para toda a sociedade portuguesa, com destaque para os universos familiar e empresarial; </w:t>
      </w:r>
    </w:p>
    <w:p w14:paraId="2B521102" w14:textId="4D2E66A1" w:rsidR="00F90D00" w:rsidRPr="009A539C" w:rsidRDefault="00F90D00" w:rsidP="0009152F">
      <w:pPr>
        <w:spacing w:line="360" w:lineRule="auto"/>
        <w:ind w:right="-1"/>
        <w:jc w:val="both"/>
        <w:rPr>
          <w:sz w:val="24"/>
          <w:szCs w:val="23"/>
        </w:rPr>
      </w:pPr>
      <w:r w:rsidRPr="009A539C">
        <w:rPr>
          <w:sz w:val="24"/>
          <w:szCs w:val="23"/>
        </w:rPr>
        <w:t xml:space="preserve">2. Em segundo lugar, a estabilidade metodológica conseguida na elaboração do Relatório (matriz de análise, estrutura, fontes e critérios de segmentação), de que resulta a possibilidade de um conhecimento e de uma avaliação cada vez mais consistentes dos resultados da Negociação Coletiva no nosso País. É assim desde o primeiro Relatório publicado, relativo ao ano de 2015, estando-se, portanto, no quinto ano consecutivo de publicação; </w:t>
      </w:r>
    </w:p>
    <w:p w14:paraId="62DAE122" w14:textId="08241B23" w:rsidR="00F90D00" w:rsidRPr="009A539C" w:rsidRDefault="00F90D00" w:rsidP="0009152F">
      <w:pPr>
        <w:spacing w:line="360" w:lineRule="auto"/>
        <w:ind w:right="-1"/>
        <w:jc w:val="both"/>
        <w:rPr>
          <w:sz w:val="24"/>
          <w:szCs w:val="23"/>
        </w:rPr>
      </w:pPr>
      <w:r w:rsidRPr="009A539C">
        <w:rPr>
          <w:sz w:val="24"/>
          <w:szCs w:val="23"/>
        </w:rPr>
        <w:t xml:space="preserve">3. Esta estabilidade metodológica, decisiva, por exemplo, nos quadros em que se organiza a apresentação de uma informação quantitativa que classificaríamos de tendencialmente exaustiva, não tem prejudicado uma evolução do Relatório ditada pela dinâmica da própria Negociação Coletiva, abrangendo novos e mais aspetos da relação de trabalho, acompanhando a evolução da própria vida (por exemplo, na frente tecnológica ou, mais recentemente, em tudo o que diga respeito à proteção de dados, por razões da confidencialidade devida à vida pessoal de todos os intervenientes); </w:t>
      </w:r>
    </w:p>
    <w:p w14:paraId="73797210" w14:textId="77777777" w:rsidR="00877399" w:rsidRPr="009A539C" w:rsidRDefault="00F90D00" w:rsidP="00877399">
      <w:pPr>
        <w:spacing w:line="360" w:lineRule="auto"/>
        <w:ind w:right="-1"/>
        <w:jc w:val="both"/>
        <w:rPr>
          <w:sz w:val="24"/>
          <w:szCs w:val="23"/>
        </w:rPr>
      </w:pPr>
      <w:r w:rsidRPr="009A539C">
        <w:rPr>
          <w:sz w:val="24"/>
          <w:szCs w:val="23"/>
        </w:rPr>
        <w:t xml:space="preserve">4. </w:t>
      </w:r>
      <w:r w:rsidRPr="00915184">
        <w:rPr>
          <w:i/>
          <w:sz w:val="24"/>
          <w:szCs w:val="23"/>
        </w:rPr>
        <w:t>Last but not least</w:t>
      </w:r>
      <w:r w:rsidRPr="009A539C">
        <w:rPr>
          <w:sz w:val="24"/>
          <w:szCs w:val="23"/>
        </w:rPr>
        <w:t xml:space="preserve">, baseia-se, o gosto com que emitimos este Parecer, no apreço que nos merecem os autores do Relatório, seja o seu Coordenador Científico (este ano, o Professor Pedro Madeira de Brito, depois de, nas quatro edições anteriores, esta função ter sido exercida pelos Professores Pedro Furtado Martins e António Nunes de Carvalho), seja a sua Coordenadora Executiva (Dra. Paula Agapito, líder da equipa do CRL que, desde sempre, apoia a feitura do Relatório e esteio do seu caráter de continuidade). 2019 ficará como um ano em que a Negociação Coletiva conheceu, em Portugal, uma evolução favorável, patente no aumento do número de IRCT publicados (embora o número de trabalhadores abrangidos continue muito baixo e mesmo em retração face ao número de trabalhadores abrangidos em 2018), merecendo também destaque, em matéria de remunerações, a variação salarial média nominal anualizada intertabelas de 4,4% (para uma taxa de inflação, medida pelo Índice de Preços no Consumidor de 0,3%), a que acresce a redução do período médio de eficácia das tabelas salariais anteriormente negociadas (16,3 meses, em 2019, por comparação com os </w:t>
      </w:r>
      <w:r w:rsidR="00877399" w:rsidRPr="009A539C">
        <w:rPr>
          <w:sz w:val="24"/>
          <w:szCs w:val="23"/>
        </w:rPr>
        <w:t>22,5 meses observados em 2018).</w:t>
      </w:r>
    </w:p>
    <w:p w14:paraId="2125C1AD" w14:textId="1519C261" w:rsidR="00F90D00" w:rsidRPr="009A539C" w:rsidRDefault="00F90D00" w:rsidP="00877399">
      <w:pPr>
        <w:spacing w:line="360" w:lineRule="auto"/>
        <w:ind w:right="-1"/>
        <w:jc w:val="both"/>
        <w:rPr>
          <w:sz w:val="24"/>
          <w:szCs w:val="23"/>
        </w:rPr>
      </w:pPr>
      <w:r w:rsidRPr="009A539C">
        <w:rPr>
          <w:sz w:val="24"/>
          <w:szCs w:val="23"/>
        </w:rPr>
        <w:t xml:space="preserve">Ficará também recordado, o ano de 2019, pelo número de alterações legislativas com impacto na Negociação Coletiva, com destaque para as alterações ao Código do Trabalho aprovadas pela Lei nº 93/2019, de 4 de setembro, com afeitos a partir de 1 de outubro, de que seria de esperar um conjunto de consequências relevantes em 2020 e anos seguintes. Infelizmente, o problema de saúde pública surgido no início deste ano, em Portugal como em todo o Mundo, cria um contexto económico muito desfavorável, cujos efeitos a Comissão Científica do CRL espera que possam a vir a ser minorados, o mais possível, tanto pelas políticas públicas (de Portugal e da União Europeia) como pela concertação de todas as partes interessadas, nomeadamente em sede de Negociação Coletiva das relações de trabalho. </w:t>
      </w:r>
    </w:p>
    <w:p w14:paraId="4083D813" w14:textId="77777777" w:rsidR="00F90D00" w:rsidRPr="009A539C" w:rsidRDefault="00F90D00" w:rsidP="00F90D00">
      <w:pPr>
        <w:ind w:right="-1"/>
        <w:jc w:val="center"/>
        <w:rPr>
          <w:sz w:val="24"/>
          <w:szCs w:val="23"/>
        </w:rPr>
      </w:pPr>
      <w:r w:rsidRPr="009A539C">
        <w:rPr>
          <w:sz w:val="24"/>
          <w:szCs w:val="23"/>
        </w:rPr>
        <w:t xml:space="preserve"> </w:t>
      </w:r>
    </w:p>
    <w:p w14:paraId="1D051CA8" w14:textId="77777777" w:rsidR="00F90D00" w:rsidRPr="009A539C" w:rsidRDefault="00F90D00" w:rsidP="00877399">
      <w:pPr>
        <w:ind w:right="-1"/>
        <w:rPr>
          <w:sz w:val="24"/>
          <w:szCs w:val="23"/>
        </w:rPr>
      </w:pPr>
      <w:r w:rsidRPr="009A539C">
        <w:rPr>
          <w:sz w:val="24"/>
          <w:szCs w:val="23"/>
        </w:rPr>
        <w:t xml:space="preserve">Lisboa, 6 de julho de 2020 </w:t>
      </w:r>
    </w:p>
    <w:p w14:paraId="33EC3FB6" w14:textId="6C31CFB9" w:rsidR="00877399" w:rsidRPr="009A539C" w:rsidRDefault="00877399" w:rsidP="0009152F">
      <w:pPr>
        <w:ind w:right="-1"/>
        <w:rPr>
          <w:sz w:val="24"/>
          <w:szCs w:val="23"/>
        </w:rPr>
      </w:pPr>
    </w:p>
    <w:p w14:paraId="1D5DDFDC" w14:textId="77777777" w:rsidR="00FD217C" w:rsidRPr="00FD217C" w:rsidRDefault="00FD217C" w:rsidP="00FD217C">
      <w:pPr>
        <w:pStyle w:val="PargrafodaLista"/>
        <w:numPr>
          <w:ilvl w:val="0"/>
          <w:numId w:val="97"/>
        </w:numPr>
        <w:spacing w:line="360" w:lineRule="auto"/>
        <w:ind w:left="284" w:right="-1" w:hanging="284"/>
        <w:rPr>
          <w:sz w:val="24"/>
          <w:szCs w:val="23"/>
        </w:rPr>
      </w:pPr>
      <w:r w:rsidRPr="00FD217C">
        <w:rPr>
          <w:sz w:val="24"/>
          <w:szCs w:val="23"/>
        </w:rPr>
        <w:t>António Monteiro</w:t>
      </w:r>
      <w:r w:rsidR="00877399" w:rsidRPr="00FD217C">
        <w:rPr>
          <w:sz w:val="24"/>
          <w:szCs w:val="23"/>
        </w:rPr>
        <w:t xml:space="preserve">Fernandes </w:t>
      </w:r>
    </w:p>
    <w:p w14:paraId="314737AE" w14:textId="3561C51A" w:rsidR="00877399" w:rsidRPr="00FD217C" w:rsidRDefault="00877399" w:rsidP="00FD217C">
      <w:pPr>
        <w:pStyle w:val="PargrafodaLista"/>
        <w:numPr>
          <w:ilvl w:val="0"/>
          <w:numId w:val="97"/>
        </w:numPr>
        <w:spacing w:line="360" w:lineRule="auto"/>
        <w:ind w:left="284" w:right="-1" w:hanging="284"/>
        <w:rPr>
          <w:sz w:val="24"/>
          <w:szCs w:val="23"/>
        </w:rPr>
      </w:pPr>
      <w:r w:rsidRPr="00FD217C">
        <w:rPr>
          <w:sz w:val="24"/>
          <w:szCs w:val="23"/>
        </w:rPr>
        <w:t>Daniel Bessa (</w:t>
      </w:r>
      <w:r w:rsidR="00F90D00" w:rsidRPr="00FD217C">
        <w:rPr>
          <w:sz w:val="24"/>
          <w:szCs w:val="23"/>
        </w:rPr>
        <w:t xml:space="preserve">relator)  </w:t>
      </w:r>
    </w:p>
    <w:p w14:paraId="290EEB6A" w14:textId="142FD3BF" w:rsidR="00877399" w:rsidRPr="00FD217C" w:rsidRDefault="00F90D00" w:rsidP="00FD217C">
      <w:pPr>
        <w:pStyle w:val="PargrafodaLista"/>
        <w:numPr>
          <w:ilvl w:val="0"/>
          <w:numId w:val="97"/>
        </w:numPr>
        <w:spacing w:line="360" w:lineRule="auto"/>
        <w:ind w:left="284" w:right="-1" w:hanging="284"/>
        <w:rPr>
          <w:sz w:val="24"/>
          <w:szCs w:val="23"/>
        </w:rPr>
      </w:pPr>
      <w:r w:rsidRPr="00FD217C">
        <w:rPr>
          <w:sz w:val="24"/>
          <w:szCs w:val="23"/>
        </w:rPr>
        <w:t xml:space="preserve">José João Abrantes   </w:t>
      </w:r>
    </w:p>
    <w:p w14:paraId="499765D2" w14:textId="77777777" w:rsidR="00877399" w:rsidRPr="00FD217C" w:rsidRDefault="00F90D00" w:rsidP="00FD217C">
      <w:pPr>
        <w:pStyle w:val="PargrafodaLista"/>
        <w:numPr>
          <w:ilvl w:val="0"/>
          <w:numId w:val="97"/>
        </w:numPr>
        <w:spacing w:line="360" w:lineRule="auto"/>
        <w:ind w:left="284" w:right="-1" w:hanging="284"/>
        <w:rPr>
          <w:sz w:val="24"/>
          <w:szCs w:val="23"/>
        </w:rPr>
      </w:pPr>
      <w:r w:rsidRPr="00FD217C">
        <w:rPr>
          <w:sz w:val="24"/>
          <w:szCs w:val="23"/>
        </w:rPr>
        <w:t xml:space="preserve">Luís Gonçalves da Silva   </w:t>
      </w:r>
    </w:p>
    <w:p w14:paraId="0D7D9E9D" w14:textId="5029FE55" w:rsidR="00F90D00" w:rsidRPr="00FD217C" w:rsidRDefault="00F90D00" w:rsidP="00FD217C">
      <w:pPr>
        <w:pStyle w:val="PargrafodaLista"/>
        <w:numPr>
          <w:ilvl w:val="0"/>
          <w:numId w:val="97"/>
        </w:numPr>
        <w:spacing w:line="360" w:lineRule="auto"/>
        <w:ind w:left="284" w:right="-1" w:hanging="284"/>
        <w:rPr>
          <w:sz w:val="24"/>
          <w:szCs w:val="23"/>
        </w:rPr>
      </w:pPr>
      <w:r w:rsidRPr="00FD217C">
        <w:rPr>
          <w:sz w:val="24"/>
          <w:szCs w:val="23"/>
        </w:rPr>
        <w:t xml:space="preserve">Maria do Rosário Palma Ramalho   </w:t>
      </w:r>
    </w:p>
    <w:p w14:paraId="074A1F3C" w14:textId="77777777" w:rsidR="003C3015" w:rsidRPr="009A539C" w:rsidRDefault="003C3015" w:rsidP="00877399">
      <w:pPr>
        <w:ind w:right="-1"/>
        <w:rPr>
          <w:sz w:val="24"/>
          <w:szCs w:val="23"/>
        </w:rPr>
      </w:pPr>
    </w:p>
    <w:p w14:paraId="419CE523" w14:textId="77777777" w:rsidR="003C3015" w:rsidRDefault="003C3015" w:rsidP="00B90788">
      <w:pPr>
        <w:ind w:right="-1"/>
        <w:jc w:val="both"/>
        <w:rPr>
          <w:sz w:val="23"/>
          <w:szCs w:val="23"/>
        </w:rPr>
      </w:pPr>
    </w:p>
    <w:p w14:paraId="5EF3F465" w14:textId="4FF3B609" w:rsidR="00FD217C" w:rsidRDefault="00FD217C">
      <w:pPr>
        <w:rPr>
          <w:sz w:val="23"/>
          <w:szCs w:val="23"/>
        </w:rPr>
      </w:pPr>
      <w:r>
        <w:rPr>
          <w:sz w:val="23"/>
          <w:szCs w:val="23"/>
        </w:rPr>
        <w:br w:type="page"/>
      </w:r>
    </w:p>
    <w:p w14:paraId="539B4DF6" w14:textId="77777777" w:rsidR="00FD217C" w:rsidRPr="009A539C" w:rsidRDefault="00FD217C" w:rsidP="00B90788">
      <w:pPr>
        <w:ind w:right="-1"/>
        <w:jc w:val="both"/>
        <w:rPr>
          <w:sz w:val="23"/>
          <w:szCs w:val="23"/>
        </w:rPr>
      </w:pPr>
    </w:p>
    <w:p w14:paraId="063ACC44" w14:textId="34A33EB0" w:rsidR="003C3015" w:rsidRPr="009A539C" w:rsidRDefault="003C3015" w:rsidP="00343E62">
      <w:pPr>
        <w:ind w:right="-1"/>
        <w:jc w:val="center"/>
        <w:rPr>
          <w:rFonts w:eastAsia="Times New Roman" w:cstheme="minorHAnsi"/>
          <w:b/>
          <w:caps/>
          <w:sz w:val="24"/>
          <w:lang w:eastAsia="pt-PT"/>
        </w:rPr>
      </w:pPr>
      <w:r w:rsidRPr="009A539C">
        <w:rPr>
          <w:rFonts w:eastAsia="Times New Roman" w:cstheme="minorHAnsi"/>
          <w:b/>
          <w:sz w:val="24"/>
          <w:lang w:eastAsia="pt-PT"/>
        </w:rPr>
        <w:t>D</w:t>
      </w:r>
      <w:r w:rsidRPr="009A539C">
        <w:rPr>
          <w:rFonts w:eastAsia="Times New Roman" w:cstheme="minorHAnsi"/>
          <w:b/>
          <w:caps/>
          <w:sz w:val="24"/>
          <w:lang w:eastAsia="pt-PT"/>
        </w:rPr>
        <w:t xml:space="preserve">eclaração </w:t>
      </w:r>
    </w:p>
    <w:p w14:paraId="603B3717" w14:textId="77777777" w:rsidR="00343E62" w:rsidRPr="009A539C" w:rsidRDefault="00343E62" w:rsidP="00343E62">
      <w:pPr>
        <w:ind w:right="-1"/>
        <w:jc w:val="center"/>
        <w:rPr>
          <w:rFonts w:eastAsia="Times New Roman" w:cstheme="minorHAnsi"/>
          <w:b/>
          <w:caps/>
          <w:sz w:val="24"/>
          <w:lang w:eastAsia="pt-PT"/>
        </w:rPr>
      </w:pPr>
    </w:p>
    <w:p w14:paraId="24983432" w14:textId="77777777" w:rsidR="00343E62" w:rsidRPr="009A539C" w:rsidRDefault="00343E62" w:rsidP="00343E62">
      <w:pPr>
        <w:autoSpaceDE w:val="0"/>
        <w:autoSpaceDN w:val="0"/>
        <w:adjustRightInd w:val="0"/>
        <w:spacing w:after="0" w:line="240" w:lineRule="auto"/>
        <w:jc w:val="both"/>
        <w:rPr>
          <w:rFonts w:ascii="Times New Roman" w:hAnsi="Times New Roman"/>
          <w:b/>
          <w:bCs/>
          <w:sz w:val="24"/>
          <w:szCs w:val="24"/>
        </w:rPr>
      </w:pPr>
      <w:r w:rsidRPr="009A539C">
        <w:rPr>
          <w:rFonts w:ascii="Times New Roman" w:hAnsi="Times New Roman"/>
          <w:b/>
          <w:bCs/>
          <w:sz w:val="24"/>
          <w:szCs w:val="24"/>
        </w:rPr>
        <w:t xml:space="preserve">DECLARAÇÃO DA CGTP-IN SOBRE O RELATÓRIO ANUAL SOBRE A EVOLUÇÃO DA NEGOCIAÇÃO COLETIVA EM 2019 </w:t>
      </w:r>
    </w:p>
    <w:p w14:paraId="7E1726A5" w14:textId="77777777" w:rsidR="00343E62" w:rsidRPr="009A539C" w:rsidRDefault="00343E62" w:rsidP="00343E62">
      <w:pPr>
        <w:spacing w:after="0" w:line="240" w:lineRule="auto"/>
        <w:jc w:val="both"/>
        <w:rPr>
          <w:rFonts w:ascii="Times New Roman" w:hAnsi="Times New Roman"/>
          <w:b/>
          <w:bCs/>
          <w:sz w:val="24"/>
          <w:szCs w:val="24"/>
        </w:rPr>
      </w:pPr>
    </w:p>
    <w:p w14:paraId="593288E4" w14:textId="77777777" w:rsidR="00343E62" w:rsidRPr="009A539C" w:rsidRDefault="00343E62" w:rsidP="00343E62">
      <w:pPr>
        <w:spacing w:after="0" w:line="240" w:lineRule="auto"/>
        <w:jc w:val="both"/>
        <w:rPr>
          <w:rFonts w:ascii="Times New Roman" w:hAnsi="Times New Roman"/>
          <w:b/>
          <w:bCs/>
          <w:sz w:val="24"/>
          <w:szCs w:val="24"/>
        </w:rPr>
      </w:pPr>
    </w:p>
    <w:p w14:paraId="02BA83E6" w14:textId="77777777" w:rsidR="00343E62" w:rsidRPr="009A539C" w:rsidRDefault="00343E62" w:rsidP="00343E62">
      <w:pPr>
        <w:spacing w:after="0" w:line="240" w:lineRule="auto"/>
        <w:jc w:val="both"/>
        <w:rPr>
          <w:rFonts w:ascii="Times New Roman" w:hAnsi="Times New Roman"/>
          <w:b/>
          <w:bCs/>
          <w:sz w:val="24"/>
          <w:szCs w:val="24"/>
        </w:rPr>
      </w:pPr>
    </w:p>
    <w:p w14:paraId="4862C5B4" w14:textId="77777777" w:rsidR="00343E62" w:rsidRPr="009A539C" w:rsidRDefault="00343E62" w:rsidP="00343E62">
      <w:pPr>
        <w:spacing w:after="0" w:line="240" w:lineRule="auto"/>
        <w:jc w:val="both"/>
        <w:rPr>
          <w:rFonts w:ascii="Times New Roman" w:hAnsi="Times New Roman"/>
          <w:sz w:val="24"/>
          <w:szCs w:val="24"/>
        </w:rPr>
      </w:pPr>
      <w:r w:rsidRPr="009A539C">
        <w:rPr>
          <w:rFonts w:ascii="Times New Roman" w:hAnsi="Times New Roman"/>
          <w:sz w:val="24"/>
          <w:szCs w:val="24"/>
        </w:rPr>
        <w:t>1.A CGTP-IN reitera aspectos que considera positivos no Relatório, onde destaca a sua utilidade, o facto de serem abrangidas todas as convenções colectivas e o pormenor da informação disponibilizada, bem como aspectos negativos, nos quais inclui uma análise que considera superficial e enviesada de aspectos centrais da contratação colectiva em particular no que respeita à caducidade e sobrevigência e ao princípio do tratamento mais favorável ao trabalhador.</w:t>
      </w:r>
    </w:p>
    <w:p w14:paraId="1047583F" w14:textId="77777777" w:rsidR="00343E62" w:rsidRPr="009A539C" w:rsidRDefault="00343E62" w:rsidP="00343E62">
      <w:pPr>
        <w:spacing w:after="0" w:line="240" w:lineRule="auto"/>
        <w:jc w:val="both"/>
        <w:rPr>
          <w:rFonts w:ascii="Times New Roman" w:hAnsi="Times New Roman"/>
          <w:sz w:val="24"/>
          <w:szCs w:val="24"/>
        </w:rPr>
      </w:pPr>
    </w:p>
    <w:p w14:paraId="1C1128CE" w14:textId="77777777" w:rsidR="00343E62" w:rsidRPr="009A539C" w:rsidRDefault="00343E62" w:rsidP="00343E62">
      <w:pPr>
        <w:spacing w:after="0" w:line="240" w:lineRule="auto"/>
        <w:jc w:val="both"/>
        <w:rPr>
          <w:rFonts w:ascii="Times New Roman" w:hAnsi="Times New Roman"/>
          <w:sz w:val="24"/>
          <w:szCs w:val="24"/>
        </w:rPr>
      </w:pPr>
      <w:r w:rsidRPr="009A539C">
        <w:rPr>
          <w:rFonts w:ascii="Times New Roman" w:hAnsi="Times New Roman"/>
          <w:sz w:val="24"/>
          <w:szCs w:val="24"/>
        </w:rPr>
        <w:t xml:space="preserve">2.Estas matérias mereceriam, aliás, que o ano de referência do início da série fosse 2003, como se tem defendido desde o início, uma vez que este ano marca uma ruptura no direito de contratação colectiva ao admitir, entre outras alterações, a possibilidade de fazer cessar uma convenção contra a vontade das organizações sindicais (embora se trate de um direito fundamental na Constituição atribuído às organizações sindicais) e o enfraquecimento do princípio do tratamento mais favorável ao trabalhador. </w:t>
      </w:r>
    </w:p>
    <w:p w14:paraId="595717FD" w14:textId="77777777" w:rsidR="00343E62" w:rsidRPr="009A539C" w:rsidRDefault="00343E62" w:rsidP="00343E62">
      <w:pPr>
        <w:spacing w:after="0" w:line="240" w:lineRule="auto"/>
        <w:jc w:val="both"/>
        <w:rPr>
          <w:rFonts w:ascii="Times New Roman" w:hAnsi="Times New Roman"/>
          <w:sz w:val="24"/>
          <w:szCs w:val="24"/>
        </w:rPr>
      </w:pPr>
    </w:p>
    <w:p w14:paraId="7D4024BD" w14:textId="77777777" w:rsidR="00343E62" w:rsidRPr="009A539C" w:rsidRDefault="00343E62" w:rsidP="00343E62">
      <w:pPr>
        <w:spacing w:after="0" w:line="240" w:lineRule="auto"/>
        <w:jc w:val="both"/>
        <w:rPr>
          <w:rFonts w:ascii="Times New Roman" w:hAnsi="Times New Roman"/>
          <w:sz w:val="24"/>
          <w:szCs w:val="24"/>
        </w:rPr>
      </w:pPr>
      <w:r w:rsidRPr="009A539C">
        <w:rPr>
          <w:rFonts w:ascii="Times New Roman" w:hAnsi="Times New Roman"/>
          <w:sz w:val="24"/>
          <w:szCs w:val="24"/>
        </w:rPr>
        <w:t xml:space="preserve">3.A CGTP-IN destaca três aspectos que marcam a contratação colectiva em 2019: a publicação da Lei 93/2019 de 04 de Setembro; a redução na taxa de cobertura das convenções colectivas; a retoma da publicação de avisos de cessação de vigência. </w:t>
      </w:r>
    </w:p>
    <w:p w14:paraId="20CE7314" w14:textId="77777777" w:rsidR="00343E62" w:rsidRPr="009A539C" w:rsidRDefault="00343E62" w:rsidP="00343E62">
      <w:pPr>
        <w:spacing w:after="0" w:line="240" w:lineRule="auto"/>
        <w:jc w:val="both"/>
        <w:rPr>
          <w:rFonts w:ascii="Times New Roman" w:hAnsi="Times New Roman"/>
          <w:sz w:val="24"/>
          <w:szCs w:val="24"/>
        </w:rPr>
      </w:pPr>
    </w:p>
    <w:p w14:paraId="2B2188E1" w14:textId="77777777" w:rsidR="00343E62" w:rsidRPr="009A539C" w:rsidRDefault="00343E62" w:rsidP="00343E62">
      <w:pPr>
        <w:spacing w:after="0" w:line="240" w:lineRule="auto"/>
        <w:jc w:val="both"/>
        <w:rPr>
          <w:rFonts w:ascii="Times New Roman" w:hAnsi="Times New Roman"/>
          <w:sz w:val="24"/>
          <w:szCs w:val="24"/>
        </w:rPr>
      </w:pPr>
      <w:r w:rsidRPr="009A539C">
        <w:rPr>
          <w:rFonts w:ascii="Times New Roman" w:hAnsi="Times New Roman"/>
          <w:sz w:val="24"/>
          <w:szCs w:val="24"/>
        </w:rPr>
        <w:t xml:space="preserve">3.1 As alterações ao Código de Trabalho, na parte relativa ao regime de contratação colectiva, deixaram intocáveis os pilares fundamentais introduzidos desde 2003, como o mecanismo de sobrevigência e caducidade ou a possibilidade de escolha individual da convenção aplicável, embora agora algo mais limitado. </w:t>
      </w:r>
    </w:p>
    <w:p w14:paraId="408CE592" w14:textId="77777777" w:rsidR="00343E62" w:rsidRPr="009A539C" w:rsidRDefault="00343E62" w:rsidP="00343E62">
      <w:pPr>
        <w:spacing w:after="0" w:line="240" w:lineRule="auto"/>
        <w:jc w:val="both"/>
        <w:rPr>
          <w:rFonts w:ascii="Times New Roman" w:hAnsi="Times New Roman"/>
          <w:sz w:val="24"/>
          <w:szCs w:val="24"/>
        </w:rPr>
      </w:pPr>
    </w:p>
    <w:p w14:paraId="784FF6F7" w14:textId="77777777" w:rsidR="00343E62" w:rsidRPr="009A539C" w:rsidRDefault="00343E62" w:rsidP="00343E62">
      <w:pPr>
        <w:spacing w:after="0" w:line="240" w:lineRule="auto"/>
        <w:jc w:val="both"/>
        <w:rPr>
          <w:rFonts w:ascii="Times New Roman" w:hAnsi="Times New Roman"/>
          <w:sz w:val="24"/>
          <w:szCs w:val="24"/>
        </w:rPr>
      </w:pPr>
      <w:r w:rsidRPr="009A539C">
        <w:rPr>
          <w:rFonts w:ascii="Times New Roman" w:hAnsi="Times New Roman"/>
          <w:sz w:val="24"/>
          <w:szCs w:val="24"/>
        </w:rPr>
        <w:t>3.1.1 As alterações não impedem, na prática, a caducidade definitiva das convenções. Basta que a entidade patronal se mantenha irredutível quanto à intenção de não celebração de um acordo de revisão total ou parcial e quanto à sua intenção e proceder à cessação da vigência da convenção, que nenhum dos mecanismos existentes impede essa morte anunciada. E foi introduzida, como aliás se reconhece no Relatório, uma nova forma de caducidade, a decorrente da extinção de associação patronal ou sindical outorgantes.</w:t>
      </w:r>
    </w:p>
    <w:p w14:paraId="2EC25545" w14:textId="77777777" w:rsidR="00343E62" w:rsidRPr="009A539C" w:rsidRDefault="00343E62" w:rsidP="00343E62">
      <w:pPr>
        <w:spacing w:after="0" w:line="240" w:lineRule="auto"/>
        <w:jc w:val="both"/>
        <w:rPr>
          <w:rFonts w:ascii="Times New Roman" w:hAnsi="Times New Roman"/>
          <w:sz w:val="24"/>
          <w:szCs w:val="24"/>
        </w:rPr>
      </w:pPr>
    </w:p>
    <w:p w14:paraId="704E1559" w14:textId="77777777" w:rsidR="00343E62" w:rsidRPr="009A539C" w:rsidRDefault="00343E62" w:rsidP="00343E62">
      <w:pPr>
        <w:spacing w:after="0" w:line="240" w:lineRule="auto"/>
        <w:jc w:val="both"/>
        <w:rPr>
          <w:rFonts w:ascii="Times New Roman" w:hAnsi="Times New Roman"/>
          <w:sz w:val="24"/>
          <w:szCs w:val="24"/>
        </w:rPr>
      </w:pPr>
      <w:r w:rsidRPr="009A539C">
        <w:rPr>
          <w:rFonts w:ascii="Times New Roman" w:hAnsi="Times New Roman"/>
          <w:sz w:val="24"/>
          <w:szCs w:val="24"/>
        </w:rPr>
        <w:t xml:space="preserve">3.1.2 O princípio do tratamento mais favorável ao trabalhador não foi reintroduzido. </w:t>
      </w:r>
    </w:p>
    <w:p w14:paraId="7E95FD00" w14:textId="77777777" w:rsidR="00343E62" w:rsidRPr="009A539C" w:rsidRDefault="00343E62" w:rsidP="00343E62">
      <w:pPr>
        <w:spacing w:after="0" w:line="240" w:lineRule="auto"/>
        <w:jc w:val="both"/>
        <w:rPr>
          <w:rFonts w:ascii="Times New Roman" w:hAnsi="Times New Roman"/>
          <w:sz w:val="24"/>
          <w:szCs w:val="24"/>
        </w:rPr>
      </w:pPr>
    </w:p>
    <w:p w14:paraId="5B17EB00" w14:textId="77777777" w:rsidR="00343E62" w:rsidRPr="009A539C" w:rsidRDefault="00343E62" w:rsidP="00343E62">
      <w:pPr>
        <w:spacing w:after="0" w:line="240" w:lineRule="auto"/>
        <w:jc w:val="both"/>
        <w:rPr>
          <w:rFonts w:ascii="Times New Roman" w:hAnsi="Times New Roman"/>
          <w:sz w:val="24"/>
          <w:szCs w:val="24"/>
        </w:rPr>
      </w:pPr>
      <w:r w:rsidRPr="009A539C">
        <w:rPr>
          <w:rFonts w:ascii="Times New Roman" w:hAnsi="Times New Roman"/>
          <w:sz w:val="24"/>
          <w:szCs w:val="24"/>
        </w:rPr>
        <w:t>3.1.3 Quanto à alteração do Código do Processo do Trabalho, as modificações introduzidas não resolveram alguns dos problemas mais graves, que persistem no CPT e que dificultam o acesso dos trabalhadores à justiça e aos tribunais. Manteve-se: a) a possibilidade de aplicação de uma convenção colectiva em violação do princípio da filiação previsto na lei; b) a possibilidade de um trabalhador não sindicalizado usufruir de uma actividade sindical, estatutária e legalmente aplicável apenas aos sindicalizados – excepto no caso das portarias de extensão, dependendo de requerimento das partes, contudo –, discriminando e desconsiderando quer o direito de autonomia e independência dos sindicatos para assumirem a sua gestão, quer o direito que os sindicalizados têm a usufruir dos resultados da sua actividade sindical; c) o efeito de fuga dos sindicatos que este artigo visa promover enquanto cláusula anti sindical. A própria limitação no tempo da escolha individual é limitada, na medida em que, com o aumento da rotatividade, muitos são os trabalhadores que podem, de relação de trabalho para relação  de trabalho, escolher sucessivamente convenções diferentes.</w:t>
      </w:r>
    </w:p>
    <w:p w14:paraId="3F9F3E89" w14:textId="77777777" w:rsidR="00343E62" w:rsidRPr="009A539C" w:rsidRDefault="00343E62" w:rsidP="00343E62">
      <w:pPr>
        <w:spacing w:after="0" w:line="240" w:lineRule="auto"/>
        <w:jc w:val="both"/>
        <w:rPr>
          <w:rFonts w:ascii="Times New Roman" w:hAnsi="Times New Roman"/>
          <w:sz w:val="24"/>
          <w:szCs w:val="24"/>
        </w:rPr>
      </w:pPr>
    </w:p>
    <w:p w14:paraId="5B2ED7F2" w14:textId="77777777" w:rsidR="00343E62" w:rsidRPr="009A539C" w:rsidRDefault="00343E62" w:rsidP="00343E62">
      <w:pPr>
        <w:spacing w:after="0" w:line="240" w:lineRule="auto"/>
        <w:jc w:val="both"/>
        <w:rPr>
          <w:rFonts w:ascii="Times New Roman" w:hAnsi="Times New Roman"/>
          <w:sz w:val="24"/>
          <w:szCs w:val="24"/>
        </w:rPr>
      </w:pPr>
    </w:p>
    <w:p w14:paraId="2F1F5860" w14:textId="77777777" w:rsidR="00343E62" w:rsidRPr="009A539C" w:rsidRDefault="00343E62" w:rsidP="00343E62">
      <w:pPr>
        <w:spacing w:after="0" w:line="240" w:lineRule="auto"/>
        <w:jc w:val="both"/>
        <w:rPr>
          <w:rFonts w:ascii="Times New Roman" w:hAnsi="Times New Roman"/>
          <w:sz w:val="24"/>
          <w:szCs w:val="24"/>
        </w:rPr>
      </w:pPr>
      <w:r w:rsidRPr="009A539C">
        <w:rPr>
          <w:rFonts w:ascii="Times New Roman" w:hAnsi="Times New Roman"/>
          <w:sz w:val="24"/>
          <w:szCs w:val="24"/>
        </w:rPr>
        <w:t xml:space="preserve">3.2. A taxa de cobertura das convenções colectivas publicadas, medida em relação aos trabalhadores declarados nos Quadros de Pessoal, deverá ter baixado em 2019 pois foi menor o número de trabalhadores abrangidos (passou de 900.4 mil em 2018 para 792.9 mil, um decréscimo significativo) num  ano em que o emprego assalariado, medido pelo INE, aumentou. Em 2018 a taxa de cobertura, assim calculada, foi de apenas 31.3%, ainda que tenha subido relativamente a 2017. A CGTP-IN regista o facto de, no período de 2016 a 2019, ou seja num período de recuperação económica e com uma política governamental assumida de recuperação de rendimentos e de direitos dos trabalhadores,  a cobertura não ter atingido um terço dos trabalhadores declarados nos Quadros de Pessoal (teve um valor da ordem dos 30% segundo a sua estimativa). </w:t>
      </w:r>
    </w:p>
    <w:p w14:paraId="608E1F35" w14:textId="77777777" w:rsidR="00343E62" w:rsidRPr="009A539C" w:rsidRDefault="00343E62" w:rsidP="00343E62">
      <w:pPr>
        <w:spacing w:after="0" w:line="240" w:lineRule="auto"/>
        <w:jc w:val="both"/>
        <w:rPr>
          <w:rFonts w:ascii="Times New Roman" w:hAnsi="Times New Roman"/>
          <w:sz w:val="24"/>
          <w:szCs w:val="24"/>
        </w:rPr>
      </w:pPr>
    </w:p>
    <w:p w14:paraId="47502745" w14:textId="77777777" w:rsidR="00343E62" w:rsidRPr="009A539C" w:rsidRDefault="00343E62" w:rsidP="00343E62">
      <w:pPr>
        <w:spacing w:after="0" w:line="240" w:lineRule="auto"/>
        <w:jc w:val="both"/>
        <w:rPr>
          <w:rFonts w:ascii="Times New Roman" w:hAnsi="Times New Roman"/>
          <w:sz w:val="24"/>
          <w:szCs w:val="24"/>
        </w:rPr>
      </w:pPr>
      <w:r w:rsidRPr="009A539C">
        <w:rPr>
          <w:rFonts w:ascii="Times New Roman" w:hAnsi="Times New Roman"/>
          <w:sz w:val="24"/>
          <w:szCs w:val="24"/>
        </w:rPr>
        <w:t>3.3 A CGTP-IN destaca como aspecto central negativa da contratação colectiva em 2019 a retoma da publicação de avisos de cessação de vigência e observa que já em 2020 foi publicado mais um aviso (BTE 10). 10. O Relatório dá conta de um elevado número de processos de caducidade de convenções  no período de 2015 a 2019: 81 casos, incluindo os deferimentos (46 casos) e os indeferimentos (35 casos). Estas convenções abrangem importantes sectores de actividade económica, considerando o número de trabalhadores em causa. Nas duas novas convenções com deferimentos em 2019, salienta-se que a iniciativa partiu, como em regra acontece, da parte patronal. A CGTP-IN considera que estes dados exprimem a negação frontal do direito fundamental de contratação colectiva.</w:t>
      </w:r>
    </w:p>
    <w:p w14:paraId="68FF54EF" w14:textId="77777777" w:rsidR="00343E62" w:rsidRPr="009A539C" w:rsidRDefault="00343E62" w:rsidP="00343E62">
      <w:pPr>
        <w:spacing w:after="0" w:line="240" w:lineRule="auto"/>
        <w:jc w:val="both"/>
        <w:rPr>
          <w:rFonts w:ascii="Times New Roman" w:hAnsi="Times New Roman"/>
          <w:sz w:val="24"/>
          <w:szCs w:val="24"/>
        </w:rPr>
      </w:pPr>
    </w:p>
    <w:p w14:paraId="266A50FB" w14:textId="77777777" w:rsidR="00343E62" w:rsidRPr="009A539C" w:rsidRDefault="00343E62" w:rsidP="00343E62">
      <w:pPr>
        <w:spacing w:after="0" w:line="240" w:lineRule="auto"/>
        <w:jc w:val="both"/>
        <w:rPr>
          <w:rFonts w:ascii="Times New Roman" w:hAnsi="Times New Roman"/>
          <w:sz w:val="24"/>
          <w:szCs w:val="24"/>
        </w:rPr>
      </w:pPr>
      <w:r w:rsidRPr="009A539C">
        <w:rPr>
          <w:rFonts w:ascii="Times New Roman" w:hAnsi="Times New Roman"/>
          <w:sz w:val="24"/>
          <w:szCs w:val="24"/>
        </w:rPr>
        <w:t>4. A CGTP-IN observa ainda:</w:t>
      </w:r>
    </w:p>
    <w:p w14:paraId="57B18633" w14:textId="77777777" w:rsidR="00343E62" w:rsidRPr="009A539C" w:rsidRDefault="00343E62" w:rsidP="00343E62">
      <w:pPr>
        <w:spacing w:after="0" w:line="240" w:lineRule="auto"/>
        <w:jc w:val="both"/>
        <w:rPr>
          <w:rFonts w:ascii="Times New Roman" w:hAnsi="Times New Roman"/>
          <w:sz w:val="24"/>
          <w:szCs w:val="24"/>
        </w:rPr>
      </w:pPr>
    </w:p>
    <w:p w14:paraId="50762446" w14:textId="77777777" w:rsidR="00343E62" w:rsidRPr="009A539C" w:rsidRDefault="00343E62" w:rsidP="00343E62">
      <w:pPr>
        <w:spacing w:after="0" w:line="240" w:lineRule="auto"/>
        <w:jc w:val="both"/>
        <w:rPr>
          <w:rFonts w:ascii="Times New Roman" w:hAnsi="Times New Roman"/>
          <w:sz w:val="24"/>
          <w:szCs w:val="24"/>
        </w:rPr>
      </w:pPr>
      <w:r w:rsidRPr="009A539C">
        <w:rPr>
          <w:rFonts w:ascii="Times New Roman" w:hAnsi="Times New Roman"/>
          <w:sz w:val="24"/>
          <w:szCs w:val="24"/>
        </w:rPr>
        <w:t xml:space="preserve">4.1 A evolução da taxa de cobertura das convenções em vigor no período de 2005 a 2018 mostra que mais de 20% dos trabalhadores não são cobertos pelas convenções em vigor – uma percentagem significativa e que tem vindo a diminuir desde 2010 (com uma pequena inflexão em 2018). Esta diminuição é de 5.9 pontos percentuais, o que se considera preocupante. </w:t>
      </w:r>
    </w:p>
    <w:p w14:paraId="5F5A71C9" w14:textId="77777777" w:rsidR="00343E62" w:rsidRPr="009A539C" w:rsidRDefault="00343E62" w:rsidP="00343E62">
      <w:pPr>
        <w:spacing w:after="0" w:line="240" w:lineRule="auto"/>
        <w:jc w:val="both"/>
        <w:rPr>
          <w:rFonts w:ascii="Times New Roman" w:hAnsi="Times New Roman"/>
          <w:sz w:val="24"/>
          <w:szCs w:val="24"/>
        </w:rPr>
      </w:pPr>
    </w:p>
    <w:p w14:paraId="2BCC1C7D" w14:textId="77777777" w:rsidR="00343E62" w:rsidRPr="009A539C" w:rsidRDefault="00343E62" w:rsidP="00343E62">
      <w:pPr>
        <w:spacing w:after="0" w:line="240" w:lineRule="auto"/>
        <w:jc w:val="both"/>
        <w:rPr>
          <w:rFonts w:ascii="Times New Roman" w:hAnsi="Times New Roman"/>
          <w:sz w:val="24"/>
          <w:szCs w:val="24"/>
        </w:rPr>
      </w:pPr>
      <w:r w:rsidRPr="009A539C">
        <w:rPr>
          <w:rFonts w:ascii="Times New Roman" w:hAnsi="Times New Roman"/>
          <w:sz w:val="24"/>
          <w:szCs w:val="24"/>
        </w:rPr>
        <w:t>4.2 A CGTP-IN sempre defendeu que o Relatório se devia circunscrever à contratação colectiva no sector privado não devendo abranger a Administração Pública. Mas também defendeu que, havendo tratamento desta matéria, se deveria analisar: a negociação coletiva anual sobre matérias que integram o estatuto dos trabalhadores em funções públicas; e a contratação colectiva, isto é a celebração de instrumentos de regulamentação colectiva de trabalho. O Relatório volta a alegar não ter sido “possível obter informação sobre esta primeira dimensão” quando a informação em causa é do domínio público. Trata-se de uma visão formalista da realidade laboral totalmente incompreensível.</w:t>
      </w:r>
    </w:p>
    <w:p w14:paraId="506DB389" w14:textId="77777777" w:rsidR="00343E62" w:rsidRPr="009A539C" w:rsidRDefault="00343E62" w:rsidP="00343E62">
      <w:pPr>
        <w:spacing w:after="0" w:line="240" w:lineRule="auto"/>
        <w:jc w:val="both"/>
        <w:rPr>
          <w:rFonts w:ascii="Times New Roman" w:hAnsi="Times New Roman"/>
          <w:sz w:val="24"/>
          <w:szCs w:val="24"/>
        </w:rPr>
      </w:pPr>
    </w:p>
    <w:p w14:paraId="1B8D7D97" w14:textId="77777777" w:rsidR="00343E62" w:rsidRPr="009A539C" w:rsidRDefault="00343E62" w:rsidP="00343E62">
      <w:pPr>
        <w:spacing w:after="0" w:line="240" w:lineRule="auto"/>
        <w:jc w:val="both"/>
        <w:rPr>
          <w:rFonts w:ascii="Times New Roman" w:hAnsi="Times New Roman"/>
          <w:sz w:val="24"/>
          <w:szCs w:val="24"/>
        </w:rPr>
      </w:pPr>
      <w:r w:rsidRPr="009A539C">
        <w:rPr>
          <w:rFonts w:ascii="Times New Roman" w:hAnsi="Times New Roman"/>
          <w:sz w:val="24"/>
          <w:szCs w:val="24"/>
        </w:rPr>
        <w:t xml:space="preserve">4.3 O êxito na resolução de conflitos através dos processos de resolução de conflitos (conciliação, mediação e arbitragem) no período em análise é baixo, sendo de 53% na conciliação e de apenas 8% na mediação. Em nossa opinião, o grau de êxito não pode ser desligado, numa parte significativa dos casos, da intenção de organizações patronais e de empresas de fazer caducar o mais rápido possível as convenções colectivas. Por sua vez, o recurso à arbitragem é reduzido, o que não surpreende uma vez que tem implicações na autonomia das partes que entendem dever resolver por si mesmo os conflitos colectivos de trabalho. </w:t>
      </w:r>
    </w:p>
    <w:p w14:paraId="1E17D623" w14:textId="77777777" w:rsidR="00343E62" w:rsidRPr="009A539C" w:rsidRDefault="00343E62" w:rsidP="00343E62">
      <w:pPr>
        <w:spacing w:after="0" w:line="240" w:lineRule="auto"/>
        <w:jc w:val="both"/>
        <w:rPr>
          <w:rFonts w:ascii="Times New Roman" w:hAnsi="Times New Roman"/>
          <w:sz w:val="24"/>
          <w:szCs w:val="24"/>
        </w:rPr>
      </w:pPr>
    </w:p>
    <w:p w14:paraId="137EACBF" w14:textId="77777777" w:rsidR="00343E62" w:rsidRPr="009A539C" w:rsidRDefault="00343E62" w:rsidP="00343E62">
      <w:pPr>
        <w:spacing w:after="0" w:line="240" w:lineRule="auto"/>
        <w:jc w:val="both"/>
        <w:rPr>
          <w:rFonts w:ascii="Times New Roman" w:hAnsi="Times New Roman"/>
          <w:sz w:val="24"/>
          <w:szCs w:val="24"/>
        </w:rPr>
      </w:pPr>
      <w:r w:rsidRPr="009A539C">
        <w:rPr>
          <w:rFonts w:ascii="Times New Roman" w:hAnsi="Times New Roman"/>
          <w:sz w:val="24"/>
          <w:szCs w:val="24"/>
        </w:rPr>
        <w:t xml:space="preserve">4.4 O número de trabalhadores abrangidos por convenções publicadas que introduziram alterações salariais é reduzido (731 mil), embora seja superior ao verificado em 2018. Este número representa 25.4% dos trabalhadores declarados nos Quadros de Pessoal de 2018. O número de trabalhadores abrangidos por convenções publicadas que introduziram alterações salariais em 2019 foi inferior em 472 mil ao registado em 2011, segundo a DGERT. </w:t>
      </w:r>
    </w:p>
    <w:p w14:paraId="7DB5DF6B" w14:textId="77777777" w:rsidR="00343E62" w:rsidRPr="009A539C" w:rsidRDefault="00343E62" w:rsidP="00343E62">
      <w:pPr>
        <w:spacing w:after="0" w:line="240" w:lineRule="auto"/>
        <w:jc w:val="both"/>
        <w:rPr>
          <w:rFonts w:ascii="Times New Roman" w:hAnsi="Times New Roman"/>
          <w:sz w:val="24"/>
          <w:szCs w:val="24"/>
        </w:rPr>
      </w:pPr>
    </w:p>
    <w:p w14:paraId="45490960" w14:textId="77777777" w:rsidR="00343E62" w:rsidRPr="009A539C" w:rsidRDefault="00343E62" w:rsidP="00343E62">
      <w:pPr>
        <w:spacing w:after="0" w:line="240" w:lineRule="auto"/>
        <w:jc w:val="both"/>
        <w:rPr>
          <w:rFonts w:ascii="Times New Roman" w:hAnsi="Times New Roman"/>
          <w:sz w:val="24"/>
          <w:szCs w:val="24"/>
        </w:rPr>
      </w:pPr>
      <w:r w:rsidRPr="009A539C">
        <w:rPr>
          <w:rFonts w:ascii="Times New Roman" w:hAnsi="Times New Roman"/>
          <w:sz w:val="24"/>
          <w:szCs w:val="24"/>
        </w:rPr>
        <w:t>4.5 A comparação por sector dos trabalhadores abrangidos por convenções publicadas que introduziram alterações salariais com o total de trabalhadores declarados por sector nos Quadros de Pessoal (assumindo que a diferença nos valores de 2019 não seja substancial face a 2018) revela uma cobertura baixa em todas as actividades e uma cobertura ínfima em várias delas (como as actividades administrativas e os serviços de apoio e as actividades de informação e de comunicação, para nos limitarmos a dois exemplos).</w:t>
      </w:r>
    </w:p>
    <w:p w14:paraId="1DF98B4F" w14:textId="77777777" w:rsidR="00343E62" w:rsidRPr="009A539C" w:rsidRDefault="00343E62" w:rsidP="00343E62">
      <w:pPr>
        <w:spacing w:after="0" w:line="240" w:lineRule="auto"/>
        <w:jc w:val="both"/>
        <w:rPr>
          <w:rFonts w:ascii="Times New Roman" w:hAnsi="Times New Roman"/>
          <w:sz w:val="24"/>
          <w:szCs w:val="24"/>
        </w:rPr>
      </w:pPr>
    </w:p>
    <w:p w14:paraId="09620A9A" w14:textId="77777777" w:rsidR="00343E62" w:rsidRPr="009A539C" w:rsidRDefault="00343E62" w:rsidP="00343E62">
      <w:pPr>
        <w:spacing w:after="0" w:line="240" w:lineRule="auto"/>
        <w:jc w:val="both"/>
        <w:rPr>
          <w:rFonts w:ascii="Times New Roman" w:hAnsi="Times New Roman"/>
          <w:sz w:val="24"/>
          <w:szCs w:val="24"/>
        </w:rPr>
      </w:pPr>
      <w:r w:rsidRPr="009A539C">
        <w:rPr>
          <w:rFonts w:ascii="Times New Roman" w:hAnsi="Times New Roman"/>
          <w:sz w:val="24"/>
          <w:szCs w:val="24"/>
        </w:rPr>
        <w:t xml:space="preserve">4.6 Regista-se uma clara melhoria ao período médio de eficácia nos últimos anos, ainda que o valor registado em 2019 (16.3 meses) seja elevado. </w:t>
      </w:r>
    </w:p>
    <w:p w14:paraId="113D7291" w14:textId="77777777" w:rsidR="00343E62" w:rsidRPr="009A539C" w:rsidRDefault="00343E62" w:rsidP="00343E62">
      <w:pPr>
        <w:spacing w:after="0" w:line="240" w:lineRule="auto"/>
        <w:jc w:val="both"/>
        <w:rPr>
          <w:rFonts w:ascii="Times New Roman" w:hAnsi="Times New Roman"/>
          <w:sz w:val="24"/>
          <w:szCs w:val="24"/>
        </w:rPr>
      </w:pPr>
    </w:p>
    <w:p w14:paraId="7D60D620" w14:textId="77777777" w:rsidR="00343E62" w:rsidRPr="009A539C" w:rsidRDefault="00343E62" w:rsidP="00343E62">
      <w:pPr>
        <w:spacing w:after="0" w:line="240" w:lineRule="auto"/>
        <w:jc w:val="both"/>
        <w:rPr>
          <w:rFonts w:ascii="Times New Roman" w:hAnsi="Times New Roman"/>
          <w:sz w:val="24"/>
          <w:szCs w:val="24"/>
        </w:rPr>
      </w:pPr>
      <w:r w:rsidRPr="009A539C">
        <w:rPr>
          <w:rFonts w:ascii="Times New Roman" w:hAnsi="Times New Roman"/>
          <w:sz w:val="24"/>
          <w:szCs w:val="24"/>
        </w:rPr>
        <w:t>4.7 O Relatório refere a publicação em 2019 de uma PCT para os trabalhadores administrativos não abrangidos por regulamentação específica. Esta PCT é importante na medida em que envolve um número significativo de trabalhadores pelo que valeria a pena ter referido as vicissitudes deste processo. Salientamos que, embora a Comissão Técnica para a preparação de estudos preparatórios para a emissão da portaria tenha sido publicada em Fevereiro de 2019 (BTE 6 do dia 15), a PCT só veio a ser publicada já este ano (no BTE 2 de 15 de Janeiro), embora a Portaria referida no Relatório fosse publicada no último dia do ano (Portaria n.º411-A/2019). Esta morosidade teve consequências na produção de efeitos (nº 2 do artigo 3º).</w:t>
      </w:r>
    </w:p>
    <w:p w14:paraId="07038556" w14:textId="77777777" w:rsidR="00343E62" w:rsidRPr="009A539C" w:rsidRDefault="00343E62" w:rsidP="00343E62">
      <w:pPr>
        <w:spacing w:after="0" w:line="240" w:lineRule="auto"/>
        <w:jc w:val="both"/>
        <w:rPr>
          <w:rFonts w:ascii="Times New Roman" w:hAnsi="Times New Roman"/>
          <w:sz w:val="24"/>
          <w:szCs w:val="24"/>
        </w:rPr>
      </w:pPr>
    </w:p>
    <w:p w14:paraId="2D1EE386" w14:textId="77777777" w:rsidR="00343E62" w:rsidRPr="009A539C" w:rsidRDefault="00343E62" w:rsidP="00343E62">
      <w:pPr>
        <w:spacing w:after="0" w:line="240" w:lineRule="auto"/>
        <w:jc w:val="both"/>
        <w:rPr>
          <w:rFonts w:ascii="Times New Roman" w:hAnsi="Times New Roman"/>
          <w:sz w:val="24"/>
          <w:szCs w:val="24"/>
        </w:rPr>
      </w:pPr>
    </w:p>
    <w:p w14:paraId="150B56C3" w14:textId="77777777" w:rsidR="00343E62" w:rsidRPr="009A539C" w:rsidRDefault="00343E62" w:rsidP="00343E62">
      <w:pPr>
        <w:spacing w:after="0" w:line="240" w:lineRule="auto"/>
        <w:jc w:val="both"/>
        <w:rPr>
          <w:rFonts w:ascii="Times New Roman" w:hAnsi="Times New Roman"/>
          <w:sz w:val="24"/>
          <w:szCs w:val="24"/>
        </w:rPr>
      </w:pPr>
    </w:p>
    <w:p w14:paraId="5ABD57E7" w14:textId="6F0C2A77" w:rsidR="00343E62" w:rsidRPr="00B90788" w:rsidRDefault="00343E62" w:rsidP="00343E62">
      <w:pPr>
        <w:ind w:right="-1"/>
        <w:jc w:val="center"/>
        <w:rPr>
          <w:rFonts w:eastAsia="Times New Roman" w:cstheme="minorHAnsi"/>
          <w:b/>
          <w:caps/>
          <w:sz w:val="24"/>
          <w:lang w:eastAsia="pt-PT"/>
        </w:rPr>
      </w:pPr>
      <w:r w:rsidRPr="009A539C">
        <w:rPr>
          <w:rFonts w:ascii="Times New Roman" w:hAnsi="Times New Roman"/>
          <w:sz w:val="24"/>
          <w:szCs w:val="24"/>
        </w:rPr>
        <w:t>Lisboa, 11.7.2020</w:t>
      </w:r>
    </w:p>
    <w:p w14:paraId="605056C7" w14:textId="23F1C99A" w:rsidR="00D2572A" w:rsidRDefault="00D2572A" w:rsidP="00D2572A">
      <w:pPr>
        <w:ind w:right="-1"/>
        <w:rPr>
          <w:rFonts w:ascii="Calibri" w:eastAsia="Times New Roman" w:hAnsi="Calibri" w:cs="Calibri"/>
          <w:sz w:val="18"/>
          <w:szCs w:val="18"/>
          <w:lang w:eastAsia="pt-PT"/>
        </w:rPr>
      </w:pPr>
    </w:p>
    <w:p w14:paraId="0DD47ACC" w14:textId="77777777" w:rsidR="00FE0E8E" w:rsidRDefault="00FE0E8E" w:rsidP="00D2572A">
      <w:pPr>
        <w:ind w:right="-1"/>
        <w:rPr>
          <w:rFonts w:ascii="Calibri" w:eastAsia="Times New Roman" w:hAnsi="Calibri" w:cs="Calibri"/>
          <w:sz w:val="18"/>
          <w:szCs w:val="18"/>
          <w:lang w:eastAsia="pt-PT"/>
        </w:rPr>
      </w:pPr>
    </w:p>
    <w:p w14:paraId="2B77A2AD" w14:textId="77777777" w:rsidR="00FE0E8E" w:rsidRDefault="00FE0E8E" w:rsidP="00D2572A">
      <w:pPr>
        <w:ind w:right="-1"/>
        <w:rPr>
          <w:rFonts w:ascii="Calibri" w:eastAsia="Times New Roman" w:hAnsi="Calibri" w:cs="Calibri"/>
          <w:sz w:val="18"/>
          <w:szCs w:val="18"/>
          <w:lang w:eastAsia="pt-PT"/>
        </w:rPr>
      </w:pPr>
    </w:p>
    <w:p w14:paraId="27A89407" w14:textId="77777777" w:rsidR="00FE0E8E" w:rsidRDefault="00FE0E8E" w:rsidP="00D2572A">
      <w:pPr>
        <w:ind w:right="-1"/>
        <w:rPr>
          <w:rFonts w:ascii="Calibri" w:eastAsia="Times New Roman" w:hAnsi="Calibri" w:cs="Calibri"/>
          <w:sz w:val="18"/>
          <w:szCs w:val="18"/>
          <w:lang w:eastAsia="pt-PT"/>
        </w:rPr>
      </w:pPr>
    </w:p>
    <w:p w14:paraId="09438778" w14:textId="77777777" w:rsidR="00FE0E8E" w:rsidRDefault="00FE0E8E" w:rsidP="00D2572A">
      <w:pPr>
        <w:ind w:right="-1"/>
        <w:rPr>
          <w:rFonts w:ascii="Calibri" w:eastAsia="Times New Roman" w:hAnsi="Calibri" w:cs="Calibri"/>
          <w:sz w:val="18"/>
          <w:szCs w:val="18"/>
          <w:lang w:eastAsia="pt-PT"/>
        </w:rPr>
      </w:pPr>
    </w:p>
    <w:p w14:paraId="7EB0BF89" w14:textId="77777777" w:rsidR="00FE0E8E" w:rsidRDefault="00FE0E8E" w:rsidP="00D2572A">
      <w:pPr>
        <w:ind w:right="-1"/>
        <w:rPr>
          <w:rFonts w:ascii="Calibri" w:eastAsia="Times New Roman" w:hAnsi="Calibri" w:cs="Calibri"/>
          <w:sz w:val="18"/>
          <w:szCs w:val="18"/>
          <w:lang w:eastAsia="pt-PT"/>
        </w:rPr>
      </w:pPr>
    </w:p>
    <w:p w14:paraId="5DB0ECC5" w14:textId="77777777" w:rsidR="00FE0E8E" w:rsidRDefault="00FE0E8E" w:rsidP="00D2572A">
      <w:pPr>
        <w:ind w:right="-1"/>
        <w:rPr>
          <w:rFonts w:ascii="Calibri" w:eastAsia="Times New Roman" w:hAnsi="Calibri" w:cs="Calibri"/>
          <w:sz w:val="18"/>
          <w:szCs w:val="18"/>
          <w:lang w:eastAsia="pt-PT"/>
        </w:rPr>
      </w:pPr>
    </w:p>
    <w:p w14:paraId="67782119" w14:textId="77777777" w:rsidR="00FE0E8E" w:rsidRDefault="00FE0E8E" w:rsidP="00D2572A">
      <w:pPr>
        <w:ind w:right="-1"/>
        <w:rPr>
          <w:rFonts w:ascii="Calibri" w:eastAsia="Times New Roman" w:hAnsi="Calibri" w:cs="Calibri"/>
          <w:sz w:val="18"/>
          <w:szCs w:val="18"/>
          <w:lang w:eastAsia="pt-PT"/>
        </w:rPr>
      </w:pPr>
    </w:p>
    <w:p w14:paraId="069AACA1" w14:textId="77777777" w:rsidR="00FE0E8E" w:rsidRDefault="00FE0E8E" w:rsidP="00D2572A">
      <w:pPr>
        <w:ind w:right="-1"/>
        <w:rPr>
          <w:rFonts w:ascii="Calibri" w:eastAsia="Times New Roman" w:hAnsi="Calibri" w:cs="Calibri"/>
          <w:sz w:val="18"/>
          <w:szCs w:val="18"/>
          <w:lang w:eastAsia="pt-PT"/>
        </w:rPr>
      </w:pPr>
    </w:p>
    <w:p w14:paraId="76DD4938" w14:textId="77777777" w:rsidR="00FE0E8E" w:rsidRDefault="00FE0E8E" w:rsidP="00D2572A">
      <w:pPr>
        <w:ind w:right="-1"/>
        <w:rPr>
          <w:rFonts w:ascii="Calibri" w:eastAsia="Times New Roman" w:hAnsi="Calibri" w:cs="Calibri"/>
          <w:sz w:val="18"/>
          <w:szCs w:val="18"/>
          <w:lang w:eastAsia="pt-PT"/>
        </w:rPr>
      </w:pPr>
    </w:p>
    <w:p w14:paraId="224ED40B" w14:textId="77777777" w:rsidR="00FE0E8E" w:rsidRDefault="00FE0E8E" w:rsidP="00D2572A">
      <w:pPr>
        <w:ind w:right="-1"/>
        <w:rPr>
          <w:rFonts w:ascii="Calibri" w:eastAsia="Times New Roman" w:hAnsi="Calibri" w:cs="Calibri"/>
          <w:sz w:val="18"/>
          <w:szCs w:val="18"/>
          <w:lang w:eastAsia="pt-PT"/>
        </w:rPr>
      </w:pPr>
    </w:p>
    <w:p w14:paraId="452976A6" w14:textId="77777777" w:rsidR="00FE0E8E" w:rsidRDefault="00FE0E8E" w:rsidP="00D2572A">
      <w:pPr>
        <w:ind w:right="-1"/>
        <w:rPr>
          <w:rFonts w:ascii="Calibri" w:eastAsia="Times New Roman" w:hAnsi="Calibri" w:cs="Calibri"/>
          <w:sz w:val="18"/>
          <w:szCs w:val="18"/>
          <w:lang w:eastAsia="pt-PT"/>
        </w:rPr>
      </w:pPr>
    </w:p>
    <w:p w14:paraId="62B9912C" w14:textId="77777777" w:rsidR="00FE0E8E" w:rsidRDefault="00FE0E8E" w:rsidP="00D2572A">
      <w:pPr>
        <w:ind w:right="-1"/>
        <w:rPr>
          <w:rFonts w:ascii="Calibri" w:eastAsia="Times New Roman" w:hAnsi="Calibri" w:cs="Calibri"/>
          <w:sz w:val="18"/>
          <w:szCs w:val="18"/>
          <w:lang w:eastAsia="pt-PT"/>
        </w:rPr>
      </w:pPr>
    </w:p>
    <w:p w14:paraId="04034125" w14:textId="77777777" w:rsidR="00FE0E8E" w:rsidRDefault="00FE0E8E" w:rsidP="00D2572A">
      <w:pPr>
        <w:ind w:right="-1"/>
        <w:rPr>
          <w:rFonts w:ascii="Calibri" w:eastAsia="Times New Roman" w:hAnsi="Calibri" w:cs="Calibri"/>
          <w:sz w:val="18"/>
          <w:szCs w:val="18"/>
          <w:lang w:eastAsia="pt-PT"/>
        </w:rPr>
      </w:pPr>
    </w:p>
    <w:p w14:paraId="0BE6DB19" w14:textId="77777777" w:rsidR="00FE0E8E" w:rsidRDefault="00FE0E8E" w:rsidP="00D2572A">
      <w:pPr>
        <w:ind w:right="-1"/>
        <w:rPr>
          <w:rFonts w:ascii="Calibri" w:eastAsia="Times New Roman" w:hAnsi="Calibri" w:cs="Calibri"/>
          <w:sz w:val="18"/>
          <w:szCs w:val="18"/>
          <w:lang w:eastAsia="pt-PT"/>
        </w:rPr>
      </w:pPr>
    </w:p>
    <w:p w14:paraId="326FF977" w14:textId="77777777" w:rsidR="00FE0E8E" w:rsidRDefault="00FE0E8E" w:rsidP="00D2572A">
      <w:pPr>
        <w:ind w:right="-1"/>
        <w:rPr>
          <w:rFonts w:ascii="Calibri" w:eastAsia="Times New Roman" w:hAnsi="Calibri" w:cs="Calibri"/>
          <w:sz w:val="18"/>
          <w:szCs w:val="18"/>
          <w:lang w:eastAsia="pt-PT"/>
        </w:rPr>
      </w:pPr>
    </w:p>
    <w:p w14:paraId="0CC22A97" w14:textId="77777777" w:rsidR="00FE0E8E" w:rsidRDefault="00FE0E8E" w:rsidP="00D2572A">
      <w:pPr>
        <w:ind w:right="-1"/>
        <w:rPr>
          <w:rFonts w:ascii="Calibri" w:eastAsia="Times New Roman" w:hAnsi="Calibri" w:cs="Calibri"/>
          <w:sz w:val="18"/>
          <w:szCs w:val="18"/>
          <w:lang w:eastAsia="pt-PT"/>
        </w:rPr>
      </w:pPr>
    </w:p>
    <w:p w14:paraId="0FE8ACF6" w14:textId="77777777" w:rsidR="00FE0E8E" w:rsidRDefault="00FE0E8E" w:rsidP="00D2572A">
      <w:pPr>
        <w:ind w:right="-1"/>
        <w:rPr>
          <w:rFonts w:ascii="Calibri" w:eastAsia="Times New Roman" w:hAnsi="Calibri" w:cs="Calibri"/>
          <w:sz w:val="18"/>
          <w:szCs w:val="18"/>
          <w:lang w:eastAsia="pt-PT"/>
        </w:rPr>
      </w:pPr>
    </w:p>
    <w:p w14:paraId="6C40257E" w14:textId="77777777" w:rsidR="00FE0E8E" w:rsidRDefault="00FE0E8E" w:rsidP="00D2572A">
      <w:pPr>
        <w:ind w:right="-1"/>
        <w:rPr>
          <w:rFonts w:ascii="Calibri" w:eastAsia="Times New Roman" w:hAnsi="Calibri" w:cs="Calibri"/>
          <w:sz w:val="18"/>
          <w:szCs w:val="18"/>
          <w:lang w:eastAsia="pt-PT"/>
        </w:rPr>
      </w:pPr>
    </w:p>
    <w:p w14:paraId="73EB4197" w14:textId="77777777" w:rsidR="00FE0E8E" w:rsidRPr="008C777F" w:rsidRDefault="00FE0E8E" w:rsidP="00D2572A">
      <w:pPr>
        <w:ind w:right="-1"/>
        <w:rPr>
          <w:rFonts w:ascii="Calibri" w:eastAsia="Times New Roman" w:hAnsi="Calibri" w:cs="Calibri"/>
          <w:sz w:val="18"/>
          <w:szCs w:val="18"/>
          <w:lang w:eastAsia="pt-PT"/>
        </w:rPr>
      </w:pPr>
    </w:p>
    <w:sectPr w:rsidR="00FE0E8E" w:rsidRPr="008C777F" w:rsidSect="00B92698">
      <w:footerReference w:type="default" r:id="rId149"/>
      <w:pgSz w:w="14033" w:h="16838"/>
      <w:pgMar w:top="20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04AD98" w14:textId="77777777" w:rsidR="004B7DBA" w:rsidRDefault="004B7DBA" w:rsidP="001D496E">
      <w:pPr>
        <w:spacing w:after="0" w:line="240" w:lineRule="auto"/>
      </w:pPr>
      <w:r>
        <w:separator/>
      </w:r>
    </w:p>
  </w:endnote>
  <w:endnote w:type="continuationSeparator" w:id="0">
    <w:p w14:paraId="2051D0E8" w14:textId="77777777" w:rsidR="004B7DBA" w:rsidRDefault="004B7DBA" w:rsidP="001D49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angal">
    <w:altName w:val="Liberation Mono"/>
    <w:panose1 w:val="00000400000000000000"/>
    <w:charset w:val="01"/>
    <w:family w:val="roman"/>
    <w:notTrueType/>
    <w:pitch w:val="variable"/>
    <w:sig w:usb0="00002000" w:usb1="00000000" w:usb2="00000000" w:usb3="00000000" w:csb0="00000000" w:csb1="00000000"/>
  </w:font>
  <w:font w:name="Bookman Old Style">
    <w:panose1 w:val="02050604050505020204"/>
    <w:charset w:val="00"/>
    <w:family w:val="roman"/>
    <w:pitch w:val="variable"/>
    <w:sig w:usb0="00000287" w:usb1="00000000" w:usb2="00000000" w:usb3="00000000" w:csb0="0000009F" w:csb1="00000000"/>
  </w:font>
  <w:font w:name="TimesNewRomanPSMT">
    <w:altName w:val="Times New Roman"/>
    <w:charset w:val="00"/>
    <w:family w:val="auto"/>
    <w:pitch w:val="variable"/>
    <w:sig w:usb0="E0002AEF" w:usb1="C0007841"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Arial-BoldMT">
    <w:charset w:val="00"/>
    <w:family w:val="auto"/>
    <w:pitch w:val="variable"/>
    <w:sig w:usb0="E0002AFF" w:usb1="C0007843" w:usb2="00000009" w:usb3="00000000" w:csb0="000001FF" w:csb1="00000000"/>
  </w:font>
  <w:font w:name="Glosa Text Roman">
    <w:altName w:val="Glosa Text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045383"/>
      <w:docPartObj>
        <w:docPartGallery w:val="Page Numbers (Bottom of Page)"/>
        <w:docPartUnique/>
      </w:docPartObj>
    </w:sdtPr>
    <w:sdtEndPr/>
    <w:sdtContent>
      <w:p w14:paraId="75A9B649" w14:textId="77777777" w:rsidR="004B7DBA" w:rsidRPr="00F53839" w:rsidRDefault="004B7DBA" w:rsidP="00B31279">
        <w:pPr>
          <w:pStyle w:val="Rodap"/>
          <w:tabs>
            <w:tab w:val="left" w:pos="1956"/>
          </w:tabs>
          <w:rPr>
            <w:lang w:val="en-US"/>
          </w:rPr>
        </w:pPr>
        <w:r>
          <w:rPr>
            <w:lang w:val="en-US"/>
          </w:rPr>
          <w:tab/>
        </w:r>
        <w:r>
          <w:rPr>
            <w:lang w:val="en-US"/>
          </w:rPr>
          <w:tab/>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1378012"/>
      <w:docPartObj>
        <w:docPartGallery w:val="Page Numbers (Bottom of Page)"/>
        <w:docPartUnique/>
      </w:docPartObj>
    </w:sdtPr>
    <w:sdtEndPr/>
    <w:sdtContent>
      <w:p w14:paraId="77EAA305" w14:textId="77777777" w:rsidR="004B7DBA" w:rsidRDefault="004B7DBA">
        <w:pPr>
          <w:pStyle w:val="Rodap"/>
          <w:jc w:val="right"/>
        </w:pPr>
        <w:r>
          <w:fldChar w:fldCharType="begin"/>
        </w:r>
        <w:r>
          <w:instrText>PAGE</w:instrText>
        </w:r>
        <w:r>
          <w:fldChar w:fldCharType="separate"/>
        </w:r>
        <w:r>
          <w:rPr>
            <w:noProof/>
          </w:rPr>
          <w:t>1</w:t>
        </w:r>
        <w:r>
          <w:rPr>
            <w:noProof/>
          </w:rPr>
          <w:fldChar w:fldCharType="end"/>
        </w:r>
      </w:p>
    </w:sdtContent>
  </w:sdt>
  <w:p w14:paraId="7F7CF2BF" w14:textId="77777777" w:rsidR="004B7DBA" w:rsidRDefault="004B7DBA">
    <w:pPr>
      <w:pStyle w:val="Rodap"/>
      <w:tabs>
        <w:tab w:val="left" w:pos="11111"/>
      </w:tabs>
      <w:jc w:val="right"/>
    </w:pPr>
  </w:p>
  <w:p w14:paraId="77797402" w14:textId="77777777" w:rsidR="004B7DBA" w:rsidRDefault="004B7DB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1642019"/>
      <w:docPartObj>
        <w:docPartGallery w:val="Page Numbers (Bottom of Page)"/>
        <w:docPartUnique/>
      </w:docPartObj>
    </w:sdtPr>
    <w:sdtEndPr/>
    <w:sdtContent>
      <w:p w14:paraId="4B58F044" w14:textId="3E6B6A67" w:rsidR="00211AE0" w:rsidRDefault="00211AE0">
        <w:pPr>
          <w:pStyle w:val="Rodap"/>
          <w:jc w:val="center"/>
        </w:pPr>
        <w:r>
          <w:fldChar w:fldCharType="begin"/>
        </w:r>
        <w:r>
          <w:instrText>PAGE   \* MERGEFORMAT</w:instrText>
        </w:r>
        <w:r>
          <w:fldChar w:fldCharType="separate"/>
        </w:r>
        <w:r w:rsidR="00E742C1">
          <w:rPr>
            <w:noProof/>
          </w:rPr>
          <w:t>9</w:t>
        </w:r>
        <w:r>
          <w:fldChar w:fldCharType="end"/>
        </w:r>
      </w:p>
    </w:sdtContent>
  </w:sdt>
  <w:p w14:paraId="52EEF2EA" w14:textId="77777777" w:rsidR="004B7DBA" w:rsidRDefault="004B7DBA" w:rsidP="00211AE0">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3E7912" w14:textId="77777777" w:rsidR="004B7DBA" w:rsidRDefault="004B7DBA" w:rsidP="001D496E">
      <w:pPr>
        <w:spacing w:after="0" w:line="240" w:lineRule="auto"/>
      </w:pPr>
      <w:r>
        <w:separator/>
      </w:r>
    </w:p>
  </w:footnote>
  <w:footnote w:type="continuationSeparator" w:id="0">
    <w:p w14:paraId="3D36200F" w14:textId="77777777" w:rsidR="004B7DBA" w:rsidRDefault="004B7DBA" w:rsidP="001D496E">
      <w:pPr>
        <w:spacing w:after="0" w:line="240" w:lineRule="auto"/>
      </w:pPr>
      <w:r>
        <w:continuationSeparator/>
      </w:r>
    </w:p>
  </w:footnote>
  <w:footnote w:id="1">
    <w:p w14:paraId="69812F4A" w14:textId="77777777" w:rsidR="004B7DBA" w:rsidRPr="004B5630" w:rsidRDefault="004B7DBA" w:rsidP="0031241C">
      <w:pPr>
        <w:pStyle w:val="Textodenotaderodap"/>
      </w:pPr>
      <w:r w:rsidRPr="004B5630">
        <w:rPr>
          <w:rStyle w:val="Refdenotaderodap"/>
          <w:rFonts w:eastAsiaTheme="majorEastAsia"/>
        </w:rPr>
        <w:footnoteRef/>
      </w:r>
      <w:r w:rsidRPr="004B5630">
        <w:t xml:space="preserve"> </w:t>
      </w:r>
      <w:r w:rsidRPr="004B5630">
        <w:rPr>
          <w:bCs/>
        </w:rPr>
        <w:t xml:space="preserve">Sérgio Monteiro do Monte presidiu ao CRL até 30-6-20 e após essa data foi eleita </w:t>
      </w:r>
      <w:r w:rsidRPr="004B5630">
        <w:t xml:space="preserve">Ana Cristina Vieira </w:t>
      </w:r>
    </w:p>
  </w:footnote>
  <w:footnote w:id="2">
    <w:p w14:paraId="19B29BB2" w14:textId="48E6669F" w:rsidR="004B7DBA" w:rsidRPr="004B5630" w:rsidRDefault="004B7DBA" w:rsidP="007F3823">
      <w:pPr>
        <w:pStyle w:val="NotaRodap"/>
        <w:tabs>
          <w:tab w:val="clear" w:pos="284"/>
          <w:tab w:val="left" w:pos="142"/>
        </w:tabs>
        <w:ind w:left="425" w:hanging="425"/>
        <w:rPr>
          <w:rFonts w:cs="Calibri"/>
          <w:szCs w:val="18"/>
        </w:rPr>
      </w:pPr>
      <w:r w:rsidRPr="004B5630">
        <w:rPr>
          <w:rStyle w:val="Refdenotaderodap"/>
          <w:rFonts w:eastAsiaTheme="majorEastAsia" w:cs="Calibri"/>
          <w:szCs w:val="18"/>
        </w:rPr>
        <w:footnoteRef/>
      </w:r>
      <w:r w:rsidRPr="004B5630">
        <w:rPr>
          <w:rFonts w:cs="Calibri"/>
          <w:szCs w:val="18"/>
        </w:rPr>
        <w:t xml:space="preserve"> </w:t>
      </w:r>
      <w:r w:rsidRPr="004B5630">
        <w:rPr>
          <w:rFonts w:cs="Calibri"/>
          <w:szCs w:val="18"/>
        </w:rPr>
        <w:tab/>
      </w:r>
      <w:r w:rsidRPr="004B5630">
        <w:rPr>
          <w:rFonts w:cs="Calibri"/>
          <w:szCs w:val="18"/>
        </w:rPr>
        <w:tab/>
        <w:t xml:space="preserve">Segundo o INE, o conceito de população empregada abrange também os trabalhadores por conta própria </w:t>
      </w:r>
      <w:r w:rsidRPr="004B5630">
        <w:rPr>
          <w:rStyle w:val="NotaRodapChar"/>
          <w:rFonts w:cs="Calibri"/>
          <w:szCs w:val="18"/>
        </w:rPr>
        <w:t>e</w:t>
      </w:r>
      <w:r w:rsidRPr="004B5630">
        <w:rPr>
          <w:rFonts w:cs="Calibri"/>
          <w:szCs w:val="18"/>
        </w:rPr>
        <w:t xml:space="preserve"> o conceito de trabalhadores inclui também os trabalhadores da Administração Pública.</w:t>
      </w:r>
    </w:p>
  </w:footnote>
  <w:footnote w:id="3">
    <w:p w14:paraId="740BB548" w14:textId="064D5190" w:rsidR="004B7DBA" w:rsidRPr="004B5630" w:rsidRDefault="004B7DBA" w:rsidP="007F3823">
      <w:pPr>
        <w:pStyle w:val="Textodenotaderodap"/>
        <w:tabs>
          <w:tab w:val="left" w:pos="426"/>
        </w:tabs>
        <w:ind w:left="425" w:hanging="425"/>
        <w:rPr>
          <w:rFonts w:ascii="Calibri" w:hAnsi="Calibri" w:cs="Calibri"/>
          <w:sz w:val="18"/>
          <w:szCs w:val="18"/>
        </w:rPr>
      </w:pPr>
      <w:r w:rsidRPr="004B5630">
        <w:rPr>
          <w:rStyle w:val="Refdenotaderodap"/>
          <w:rFonts w:ascii="Calibri" w:hAnsi="Calibri" w:cs="Calibri"/>
          <w:sz w:val="18"/>
          <w:szCs w:val="18"/>
        </w:rPr>
        <w:footnoteRef/>
      </w:r>
      <w:r w:rsidRPr="004B5630">
        <w:rPr>
          <w:rFonts w:ascii="Calibri" w:hAnsi="Calibri" w:cs="Calibri"/>
          <w:sz w:val="18"/>
          <w:szCs w:val="18"/>
        </w:rPr>
        <w:t xml:space="preserve">  </w:t>
      </w:r>
      <w:r w:rsidRPr="004B5630">
        <w:rPr>
          <w:rFonts w:ascii="Calibri" w:hAnsi="Calibri" w:cs="Calibri"/>
          <w:sz w:val="18"/>
          <w:szCs w:val="18"/>
        </w:rPr>
        <w:tab/>
        <w:t>É também relevante a consulta dos dados constantes do Boletim Económico do Banco de Portugal.</w:t>
      </w:r>
    </w:p>
  </w:footnote>
  <w:footnote w:id="4">
    <w:p w14:paraId="00367F26" w14:textId="1FB38DF1" w:rsidR="004B7DBA" w:rsidRPr="004B5630" w:rsidRDefault="004B7DBA" w:rsidP="00DF7CD7">
      <w:pPr>
        <w:pStyle w:val="Textodecomentrio"/>
        <w:tabs>
          <w:tab w:val="left" w:pos="142"/>
        </w:tabs>
        <w:ind w:left="142" w:hanging="142"/>
        <w:jc w:val="both"/>
        <w:rPr>
          <w:rFonts w:asciiTheme="minorHAnsi" w:hAnsiTheme="minorHAnsi" w:cstheme="minorHAnsi"/>
          <w:sz w:val="18"/>
          <w:szCs w:val="18"/>
        </w:rPr>
      </w:pPr>
      <w:r w:rsidRPr="004B5630">
        <w:rPr>
          <w:rStyle w:val="Refdenotaderodap"/>
          <w:rFonts w:asciiTheme="minorHAnsi" w:eastAsiaTheme="majorEastAsia" w:hAnsiTheme="minorHAnsi" w:cstheme="minorHAnsi"/>
          <w:sz w:val="18"/>
          <w:szCs w:val="18"/>
        </w:rPr>
        <w:footnoteRef/>
      </w:r>
      <w:r w:rsidRPr="004B5630">
        <w:rPr>
          <w:rFonts w:asciiTheme="minorHAnsi" w:hAnsiTheme="minorHAnsi" w:cstheme="minorHAnsi"/>
          <w:sz w:val="18"/>
          <w:szCs w:val="18"/>
        </w:rPr>
        <w:t xml:space="preserve"> </w:t>
      </w:r>
      <w:r w:rsidRPr="004B5630">
        <w:rPr>
          <w:rFonts w:asciiTheme="minorHAnsi" w:hAnsiTheme="minorHAnsi" w:cstheme="minorHAnsi"/>
          <w:sz w:val="18"/>
          <w:szCs w:val="18"/>
        </w:rPr>
        <w:tab/>
        <w:t>Dados divulgados pelo GEP na edição anual “Quadros de Pessoal” (disponíveis até 2018). O preenchimento do Relatório Único/ Quadros de Pessoal resulta do art. 32.º da L. n.º 105/2009, de 14 de setembro, conjugado com a Portaria n.º 55/2010 de 21 de janeiro, que obriga o empregador à prestação anual de informação sobre a atividade social da empresa, incluindo remunerações, duração do trabalho, trabalho suplementar, contratação a termo, formação profissional, segurança e saúde no trabalho e quadro de pessoal. É, assim, uma fonte estatística que espelha a informação carreada pelas empresas. Os “Quadros de Pessoal” incidem sobre a situação verificada no ano anterior ao da sua entrega e as empresas devem reportar-se aos trabalhadores abrangidos, e IRCT aplicáveis, a outubro do ano de análise. Até ao momento apenas se encontram disponíveis dados até 2018 – cfr.</w:t>
      </w:r>
      <w:hyperlink r:id="rId1">
        <w:r w:rsidRPr="004B5630">
          <w:rPr>
            <w:rStyle w:val="LigaodeInternet"/>
            <w:rFonts w:asciiTheme="minorHAnsi" w:hAnsiTheme="minorHAnsi" w:cstheme="minorHAnsi"/>
            <w:vanish/>
            <w:webHidden/>
            <w:sz w:val="18"/>
            <w:szCs w:val="18"/>
          </w:rPr>
          <w:t>www.gep.msess.gov.pt</w:t>
        </w:r>
      </w:hyperlink>
      <w:r w:rsidRPr="004B5630">
        <w:rPr>
          <w:rFonts w:asciiTheme="minorHAnsi" w:hAnsiTheme="minorHAnsi" w:cstheme="minorHAnsi"/>
          <w:sz w:val="18"/>
          <w:szCs w:val="18"/>
        </w:rPr>
        <w:t xml:space="preserve"> </w:t>
      </w:r>
      <w:hyperlink r:id="rId2" w:history="1">
        <w:r w:rsidRPr="004B5630">
          <w:rPr>
            <w:rStyle w:val="Hiperligao"/>
            <w:rFonts w:asciiTheme="minorHAnsi" w:hAnsiTheme="minorHAnsi" w:cstheme="minorHAnsi"/>
            <w:sz w:val="18"/>
            <w:szCs w:val="18"/>
          </w:rPr>
          <w:t>http://www.gep.mtsss.gov.pt/</w:t>
        </w:r>
      </w:hyperlink>
      <w:r w:rsidRPr="004B5630">
        <w:rPr>
          <w:rFonts w:asciiTheme="minorHAnsi" w:hAnsiTheme="minorHAnsi" w:cstheme="minorHAnsi"/>
          <w:sz w:val="18"/>
          <w:szCs w:val="18"/>
        </w:rPr>
        <w:t>.</w:t>
      </w:r>
    </w:p>
  </w:footnote>
  <w:footnote w:id="5">
    <w:p w14:paraId="5C2B3827" w14:textId="77777777" w:rsidR="004B7DBA" w:rsidRPr="004B5630" w:rsidRDefault="004B7DBA" w:rsidP="00DF7CD7">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 xml:space="preserve">Orçamento do Estado de 2020, aprovado pela Lei n.º2/2020, de 31 de março, </w:t>
      </w:r>
      <w:r w:rsidRPr="004B5630">
        <w:rPr>
          <w:rFonts w:eastAsia="Calibri" w:cs="TimesNewRomanPSMT"/>
          <w:sz w:val="18"/>
          <w:szCs w:val="18"/>
        </w:rPr>
        <w:t>aplicando-se assim às relações laborais</w:t>
      </w:r>
      <w:r w:rsidRPr="004B5630">
        <w:rPr>
          <w:sz w:val="18"/>
          <w:szCs w:val="18"/>
        </w:rPr>
        <w:t xml:space="preserve"> a partir de abril de 2020.</w:t>
      </w:r>
    </w:p>
  </w:footnote>
  <w:footnote w:id="6">
    <w:p w14:paraId="011604FE" w14:textId="77B289D4" w:rsidR="004B7DBA" w:rsidRPr="004B5630" w:rsidRDefault="004B7DBA" w:rsidP="00DF7CD7">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D</w:t>
      </w:r>
      <w:r w:rsidRPr="004B5630">
        <w:rPr>
          <w:rFonts w:eastAsia="Calibri" w:cs="TimesNewRomanPSMT"/>
          <w:sz w:val="18"/>
          <w:szCs w:val="18"/>
        </w:rPr>
        <w:t>iretiva (EU) 2019/1158 do Parlamento Europeu e do Conselho, 20 de junho de 2019</w:t>
      </w:r>
      <w:r w:rsidRPr="004B5630">
        <w:rPr>
          <w:sz w:val="18"/>
          <w:szCs w:val="18"/>
        </w:rPr>
        <w:t>, r</w:t>
      </w:r>
      <w:r w:rsidRPr="004B5630">
        <w:rPr>
          <w:rFonts w:eastAsia="Calibri" w:cs="TimesNewRomanPSMT"/>
          <w:sz w:val="18"/>
          <w:szCs w:val="18"/>
        </w:rPr>
        <w:t>evoga a Diretiva 2010/18/UE do Conselho, 8-3-2010 (JOL,18.3.2010) e deve ser transposta até 22 de agosto de 2022.</w:t>
      </w:r>
    </w:p>
  </w:footnote>
  <w:footnote w:id="7">
    <w:p w14:paraId="44CA2910" w14:textId="0C50725F" w:rsidR="004B7DBA" w:rsidRPr="004B5630" w:rsidRDefault="004B7DBA" w:rsidP="00DF7CD7">
      <w:pPr>
        <w:pStyle w:val="Textodenotaderodap"/>
        <w:tabs>
          <w:tab w:val="left" w:pos="426"/>
        </w:tabs>
        <w:ind w:left="425" w:hanging="425"/>
        <w:rPr>
          <w:rFonts w:eastAsia="Calibri" w:cs="TimesNewRomanPSMT"/>
          <w:sz w:val="18"/>
          <w:szCs w:val="18"/>
        </w:rPr>
      </w:pPr>
      <w:r w:rsidRPr="004B5630">
        <w:rPr>
          <w:rStyle w:val="Refdenotaderodap"/>
          <w:sz w:val="18"/>
          <w:szCs w:val="18"/>
        </w:rPr>
        <w:footnoteRef/>
      </w:r>
      <w:r w:rsidRPr="004B5630">
        <w:rPr>
          <w:sz w:val="18"/>
          <w:szCs w:val="18"/>
        </w:rPr>
        <w:t xml:space="preserve">   </w:t>
      </w:r>
      <w:r w:rsidRPr="004B5630">
        <w:rPr>
          <w:rFonts w:eastAsia="Calibri" w:cs="TimesNewRomanPSMT"/>
          <w:sz w:val="18"/>
          <w:szCs w:val="18"/>
        </w:rPr>
        <w:t xml:space="preserve"> </w:t>
      </w:r>
      <w:r w:rsidRPr="004B5630">
        <w:rPr>
          <w:rFonts w:eastAsia="Calibri" w:cs="TimesNewRomanPSMT"/>
          <w:sz w:val="18"/>
          <w:szCs w:val="18"/>
        </w:rPr>
        <w:tab/>
        <w:t xml:space="preserve">Em Portugal, para além da tutela de parentalidade (por exemplo, arts.51.º,52.º,55º e 56º, do CT, para pais de filho menor de 12 anos), a lei prevê a tutela de trabalhador com responsabilidades familiares, entre outros aspetos, quanto a faltas justificadas (art.art.249.º,2,do CT) e constitui um dos critérios de preferência, a definir por IRCT, na admissão de trabalho a tempo parcial (art.152.º, CT). </w:t>
      </w:r>
      <w:r w:rsidRPr="004B5630">
        <w:rPr>
          <w:sz w:val="18"/>
          <w:szCs w:val="18"/>
        </w:rPr>
        <w:t xml:space="preserve"> </w:t>
      </w:r>
    </w:p>
  </w:footnote>
  <w:footnote w:id="8">
    <w:p w14:paraId="1A962BC6" w14:textId="77777777" w:rsidR="004B7DBA" w:rsidRPr="004B5630" w:rsidRDefault="004B7DBA" w:rsidP="00DF7CD7">
      <w:pPr>
        <w:pStyle w:val="Textodenotaderodap"/>
        <w:tabs>
          <w:tab w:val="left" w:pos="426"/>
        </w:tabs>
        <w:ind w:left="425" w:hanging="425"/>
      </w:pPr>
      <w:r w:rsidRPr="004B5630">
        <w:rPr>
          <w:rStyle w:val="Refdenotaderodap"/>
          <w:sz w:val="18"/>
          <w:szCs w:val="18"/>
        </w:rPr>
        <w:footnoteRef/>
      </w:r>
      <w:r w:rsidRPr="004B5630">
        <w:rPr>
          <w:sz w:val="18"/>
          <w:szCs w:val="18"/>
        </w:rPr>
        <w:t xml:space="preserve"> </w:t>
      </w:r>
      <w:r w:rsidRPr="004B5630">
        <w:rPr>
          <w:sz w:val="18"/>
          <w:szCs w:val="18"/>
        </w:rPr>
        <w:tab/>
        <w:t>cfr. Considerandos 14 e 15 da D</w:t>
      </w:r>
      <w:r w:rsidRPr="004B5630">
        <w:rPr>
          <w:rFonts w:eastAsia="Calibri" w:cs="TimesNewRomanPSMT"/>
          <w:sz w:val="18"/>
          <w:szCs w:val="18"/>
        </w:rPr>
        <w:t>iretiva (EU) 2019/1158 do Parlamento Europeu e do Conselho, 20-6-2019</w:t>
      </w:r>
      <w:r w:rsidRPr="004B5630">
        <w:rPr>
          <w:rFonts w:eastAsia="Calibri" w:cs="TimesNewRomanPSMT"/>
        </w:rPr>
        <w:t>.</w:t>
      </w:r>
    </w:p>
  </w:footnote>
  <w:footnote w:id="9">
    <w:p w14:paraId="4E6D5A6F" w14:textId="77777777" w:rsidR="004B7DBA" w:rsidRPr="004B5630" w:rsidRDefault="004B7DBA" w:rsidP="00DF7CD7">
      <w:pPr>
        <w:pStyle w:val="NotaRodap"/>
        <w:tabs>
          <w:tab w:val="clear" w:pos="284"/>
          <w:tab w:val="left" w:pos="426"/>
        </w:tabs>
        <w:ind w:left="425" w:hanging="425"/>
        <w:rPr>
          <w:rFonts w:asciiTheme="minorHAnsi" w:hAnsiTheme="minorHAnsi"/>
          <w:szCs w:val="18"/>
        </w:rPr>
      </w:pPr>
      <w:r w:rsidRPr="004B5630">
        <w:rPr>
          <w:rStyle w:val="Refdenotaderodap"/>
          <w:rFonts w:asciiTheme="minorHAnsi" w:hAnsiTheme="minorHAnsi"/>
          <w:szCs w:val="18"/>
        </w:rPr>
        <w:footnoteRef/>
      </w:r>
      <w:r w:rsidRPr="004B5630">
        <w:rPr>
          <w:rFonts w:asciiTheme="minorHAnsi" w:hAnsiTheme="minorHAnsi"/>
          <w:sz w:val="20"/>
          <w:vertAlign w:val="superscript"/>
        </w:rPr>
        <w:t xml:space="preserve"> </w:t>
      </w:r>
      <w:r w:rsidRPr="004B5630">
        <w:rPr>
          <w:rFonts w:asciiTheme="minorHAnsi" w:hAnsiTheme="minorHAnsi"/>
          <w:sz w:val="20"/>
        </w:rPr>
        <w:tab/>
      </w:r>
      <w:r w:rsidRPr="004B5630">
        <w:rPr>
          <w:rFonts w:asciiTheme="minorHAnsi" w:hAnsiTheme="minorHAnsi"/>
          <w:szCs w:val="18"/>
        </w:rPr>
        <w:t>Recorde-se que os dados sobre a cobertura das convenções não derivam, em regra, da indicação constante das convenções coletivas quanto à “estimativa dos números de empregadores e de trabalhadores abrangidos pela convenção” [art. 492.º, 1, g), do CT]. Na maioria dos casos, esta indicação não coincide com o número efetivo de trabalhadores potencialmente abrangidos, pois as partes tendem a referenciar o número de trabalhadores ao serviço das entidades empregadoras outorgantes ou das representadas pelas associações de empregadores signatárias e não o número de trabalhadores filiados ou representados pelas associações sindicais que celebraram a convenção. Por esse motivo, esses dados são essencialmente considerados nas primeiras convenções</w:t>
      </w:r>
      <w:r w:rsidRPr="004B5630">
        <w:rPr>
          <w:rFonts w:asciiTheme="minorHAnsi" w:eastAsia="Calibri" w:hAnsiTheme="minorHAnsi"/>
          <w:szCs w:val="18"/>
        </w:rPr>
        <w:t>.</w:t>
      </w:r>
    </w:p>
  </w:footnote>
  <w:footnote w:id="10">
    <w:p w14:paraId="543331FC" w14:textId="765B0647" w:rsidR="004B7DBA" w:rsidRPr="004B5630" w:rsidRDefault="004B7DBA" w:rsidP="00DF7CD7">
      <w:pPr>
        <w:pStyle w:val="Textodecomentrio"/>
        <w:tabs>
          <w:tab w:val="left" w:pos="426"/>
        </w:tabs>
        <w:ind w:left="425" w:hanging="425"/>
        <w:jc w:val="both"/>
        <w:rPr>
          <w:rFonts w:asciiTheme="minorHAnsi" w:hAnsiTheme="minorHAnsi"/>
          <w:sz w:val="18"/>
          <w:szCs w:val="18"/>
        </w:rPr>
      </w:pPr>
      <w:r w:rsidRPr="004B5630">
        <w:rPr>
          <w:rStyle w:val="Refdenotaderodap"/>
          <w:rFonts w:asciiTheme="minorHAnsi" w:hAnsiTheme="minorHAnsi"/>
          <w:sz w:val="18"/>
          <w:szCs w:val="18"/>
        </w:rPr>
        <w:footnoteRef/>
      </w:r>
      <w:r w:rsidRPr="004B5630">
        <w:rPr>
          <w:rStyle w:val="Refdenotaderodap"/>
          <w:rFonts w:asciiTheme="minorHAnsi" w:hAnsiTheme="minorHAnsi"/>
          <w:sz w:val="18"/>
          <w:szCs w:val="18"/>
          <w:vertAlign w:val="baseline"/>
        </w:rPr>
        <w:tab/>
      </w:r>
      <w:r w:rsidRPr="004B5630">
        <w:rPr>
          <w:rFonts w:asciiTheme="minorHAnsi" w:hAnsiTheme="minorHAnsi"/>
          <w:sz w:val="18"/>
          <w:szCs w:val="18"/>
        </w:rPr>
        <w:t>Cfr. nota 8.</w:t>
      </w:r>
      <w:r w:rsidRPr="004B5630">
        <w:rPr>
          <w:rFonts w:asciiTheme="minorHAnsi" w:eastAsia="Calibri" w:hAnsiTheme="minorHAnsi"/>
          <w:sz w:val="18"/>
          <w:szCs w:val="18"/>
        </w:rPr>
        <w:t xml:space="preserve"> O número de IRCT contabilizados na DGERT (os </w:t>
      </w:r>
      <w:r w:rsidRPr="004B5630">
        <w:rPr>
          <w:rFonts w:asciiTheme="minorHAnsi" w:eastAsia="Calibri" w:hAnsiTheme="minorHAnsi"/>
          <w:i/>
          <w:sz w:val="18"/>
          <w:szCs w:val="18"/>
        </w:rPr>
        <w:t>publicados por ano</w:t>
      </w:r>
      <w:r w:rsidRPr="004B5630">
        <w:rPr>
          <w:rFonts w:asciiTheme="minorHAnsi" w:eastAsia="Calibri" w:hAnsiTheme="minorHAnsi"/>
          <w:sz w:val="18"/>
          <w:szCs w:val="18"/>
        </w:rPr>
        <w:t>) é diferente do número de IRCT contabilizados pelo GEP, por aqui se considerar o ‘</w:t>
      </w:r>
      <w:r w:rsidRPr="004B5630">
        <w:rPr>
          <w:rFonts w:asciiTheme="minorHAnsi" w:eastAsia="Calibri" w:hAnsiTheme="minorHAnsi"/>
          <w:i/>
          <w:sz w:val="18"/>
          <w:szCs w:val="18"/>
        </w:rPr>
        <w:t>stock’</w:t>
      </w:r>
      <w:r w:rsidRPr="004B5630">
        <w:rPr>
          <w:rFonts w:asciiTheme="minorHAnsi" w:eastAsia="Calibri" w:hAnsiTheme="minorHAnsi"/>
          <w:sz w:val="18"/>
          <w:szCs w:val="18"/>
        </w:rPr>
        <w:t xml:space="preserve"> existente e </w:t>
      </w:r>
      <w:r w:rsidRPr="004B5630">
        <w:rPr>
          <w:rFonts w:asciiTheme="minorHAnsi" w:eastAsia="Calibri" w:hAnsiTheme="minorHAnsi"/>
          <w:i/>
          <w:sz w:val="18"/>
          <w:szCs w:val="18"/>
        </w:rPr>
        <w:t>em vigor</w:t>
      </w:r>
      <w:r w:rsidRPr="004B5630">
        <w:rPr>
          <w:rFonts w:asciiTheme="minorHAnsi" w:eastAsia="Calibri" w:hAnsiTheme="minorHAnsi"/>
          <w:sz w:val="18"/>
          <w:szCs w:val="18"/>
        </w:rPr>
        <w:t xml:space="preserve"> em cada ano</w:t>
      </w:r>
    </w:p>
  </w:footnote>
  <w:footnote w:id="11">
    <w:p w14:paraId="4B116C55" w14:textId="52C1F82F" w:rsidR="004B7DBA" w:rsidRPr="004B5630" w:rsidRDefault="004B7DBA" w:rsidP="00DF7CD7">
      <w:pPr>
        <w:pStyle w:val="NotaRodap"/>
        <w:tabs>
          <w:tab w:val="clear" w:pos="284"/>
          <w:tab w:val="left" w:pos="426"/>
        </w:tabs>
        <w:ind w:left="425" w:hanging="425"/>
        <w:rPr>
          <w:rFonts w:asciiTheme="minorHAnsi" w:hAnsiTheme="minorHAnsi"/>
          <w:szCs w:val="18"/>
        </w:rPr>
      </w:pPr>
      <w:r w:rsidRPr="004B5630">
        <w:rPr>
          <w:rStyle w:val="Refdenotaderodap"/>
          <w:rFonts w:asciiTheme="minorHAnsi" w:hAnsiTheme="minorHAnsi"/>
          <w:szCs w:val="18"/>
        </w:rPr>
        <w:footnoteRef/>
      </w:r>
      <w:r w:rsidRPr="004B5630">
        <w:rPr>
          <w:rFonts w:asciiTheme="minorHAnsi" w:hAnsiTheme="minorHAnsi"/>
          <w:szCs w:val="18"/>
        </w:rPr>
        <w:tab/>
        <w:t xml:space="preserve">Neste gráfico inicial não são consideradas as PCT e as decisões arbitrais, atendendo à sua diminuta expressão. Os dados sobre estas espécies de IRCT são referidos mais adiante (quadros 12 e 17). </w:t>
      </w:r>
    </w:p>
  </w:footnote>
  <w:footnote w:id="12">
    <w:p w14:paraId="7675E645" w14:textId="497ADBF8" w:rsidR="004B7DBA" w:rsidRPr="004B5630" w:rsidRDefault="004B7DBA" w:rsidP="00DF7CD7">
      <w:pPr>
        <w:pStyle w:val="Textodenotaderodap"/>
        <w:ind w:left="142" w:hanging="142"/>
        <w:rPr>
          <w:sz w:val="18"/>
          <w:szCs w:val="18"/>
        </w:rPr>
      </w:pPr>
      <w:r w:rsidRPr="004B5630">
        <w:rPr>
          <w:rStyle w:val="Refdenotaderodap"/>
          <w:sz w:val="18"/>
          <w:szCs w:val="18"/>
        </w:rPr>
        <w:footnoteRef/>
      </w:r>
      <w:r w:rsidRPr="004B5630">
        <w:rPr>
          <w:sz w:val="18"/>
          <w:szCs w:val="18"/>
        </w:rPr>
        <w:t xml:space="preserve"> Recorde-se que o número de trabalhadores potencialmente abrangidos pelas convenções depende também dos setores em que a negociação incide no ano considerado (cfr. ponto 4.1.).</w:t>
      </w:r>
    </w:p>
  </w:footnote>
  <w:footnote w:id="13">
    <w:p w14:paraId="240FECC3" w14:textId="4458C4EB" w:rsidR="004B7DBA" w:rsidRPr="004B5630" w:rsidRDefault="004B7DBA" w:rsidP="00DF7CD7">
      <w:pPr>
        <w:pStyle w:val="Textodenotaderodap"/>
        <w:tabs>
          <w:tab w:val="left" w:pos="426"/>
        </w:tabs>
        <w:ind w:left="425" w:right="57" w:hanging="425"/>
        <w:rPr>
          <w:sz w:val="18"/>
          <w:szCs w:val="18"/>
        </w:rPr>
      </w:pPr>
      <w:r w:rsidRPr="004B5630">
        <w:rPr>
          <w:rStyle w:val="Refdenotaderodap"/>
          <w:sz w:val="18"/>
          <w:szCs w:val="18"/>
        </w:rPr>
        <w:footnoteRef/>
      </w:r>
      <w:r w:rsidRPr="004B5630">
        <w:rPr>
          <w:sz w:val="18"/>
          <w:szCs w:val="18"/>
        </w:rPr>
        <w:tab/>
        <w:t>Taxa de cobertura das convenções em vigor: número total de TCO potencialmente abrangidos por CC, AC ou AE no total de TCO; taxa de cobertura das convenções publicadas: número total de TCO potencialmente abrangidos por CC, AC ou AE publicados anualmente no total de TCO.</w:t>
      </w:r>
    </w:p>
    <w:p w14:paraId="11FACCE2" w14:textId="45756963" w:rsidR="004B7DBA" w:rsidRPr="004B5630" w:rsidRDefault="004B7DBA" w:rsidP="00DF7CD7">
      <w:pPr>
        <w:pStyle w:val="Textodenotaderodap"/>
        <w:tabs>
          <w:tab w:val="left" w:pos="426"/>
        </w:tabs>
        <w:ind w:left="425" w:right="57" w:hanging="425"/>
        <w:rPr>
          <w:sz w:val="18"/>
          <w:szCs w:val="18"/>
        </w:rPr>
      </w:pPr>
      <w:r w:rsidRPr="004B5630">
        <w:rPr>
          <w:sz w:val="18"/>
          <w:szCs w:val="18"/>
        </w:rPr>
        <w:tab/>
        <w:t>A DGERT, no “</w:t>
      </w:r>
      <w:r w:rsidRPr="004B5630">
        <w:rPr>
          <w:i/>
          <w:sz w:val="18"/>
          <w:szCs w:val="18"/>
        </w:rPr>
        <w:t>Relatório R.C.T.P.A. 2018</w:t>
      </w:r>
      <w:r w:rsidRPr="004B5630">
        <w:rPr>
          <w:sz w:val="18"/>
          <w:szCs w:val="18"/>
        </w:rPr>
        <w:t>”, calcula a “taxa de cobertura da contratação coletiva (convenções em vigor)”, que relaciona o n.º de TCO abrangidos pela contratação coletiva (CC, AC, AE e PCT) em vigor com o n.º total de TCO, e a “taxa de atualização da contratação coletiva”, que relaciona o n.º de TCO abrangidos pela contratação coletiva (CC, AC, AE e PCT), por ano, com o n.º total de TCO abrangidos pela contratação coletiva em vigor (CC, AC, AE e PCT).</w:t>
      </w:r>
    </w:p>
    <w:p w14:paraId="5D92BDFC" w14:textId="77777777" w:rsidR="004B7DBA" w:rsidRPr="004B5630" w:rsidRDefault="004B7DBA" w:rsidP="00DF7CD7">
      <w:pPr>
        <w:pStyle w:val="Textodenotaderodap"/>
        <w:tabs>
          <w:tab w:val="left" w:pos="426"/>
        </w:tabs>
        <w:ind w:left="425" w:right="57" w:hanging="425"/>
        <w:rPr>
          <w:sz w:val="18"/>
          <w:szCs w:val="18"/>
        </w:rPr>
      </w:pPr>
      <w:r w:rsidRPr="004B5630">
        <w:rPr>
          <w:sz w:val="18"/>
          <w:szCs w:val="18"/>
        </w:rPr>
        <w:tab/>
        <w:t>Todas estas taxas se reportam a 2018 porque são calculadas com base nos “Quadros de Pessoal”.</w:t>
      </w:r>
    </w:p>
    <w:p w14:paraId="618F5C1D" w14:textId="77777777" w:rsidR="004B7DBA" w:rsidRPr="004B5630" w:rsidRDefault="004B7DBA" w:rsidP="008F57AA">
      <w:pPr>
        <w:pStyle w:val="Textodenotaderodap"/>
        <w:tabs>
          <w:tab w:val="left" w:pos="426"/>
        </w:tabs>
        <w:ind w:left="426" w:right="-1" w:hanging="426"/>
      </w:pPr>
    </w:p>
  </w:footnote>
  <w:footnote w:id="14">
    <w:p w14:paraId="53CDB022" w14:textId="1E3FEC17" w:rsidR="004B7DBA" w:rsidRPr="004B5630" w:rsidRDefault="004B7DBA" w:rsidP="00DF7CD7">
      <w:pPr>
        <w:pStyle w:val="NotaRodap"/>
        <w:tabs>
          <w:tab w:val="clear" w:pos="284"/>
        </w:tabs>
        <w:ind w:left="425" w:right="57" w:hanging="425"/>
        <w:rPr>
          <w:rFonts w:asciiTheme="minorHAnsi" w:hAnsiTheme="minorHAnsi"/>
          <w:szCs w:val="18"/>
        </w:rPr>
      </w:pPr>
      <w:r w:rsidRPr="004B5630">
        <w:rPr>
          <w:rStyle w:val="Refdenotaderodap"/>
          <w:rFonts w:asciiTheme="minorHAnsi" w:hAnsiTheme="minorHAnsi"/>
          <w:szCs w:val="18"/>
        </w:rPr>
        <w:footnoteRef/>
      </w:r>
      <w:r w:rsidRPr="004B5630">
        <w:rPr>
          <w:rFonts w:asciiTheme="minorHAnsi" w:hAnsiTheme="minorHAnsi"/>
          <w:szCs w:val="18"/>
        </w:rPr>
        <w:t xml:space="preserve"> </w:t>
      </w:r>
      <w:r w:rsidRPr="004B5630">
        <w:rPr>
          <w:rFonts w:asciiTheme="minorHAnsi" w:hAnsiTheme="minorHAnsi"/>
          <w:szCs w:val="18"/>
        </w:rPr>
        <w:tab/>
        <w:t>Em 2012 alterou-se o modo de contagem das convenções paralelas, isto é, das convenções cujo conteúdo é essencialmente idêntico</w:t>
      </w:r>
      <w:r w:rsidRPr="004B5630">
        <w:rPr>
          <w:rFonts w:asciiTheme="minorHAnsi" w:eastAsia="Calibri" w:hAnsiTheme="minorHAnsi"/>
          <w:szCs w:val="18"/>
        </w:rPr>
        <w:t xml:space="preserve">, celebradas com as mesmas entidades do lado dos empregadores, para o mesmo setor de atividade e com o mesmo âmbito profissional, que apenas se diferenciam no âmbito pessoal, por serem celebradas por diferentes associações sindicais. Estas convenções </w:t>
      </w:r>
      <w:r w:rsidRPr="004B5630">
        <w:rPr>
          <w:rFonts w:asciiTheme="minorHAnsi" w:hAnsiTheme="minorHAnsi"/>
          <w:szCs w:val="18"/>
        </w:rPr>
        <w:t>passaram a ser contabilizadas individualmente, através da atribuição de um código por convenção.</w:t>
      </w:r>
    </w:p>
  </w:footnote>
  <w:footnote w:id="15">
    <w:p w14:paraId="14EADBE6" w14:textId="77777777" w:rsidR="004B7DBA" w:rsidRPr="004B5630" w:rsidRDefault="004B7DBA" w:rsidP="008F57AA">
      <w:pPr>
        <w:pStyle w:val="NotaRodap"/>
        <w:tabs>
          <w:tab w:val="clear" w:pos="284"/>
          <w:tab w:val="left" w:pos="426"/>
        </w:tabs>
        <w:ind w:left="426" w:right="-1" w:hanging="426"/>
        <w:rPr>
          <w:rFonts w:asciiTheme="minorHAnsi" w:hAnsiTheme="minorHAnsi"/>
          <w:szCs w:val="18"/>
        </w:rPr>
      </w:pPr>
      <w:r w:rsidRPr="004B5630">
        <w:rPr>
          <w:rStyle w:val="Refdenotaderodap"/>
          <w:rFonts w:asciiTheme="minorHAnsi" w:hAnsiTheme="minorHAnsi"/>
          <w:sz w:val="20"/>
        </w:rPr>
        <w:footnoteRef/>
      </w:r>
      <w:r w:rsidRPr="004B5630">
        <w:rPr>
          <w:rFonts w:asciiTheme="minorHAnsi" w:hAnsiTheme="minorHAnsi"/>
          <w:sz w:val="20"/>
        </w:rPr>
        <w:tab/>
      </w:r>
      <w:r w:rsidRPr="004B5630">
        <w:rPr>
          <w:rFonts w:asciiTheme="minorHAnsi" w:hAnsiTheme="minorHAnsi"/>
          <w:szCs w:val="18"/>
        </w:rPr>
        <w:t xml:space="preserve"> Nestes relatórios analisam-se os IRCT publicados que contêm retribuições convencionais mínimas: CC, AC, AE, DA e portarias de condições de trabalho (PCT). </w:t>
      </w:r>
    </w:p>
  </w:footnote>
  <w:footnote w:id="16">
    <w:p w14:paraId="1102CE57" w14:textId="382E30F9" w:rsidR="004B7DBA" w:rsidRPr="004B5630" w:rsidRDefault="004B7DBA" w:rsidP="008F57AA">
      <w:pPr>
        <w:pStyle w:val="NotaRodap"/>
        <w:tabs>
          <w:tab w:val="clear" w:pos="284"/>
          <w:tab w:val="left" w:pos="426"/>
        </w:tabs>
        <w:ind w:left="426" w:right="-1" w:hanging="426"/>
        <w:rPr>
          <w:rFonts w:asciiTheme="minorHAnsi" w:hAnsiTheme="minorHAnsi"/>
          <w:szCs w:val="18"/>
        </w:rPr>
      </w:pPr>
      <w:r w:rsidRPr="004B5630">
        <w:rPr>
          <w:rStyle w:val="Refdenotaderodap"/>
          <w:rFonts w:asciiTheme="minorHAnsi" w:hAnsiTheme="minorHAnsi"/>
          <w:szCs w:val="18"/>
        </w:rPr>
        <w:footnoteRef/>
      </w:r>
      <w:r w:rsidRPr="004B5630">
        <w:rPr>
          <w:rFonts w:asciiTheme="minorHAnsi" w:hAnsiTheme="minorHAnsi"/>
          <w:szCs w:val="18"/>
        </w:rPr>
        <w:t xml:space="preserve"> </w:t>
      </w:r>
      <w:r w:rsidRPr="004B5630">
        <w:rPr>
          <w:rFonts w:asciiTheme="minorHAnsi" w:hAnsiTheme="minorHAnsi"/>
          <w:szCs w:val="18"/>
        </w:rPr>
        <w:tab/>
        <w:t xml:space="preserve">Cfr. </w:t>
      </w:r>
      <w:r w:rsidRPr="004B5630">
        <w:rPr>
          <w:rFonts w:asciiTheme="minorHAnsi" w:hAnsiTheme="minorHAnsi"/>
          <w:bCs/>
          <w:szCs w:val="18"/>
        </w:rPr>
        <w:t xml:space="preserve">Relatório sobre variação média ponderada intertabelas (VMPI) das remunerações convencionais – mensal e anual – </w:t>
      </w:r>
      <w:hyperlink r:id="rId3" w:history="1">
        <w:r w:rsidRPr="004B5630">
          <w:rPr>
            <w:rStyle w:val="Hiperligao"/>
            <w:rFonts w:asciiTheme="minorHAnsi" w:eastAsiaTheme="majorEastAsia" w:hAnsiTheme="minorHAnsi"/>
            <w:szCs w:val="18"/>
          </w:rPr>
          <w:t>http://www.dgert.gov.pt</w:t>
        </w:r>
      </w:hyperlink>
      <w:r w:rsidRPr="004B5630">
        <w:rPr>
          <w:rStyle w:val="Hiperligao"/>
          <w:rFonts w:asciiTheme="minorHAnsi" w:eastAsiaTheme="majorEastAsia" w:hAnsiTheme="minorHAnsi"/>
          <w:szCs w:val="18"/>
        </w:rPr>
        <w:t xml:space="preserve">. </w:t>
      </w:r>
      <w:r w:rsidRPr="004B5630">
        <w:rPr>
          <w:rFonts w:asciiTheme="minorHAnsi" w:hAnsiTheme="minorHAnsi"/>
          <w:szCs w:val="18"/>
        </w:rPr>
        <w:t xml:space="preserve">O relatório anual representa uma síntese do trabalho realizado mensalmente, em que é feito o cálculo dos aumentos percentuais médios entre a tabela salarial vigente e a anterior, ponderados com a distribuição de trabalhadores por categorias profissionais dos IRCT (ver nota 19). </w:t>
      </w:r>
    </w:p>
  </w:footnote>
  <w:footnote w:id="17">
    <w:p w14:paraId="33B29388" w14:textId="5F1980F8" w:rsidR="004B7DBA" w:rsidRPr="004B5630" w:rsidRDefault="004B7DBA" w:rsidP="008F57AA">
      <w:pPr>
        <w:pStyle w:val="NotaRodap"/>
        <w:tabs>
          <w:tab w:val="clear" w:pos="284"/>
          <w:tab w:val="left" w:pos="426"/>
        </w:tabs>
        <w:ind w:left="426" w:right="-1" w:hanging="426"/>
        <w:rPr>
          <w:rFonts w:asciiTheme="minorHAnsi" w:hAnsiTheme="minorHAnsi"/>
          <w:szCs w:val="18"/>
        </w:rPr>
      </w:pPr>
      <w:r w:rsidRPr="004B5630">
        <w:rPr>
          <w:rStyle w:val="Refdenotaderodap"/>
          <w:rFonts w:asciiTheme="minorHAnsi" w:hAnsiTheme="minorHAnsi"/>
          <w:szCs w:val="18"/>
        </w:rPr>
        <w:footnoteRef/>
      </w:r>
      <w:r w:rsidRPr="004B5630">
        <w:rPr>
          <w:rFonts w:asciiTheme="minorHAnsi" w:hAnsiTheme="minorHAnsi"/>
          <w:szCs w:val="18"/>
        </w:rPr>
        <w:t xml:space="preserve"> </w:t>
      </w:r>
      <w:r w:rsidRPr="004B5630">
        <w:rPr>
          <w:rFonts w:asciiTheme="minorHAnsi" w:hAnsiTheme="minorHAnsi"/>
          <w:szCs w:val="18"/>
        </w:rPr>
        <w:tab/>
        <w:t xml:space="preserve">Cfr. </w:t>
      </w:r>
      <w:r w:rsidRPr="004B5630">
        <w:rPr>
          <w:rFonts w:asciiTheme="minorHAnsi" w:hAnsiTheme="minorHAnsi"/>
          <w:i/>
          <w:szCs w:val="18"/>
        </w:rPr>
        <w:t xml:space="preserve">Relatório sobre Regulam. Coletiva de Trabalho Publicada, 2019 </w:t>
      </w:r>
      <w:r w:rsidRPr="004B5630">
        <w:rPr>
          <w:rFonts w:asciiTheme="minorHAnsi" w:hAnsiTheme="minorHAnsi"/>
          <w:szCs w:val="18"/>
        </w:rPr>
        <w:t xml:space="preserve">e os de anos anteriores, </w:t>
      </w:r>
      <w:hyperlink r:id="rId4" w:history="1">
        <w:r w:rsidRPr="004B5630">
          <w:rPr>
            <w:rStyle w:val="Hiperligao"/>
            <w:rFonts w:asciiTheme="minorHAnsi" w:hAnsiTheme="minorHAnsi"/>
            <w:szCs w:val="18"/>
          </w:rPr>
          <w:t>http://www.dgert.gov.pt</w:t>
        </w:r>
      </w:hyperlink>
      <w:r w:rsidRPr="004B5630">
        <w:rPr>
          <w:rStyle w:val="Hiperligao"/>
          <w:rFonts w:asciiTheme="minorHAnsi" w:hAnsiTheme="minorHAnsi"/>
          <w:szCs w:val="18"/>
        </w:rPr>
        <w:t>.</w:t>
      </w:r>
    </w:p>
  </w:footnote>
  <w:footnote w:id="18">
    <w:p w14:paraId="64D29D86" w14:textId="77777777" w:rsidR="004B7DBA" w:rsidRPr="004B5630" w:rsidRDefault="004B7DBA" w:rsidP="008F57AA">
      <w:pPr>
        <w:pStyle w:val="NotaRodap"/>
        <w:tabs>
          <w:tab w:val="clear" w:pos="284"/>
          <w:tab w:val="left" w:pos="426"/>
        </w:tabs>
        <w:ind w:left="426" w:right="-1" w:hanging="426"/>
        <w:rPr>
          <w:rFonts w:asciiTheme="minorHAnsi" w:hAnsiTheme="minorHAnsi"/>
          <w:szCs w:val="18"/>
        </w:rPr>
      </w:pPr>
      <w:r w:rsidRPr="004B5630">
        <w:rPr>
          <w:rStyle w:val="Refdenotaderodap"/>
          <w:rFonts w:asciiTheme="minorHAnsi" w:hAnsiTheme="minorHAnsi"/>
          <w:szCs w:val="18"/>
        </w:rPr>
        <w:footnoteRef/>
      </w:r>
      <w:r w:rsidRPr="004B5630">
        <w:rPr>
          <w:rFonts w:asciiTheme="minorHAnsi" w:hAnsiTheme="minorHAnsi"/>
          <w:szCs w:val="18"/>
        </w:rPr>
        <w:tab/>
        <w:t xml:space="preserve"> Em 2019, das 240 convenções,  apenas, 2 ‘alterações e texto consolidado’ e 17 ‘alterações’ não incluem matéria salarial.</w:t>
      </w:r>
    </w:p>
  </w:footnote>
  <w:footnote w:id="19">
    <w:p w14:paraId="7EF204B4" w14:textId="77777777" w:rsidR="004B7DBA" w:rsidRPr="004B5630" w:rsidRDefault="004B7DBA" w:rsidP="008F57AA">
      <w:pPr>
        <w:pStyle w:val="NotaRodap"/>
        <w:tabs>
          <w:tab w:val="clear" w:pos="284"/>
          <w:tab w:val="left" w:pos="426"/>
        </w:tabs>
        <w:ind w:left="426" w:right="-1" w:hanging="426"/>
        <w:rPr>
          <w:rFonts w:asciiTheme="minorHAnsi" w:hAnsiTheme="minorHAnsi"/>
          <w:szCs w:val="18"/>
        </w:rPr>
      </w:pPr>
      <w:r w:rsidRPr="004B5630">
        <w:rPr>
          <w:rStyle w:val="Refdenotaderodap"/>
          <w:rFonts w:asciiTheme="minorHAnsi" w:hAnsiTheme="minorHAnsi"/>
          <w:szCs w:val="18"/>
        </w:rPr>
        <w:footnoteRef/>
      </w:r>
      <w:r w:rsidRPr="004B5630">
        <w:rPr>
          <w:rFonts w:asciiTheme="minorHAnsi" w:hAnsiTheme="minorHAnsi"/>
          <w:szCs w:val="18"/>
        </w:rPr>
        <w:tab/>
        <w:t xml:space="preserve"> O indicador “variação média do</w:t>
      </w:r>
      <w:r w:rsidRPr="004B5630">
        <w:rPr>
          <w:rStyle w:val="apple-converted-space"/>
          <w:rFonts w:asciiTheme="minorHAnsi" w:eastAsiaTheme="majorEastAsia" w:hAnsiTheme="minorHAnsi"/>
          <w:szCs w:val="18"/>
        </w:rPr>
        <w:t xml:space="preserve"> </w:t>
      </w:r>
      <w:r w:rsidRPr="004B5630">
        <w:rPr>
          <w:rFonts w:asciiTheme="minorHAnsi" w:hAnsiTheme="minorHAnsi"/>
          <w:szCs w:val="18"/>
        </w:rPr>
        <w:t>IPC</w:t>
      </w:r>
      <w:r w:rsidRPr="004B5630">
        <w:rPr>
          <w:rStyle w:val="apple-converted-space"/>
          <w:rFonts w:asciiTheme="minorHAnsi" w:eastAsiaTheme="majorEastAsia" w:hAnsiTheme="minorHAnsi"/>
          <w:szCs w:val="18"/>
        </w:rPr>
        <w:t xml:space="preserve"> </w:t>
      </w:r>
      <w:r w:rsidRPr="004B5630">
        <w:rPr>
          <w:rFonts w:asciiTheme="minorHAnsi" w:hAnsiTheme="minorHAnsi"/>
          <w:szCs w:val="18"/>
        </w:rPr>
        <w:t>– Continente total com habitação –</w:t>
      </w:r>
      <w:r w:rsidRPr="004B5630">
        <w:rPr>
          <w:rStyle w:val="apple-converted-space"/>
          <w:rFonts w:asciiTheme="minorHAnsi" w:eastAsiaTheme="majorEastAsia" w:hAnsiTheme="minorHAnsi"/>
          <w:szCs w:val="18"/>
        </w:rPr>
        <w:t xml:space="preserve"> </w:t>
      </w:r>
      <w:r w:rsidRPr="004B5630">
        <w:rPr>
          <w:rFonts w:asciiTheme="minorHAnsi" w:hAnsiTheme="minorHAnsi"/>
          <w:szCs w:val="18"/>
        </w:rPr>
        <w:t xml:space="preserve">INE” permite apurar o valor real das tabelas salariais ao subtrair ao valor nominal o efeito da inflação apurado a partir do IPC. </w:t>
      </w:r>
    </w:p>
  </w:footnote>
  <w:footnote w:id="20">
    <w:p w14:paraId="25AB643B" w14:textId="77777777" w:rsidR="004B7DBA" w:rsidRPr="004B5630" w:rsidRDefault="004B7DBA" w:rsidP="008F57AA">
      <w:pPr>
        <w:pStyle w:val="NotaRodap"/>
        <w:tabs>
          <w:tab w:val="clear" w:pos="284"/>
          <w:tab w:val="left" w:pos="426"/>
        </w:tabs>
        <w:ind w:left="426" w:right="-1" w:hanging="426"/>
        <w:rPr>
          <w:rFonts w:asciiTheme="minorHAnsi" w:hAnsiTheme="minorHAnsi"/>
          <w:szCs w:val="18"/>
        </w:rPr>
      </w:pPr>
      <w:r w:rsidRPr="004B5630">
        <w:rPr>
          <w:rStyle w:val="Refdenotaderodap"/>
          <w:rFonts w:asciiTheme="minorHAnsi" w:hAnsiTheme="minorHAnsi"/>
          <w:szCs w:val="18"/>
        </w:rPr>
        <w:footnoteRef/>
      </w:r>
      <w:r w:rsidRPr="004B5630">
        <w:rPr>
          <w:rFonts w:asciiTheme="minorHAnsi" w:hAnsiTheme="minorHAnsi"/>
          <w:szCs w:val="18"/>
        </w:rPr>
        <w:tab/>
        <w:t xml:space="preserve"> Recordam-se os conceitos constantes na Ficha Metodológica do “</w:t>
      </w:r>
      <w:r w:rsidRPr="004B5630">
        <w:rPr>
          <w:rFonts w:asciiTheme="minorHAnsi" w:hAnsiTheme="minorHAnsi"/>
          <w:i/>
          <w:szCs w:val="18"/>
        </w:rPr>
        <w:t>Relatório sobre Regulamentação Col. de Trabalho</w:t>
      </w:r>
      <w:r w:rsidRPr="004B5630">
        <w:rPr>
          <w:rFonts w:asciiTheme="minorHAnsi" w:hAnsiTheme="minorHAnsi"/>
          <w:szCs w:val="18"/>
        </w:rPr>
        <w:t xml:space="preserve">”: </w:t>
      </w:r>
    </w:p>
    <w:p w14:paraId="3B30E235" w14:textId="77777777" w:rsidR="004B7DBA" w:rsidRPr="004B5630" w:rsidRDefault="004B7DBA" w:rsidP="008F57AA">
      <w:pPr>
        <w:pStyle w:val="Textodenotaderodap"/>
        <w:tabs>
          <w:tab w:val="left" w:pos="426"/>
        </w:tabs>
        <w:ind w:left="426" w:right="-1" w:hanging="426"/>
        <w:rPr>
          <w:sz w:val="18"/>
          <w:szCs w:val="18"/>
        </w:rPr>
      </w:pPr>
      <w:r w:rsidRPr="004B5630">
        <w:rPr>
          <w:sz w:val="18"/>
          <w:szCs w:val="18"/>
        </w:rPr>
        <w:t xml:space="preserve">        ”-</w:t>
      </w:r>
      <w:r w:rsidRPr="004B5630">
        <w:rPr>
          <w:i/>
          <w:sz w:val="18"/>
          <w:szCs w:val="18"/>
        </w:rPr>
        <w:t>Variação nominal intertabelas</w:t>
      </w:r>
      <w:r w:rsidRPr="004B5630">
        <w:rPr>
          <w:sz w:val="18"/>
          <w:szCs w:val="18"/>
        </w:rPr>
        <w:t>: para cada IRCT é calculado o aumento médio em relação à tabela anterior; as variações médias por atividades e para o total são calculadas a partir destes aumentos salariais ponderados com o número de trabalhadores abrangidos por cada um dos IRCT. Sempre que as novas tabelas salariais substituam outras com eficácia superior a doze meses, procede-se à anualização dos respetivos aumentos.</w:t>
      </w:r>
    </w:p>
    <w:p w14:paraId="5D62DCA0" w14:textId="77777777" w:rsidR="004B7DBA" w:rsidRPr="004B5630" w:rsidRDefault="004B7DBA" w:rsidP="008F57AA">
      <w:pPr>
        <w:pStyle w:val="Textodenotaderodap"/>
        <w:tabs>
          <w:tab w:val="left" w:pos="426"/>
        </w:tabs>
        <w:ind w:left="426" w:right="-1" w:hanging="426"/>
        <w:rPr>
          <w:sz w:val="18"/>
          <w:szCs w:val="18"/>
        </w:rPr>
      </w:pPr>
      <w:r w:rsidRPr="004B5630">
        <w:rPr>
          <w:i/>
          <w:sz w:val="18"/>
          <w:szCs w:val="18"/>
        </w:rPr>
        <w:t xml:space="preserve">       - Variação do Índice de preços no consumidor</w:t>
      </w:r>
      <w:r w:rsidRPr="004B5630">
        <w:rPr>
          <w:sz w:val="18"/>
          <w:szCs w:val="18"/>
        </w:rPr>
        <w:t>: O indicador utilizado foi, até final de 2002, o IPC nacional com exclusão da habitação, publicado pelo INE. A partir de 2003 começou a ser utilizado o IPC nacional com a habitação. Relativamente a cada IRCT a evolução do IPC é calculada pelo quociente das médias simples dos índices dos doze meses anteriores às datas de início de eficácia das tabelas anteriores e das tabelas vigentes.</w:t>
      </w:r>
    </w:p>
    <w:p w14:paraId="34B6CA01" w14:textId="60765FE5" w:rsidR="004B7DBA" w:rsidRPr="004B5630" w:rsidRDefault="004B7DBA" w:rsidP="008F57AA">
      <w:pPr>
        <w:pStyle w:val="Textodenotaderodap"/>
        <w:tabs>
          <w:tab w:val="left" w:pos="426"/>
        </w:tabs>
        <w:ind w:left="426" w:right="-1" w:hanging="426"/>
        <w:rPr>
          <w:sz w:val="18"/>
          <w:szCs w:val="18"/>
        </w:rPr>
      </w:pPr>
      <w:r w:rsidRPr="004B5630">
        <w:rPr>
          <w:sz w:val="18"/>
          <w:szCs w:val="18"/>
        </w:rPr>
        <w:t xml:space="preserve">      </w:t>
      </w:r>
      <w:r w:rsidRPr="004B5630">
        <w:rPr>
          <w:sz w:val="18"/>
          <w:szCs w:val="18"/>
        </w:rPr>
        <w:tab/>
        <w:t>Os valores apresentados correspondem à média das variações relativas aos vários IRCT ponderadas com o número de trabalhadores de cada um deles. Tal como para a variação intertabelas procede-se à respetiva anualização, sempre que necessário. - Com base nos valores descritos (nos pontos 4. e 5.) é, ainda, calculada a variação intertabelas deflacionada”.</w:t>
      </w:r>
    </w:p>
  </w:footnote>
  <w:footnote w:id="21">
    <w:p w14:paraId="63706712" w14:textId="77777777" w:rsidR="004B7DBA" w:rsidRPr="004B5630" w:rsidRDefault="004B7DBA" w:rsidP="00DF7CD7">
      <w:pPr>
        <w:pStyle w:val="NotaRodap"/>
        <w:tabs>
          <w:tab w:val="clear" w:pos="284"/>
          <w:tab w:val="left" w:pos="426"/>
          <w:tab w:val="left" w:pos="4328"/>
        </w:tabs>
        <w:ind w:left="425" w:hanging="425"/>
        <w:rPr>
          <w:rFonts w:asciiTheme="minorHAnsi" w:hAnsiTheme="minorHAnsi"/>
          <w:szCs w:val="18"/>
        </w:rPr>
      </w:pPr>
      <w:r w:rsidRPr="004B5630">
        <w:rPr>
          <w:rStyle w:val="Refdenotaderodap"/>
          <w:rFonts w:asciiTheme="minorHAnsi" w:hAnsiTheme="minorHAnsi"/>
          <w:szCs w:val="18"/>
        </w:rPr>
        <w:footnoteRef/>
      </w:r>
      <w:r w:rsidRPr="004B5630">
        <w:rPr>
          <w:rFonts w:asciiTheme="minorHAnsi" w:hAnsiTheme="minorHAnsi"/>
          <w:szCs w:val="18"/>
        </w:rPr>
        <w:t xml:space="preserve"> </w:t>
      </w:r>
      <w:r w:rsidRPr="004B5630">
        <w:rPr>
          <w:rFonts w:asciiTheme="minorHAnsi" w:hAnsiTheme="minorHAnsi"/>
          <w:szCs w:val="18"/>
        </w:rPr>
        <w:tab/>
        <w:t>O cálculo da remuneração média convencional é feito com base no conjunto das remunerações convencionadas para as diferentes categorias profissionais, ponderando a repartição do número de trabalhadores potencialmente abrangidos. O apuramento do número de trabalhadores potencialmente abrangidos por convenção coletiva é calculado a partir da informação recolhida nos Quadros de Pessoal (GEP) e da fornecida diretamente pelas empresas, no caso dos acordos de empresa e de acordos coletivos (ver nota 11).</w:t>
      </w:r>
    </w:p>
    <w:p w14:paraId="6A2F0E27" w14:textId="77777777" w:rsidR="004B7DBA" w:rsidRPr="004B5630" w:rsidRDefault="004B7DBA" w:rsidP="00DF7CD7">
      <w:pPr>
        <w:pStyle w:val="Textodenotaderodap"/>
        <w:tabs>
          <w:tab w:val="left" w:pos="426"/>
        </w:tabs>
        <w:ind w:left="425" w:hanging="425"/>
        <w:rPr>
          <w:strike/>
          <w:sz w:val="18"/>
          <w:szCs w:val="18"/>
        </w:rPr>
      </w:pPr>
      <w:r w:rsidRPr="004B5630">
        <w:rPr>
          <w:sz w:val="18"/>
          <w:szCs w:val="18"/>
        </w:rPr>
        <w:tab/>
        <w:t>Para além destas situações, no relatório da DGERT não foram calculadas as remunerações médias das convenções em que tal cálculo foi tecnicamente inviável.</w:t>
      </w:r>
    </w:p>
  </w:footnote>
  <w:footnote w:id="22">
    <w:p w14:paraId="2A3EEE99" w14:textId="77777777" w:rsidR="004B7DBA" w:rsidRPr="004B5630" w:rsidRDefault="004B7DBA" w:rsidP="00DF7CD7">
      <w:pPr>
        <w:pStyle w:val="NotaRodap"/>
        <w:tabs>
          <w:tab w:val="clear" w:pos="284"/>
          <w:tab w:val="left" w:pos="426"/>
          <w:tab w:val="left" w:pos="4328"/>
        </w:tabs>
        <w:ind w:left="425" w:hanging="425"/>
        <w:rPr>
          <w:rFonts w:asciiTheme="minorHAnsi" w:hAnsiTheme="minorHAnsi"/>
          <w:color w:val="0070C0"/>
          <w:szCs w:val="18"/>
        </w:rPr>
      </w:pPr>
      <w:r w:rsidRPr="004B5630">
        <w:rPr>
          <w:rStyle w:val="Refdenotaderodap"/>
          <w:rFonts w:asciiTheme="minorHAnsi" w:hAnsiTheme="minorHAnsi"/>
          <w:szCs w:val="18"/>
        </w:rPr>
        <w:footnoteRef/>
      </w:r>
      <w:r w:rsidRPr="004B5630">
        <w:rPr>
          <w:rFonts w:asciiTheme="minorHAnsi" w:hAnsiTheme="minorHAnsi"/>
          <w:szCs w:val="18"/>
        </w:rPr>
        <w:t xml:space="preserve"> </w:t>
      </w:r>
      <w:r w:rsidRPr="004B5630">
        <w:rPr>
          <w:rFonts w:asciiTheme="minorHAnsi" w:hAnsiTheme="minorHAnsi"/>
          <w:szCs w:val="18"/>
        </w:rPr>
        <w:tab/>
        <w:t>A diferença no número de trabalhadores nos quadros 8 e 9 decorre dos diferentes critérios utilizados: no quadro 8 figuram os trabalhadores potencialmente abrangidos por alterações salariais, enquanto o quadro 9 considera todos os trabalhadores potencialmente abrangidos por convenções.</w:t>
      </w:r>
    </w:p>
  </w:footnote>
  <w:footnote w:id="23">
    <w:p w14:paraId="4B5423CC" w14:textId="514333F8" w:rsidR="004B7DBA" w:rsidRPr="004B5630" w:rsidRDefault="004B7DBA" w:rsidP="00DF7CD7">
      <w:pPr>
        <w:pStyle w:val="NotaRodap"/>
        <w:tabs>
          <w:tab w:val="clear" w:pos="284"/>
          <w:tab w:val="left" w:pos="426"/>
          <w:tab w:val="left" w:pos="4328"/>
        </w:tabs>
        <w:ind w:left="425" w:hanging="425"/>
        <w:rPr>
          <w:rFonts w:asciiTheme="minorHAnsi" w:hAnsiTheme="minorHAnsi"/>
          <w:sz w:val="20"/>
        </w:rPr>
      </w:pPr>
      <w:r w:rsidRPr="004B5630">
        <w:rPr>
          <w:rStyle w:val="Refdenotaderodap"/>
          <w:rFonts w:asciiTheme="minorHAnsi" w:hAnsiTheme="minorHAnsi"/>
          <w:szCs w:val="18"/>
        </w:rPr>
        <w:footnoteRef/>
      </w:r>
      <w:r w:rsidRPr="004B5630">
        <w:rPr>
          <w:rFonts w:asciiTheme="minorHAnsi" w:hAnsiTheme="minorHAnsi"/>
          <w:szCs w:val="18"/>
        </w:rPr>
        <w:t xml:space="preserve"> </w:t>
      </w:r>
      <w:r w:rsidRPr="004B5630">
        <w:rPr>
          <w:rFonts w:asciiTheme="minorHAnsi" w:hAnsiTheme="minorHAnsi"/>
          <w:szCs w:val="18"/>
        </w:rPr>
        <w:tab/>
        <w:t>A retribuição mínima mensal garantida (RMMG, vulgo salário mínimo nacional) foi fixada em 580€ para 2018 e 600€ para 2019</w:t>
      </w:r>
      <w:r w:rsidRPr="004B5630">
        <w:rPr>
          <w:rFonts w:asciiTheme="minorHAnsi" w:hAnsiTheme="minorHAnsi"/>
          <w:sz w:val="20"/>
        </w:rPr>
        <w:t>.</w:t>
      </w:r>
    </w:p>
  </w:footnote>
  <w:footnote w:id="24">
    <w:p w14:paraId="75EE1622" w14:textId="76038BAD" w:rsidR="004B7DBA" w:rsidRPr="004B5630" w:rsidRDefault="004B7DBA" w:rsidP="00E81CFC">
      <w:pPr>
        <w:pStyle w:val="Textodenotaderodap"/>
        <w:tabs>
          <w:tab w:val="left" w:pos="142"/>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cstheme="minorHAnsi"/>
          <w:sz w:val="18"/>
          <w:szCs w:val="18"/>
        </w:rPr>
        <w:t xml:space="preserve">Só existe informação disponível a partir de 2008. </w:t>
      </w:r>
    </w:p>
  </w:footnote>
  <w:footnote w:id="25">
    <w:p w14:paraId="49D40C10" w14:textId="5CF6C051" w:rsidR="004B7DBA" w:rsidRPr="004B5630" w:rsidRDefault="004B7DBA" w:rsidP="00E81CFC">
      <w:pPr>
        <w:pStyle w:val="Textodenotaderodap"/>
        <w:tabs>
          <w:tab w:val="left" w:pos="142"/>
          <w:tab w:val="left" w:pos="284"/>
        </w:tabs>
        <w:ind w:left="425" w:hanging="425"/>
        <w:rPr>
          <w:rFonts w:cstheme="minorHAnsi"/>
          <w:sz w:val="18"/>
          <w:szCs w:val="18"/>
        </w:rPr>
      </w:pPr>
      <w:r w:rsidRPr="004B5630">
        <w:rPr>
          <w:rStyle w:val="Refdenotaderodap"/>
          <w:sz w:val="18"/>
          <w:szCs w:val="18"/>
        </w:rPr>
        <w:footnoteRef/>
      </w:r>
      <w:r w:rsidRPr="004B5630">
        <w:rPr>
          <w:sz w:val="18"/>
          <w:szCs w:val="18"/>
        </w:rPr>
        <w:t xml:space="preserve"> </w:t>
      </w:r>
      <w:r w:rsidRPr="004B5630">
        <w:rPr>
          <w:sz w:val="18"/>
          <w:szCs w:val="18"/>
        </w:rPr>
        <w:tab/>
      </w:r>
      <w:r w:rsidRPr="004B5630">
        <w:rPr>
          <w:sz w:val="18"/>
          <w:szCs w:val="18"/>
        </w:rPr>
        <w:tab/>
        <w:t xml:space="preserve">Cfr. CRL, Relatório Anual sobre a Evolução da Negociação Coletiva em 2015, págs. 24 e 55-57; e R.A.S.E.N.C. 2016, págs. 59-62 e R.A.S.E.N.C. 2017, págs. 70-72 </w:t>
      </w:r>
      <w:hyperlink r:id="rId5" w:history="1">
        <w:r w:rsidRPr="004B5630">
          <w:rPr>
            <w:rStyle w:val="Hiperligao"/>
            <w:color w:val="0070C0"/>
            <w:sz w:val="18"/>
            <w:szCs w:val="18"/>
          </w:rPr>
          <w:t>https://www.crlaborais.pt</w:t>
        </w:r>
      </w:hyperlink>
      <w:r w:rsidRPr="004B5630">
        <w:rPr>
          <w:color w:val="0070C0"/>
          <w:sz w:val="18"/>
          <w:szCs w:val="18"/>
        </w:rPr>
        <w:t>.</w:t>
      </w:r>
      <w:r w:rsidRPr="004B5630">
        <w:rPr>
          <w:rFonts w:cstheme="minorHAnsi"/>
          <w:sz w:val="18"/>
          <w:szCs w:val="18"/>
        </w:rPr>
        <w:t xml:space="preserve"> </w:t>
      </w:r>
    </w:p>
    <w:p w14:paraId="66DFA970" w14:textId="6A759783" w:rsidR="004B7DBA" w:rsidRPr="004B5630" w:rsidRDefault="004B7DBA" w:rsidP="00E81CFC">
      <w:pPr>
        <w:pStyle w:val="Textodenotaderodap"/>
        <w:tabs>
          <w:tab w:val="left" w:pos="142"/>
          <w:tab w:val="left" w:pos="284"/>
        </w:tabs>
        <w:ind w:left="425" w:hanging="425"/>
        <w:rPr>
          <w:rFonts w:cstheme="minorHAnsi"/>
          <w:sz w:val="18"/>
          <w:szCs w:val="18"/>
        </w:rPr>
      </w:pPr>
      <w:r w:rsidRPr="004B5630">
        <w:rPr>
          <w:rFonts w:cstheme="minorHAnsi"/>
          <w:sz w:val="18"/>
          <w:szCs w:val="18"/>
        </w:rPr>
        <w:tab/>
      </w:r>
      <w:r w:rsidRPr="004B5630">
        <w:rPr>
          <w:rFonts w:cstheme="minorHAnsi"/>
          <w:sz w:val="18"/>
          <w:szCs w:val="18"/>
        </w:rPr>
        <w:tab/>
      </w:r>
      <w:r w:rsidRPr="004B5630">
        <w:rPr>
          <w:rFonts w:cstheme="minorHAnsi"/>
          <w:sz w:val="18"/>
          <w:szCs w:val="18"/>
        </w:rPr>
        <w:tab/>
        <w:t xml:space="preserve">Inicialmente, os critérios de extensão, fixados na RCM n.º 90/2012, de 31 de outubro (alterada pela RCM n.º 43/2014, de 27 de junho), </w:t>
      </w:r>
      <w:r w:rsidRPr="004B5630">
        <w:rPr>
          <w:sz w:val="18"/>
          <w:szCs w:val="18"/>
        </w:rPr>
        <w:t xml:space="preserve">obrigavam a que </w:t>
      </w:r>
      <w:r w:rsidRPr="004B5630">
        <w:rPr>
          <w:rFonts w:cstheme="minorHAnsi"/>
          <w:bCs/>
          <w:sz w:val="18"/>
          <w:szCs w:val="18"/>
        </w:rPr>
        <w:t>a</w:t>
      </w:r>
      <w:r w:rsidRPr="004B5630">
        <w:rPr>
          <w:sz w:val="18"/>
          <w:szCs w:val="18"/>
        </w:rPr>
        <w:t xml:space="preserve"> extensão fosse requerida, pelo menos, por um dos outorgantes do lado sindical e por outro do lado patronal (Ponto 1, a), RCM n.º 90/2012), exigindo-se também </w:t>
      </w:r>
      <w:r w:rsidRPr="004B5630">
        <w:rPr>
          <w:rFonts w:cstheme="minorHAnsi"/>
          <w:sz w:val="18"/>
          <w:szCs w:val="18"/>
        </w:rPr>
        <w:t xml:space="preserve">a representatividade do lado do empregador. </w:t>
      </w:r>
      <w:r w:rsidRPr="004B5630">
        <w:rPr>
          <w:sz w:val="18"/>
          <w:szCs w:val="18"/>
        </w:rPr>
        <w:t>Em 2017 entra em vigor nova RCM</w:t>
      </w:r>
      <w:r w:rsidRPr="004B5630">
        <w:rPr>
          <w:rFonts w:eastAsia="Calibri" w:cstheme="minorHAnsi"/>
          <w:sz w:val="18"/>
          <w:szCs w:val="18"/>
        </w:rPr>
        <w:t xml:space="preserve"> n.º 82/2017,</w:t>
      </w:r>
      <w:r w:rsidRPr="004B5630">
        <w:rPr>
          <w:rFonts w:eastAsia="Calibri"/>
          <w:sz w:val="18"/>
          <w:szCs w:val="18"/>
        </w:rPr>
        <w:t xml:space="preserve"> de 9 de junho,</w:t>
      </w:r>
      <w:r w:rsidRPr="004B5630">
        <w:rPr>
          <w:sz w:val="18"/>
          <w:szCs w:val="18"/>
        </w:rPr>
        <w:t xml:space="preserve"> que revoga a anterior</w:t>
      </w:r>
      <w:r w:rsidRPr="004B5630">
        <w:rPr>
          <w:rFonts w:eastAsia="Calibri"/>
          <w:sz w:val="18"/>
          <w:szCs w:val="18"/>
        </w:rPr>
        <w:t>.</w:t>
      </w:r>
    </w:p>
  </w:footnote>
  <w:footnote w:id="26">
    <w:p w14:paraId="2D740F8C" w14:textId="1E3F87C6" w:rsidR="004B7DBA" w:rsidRPr="004B5630" w:rsidRDefault="004B7DBA" w:rsidP="00E81CFC">
      <w:pPr>
        <w:pStyle w:val="Textodenotaderodap"/>
        <w:tabs>
          <w:tab w:val="left" w:pos="142"/>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cstheme="minorHAnsi"/>
          <w:sz w:val="18"/>
          <w:szCs w:val="18"/>
        </w:rPr>
        <w:t xml:space="preserve">Ver </w:t>
      </w:r>
      <w:r w:rsidRPr="004B5630">
        <w:rPr>
          <w:rFonts w:cstheme="minorHAnsi"/>
          <w:i/>
          <w:sz w:val="18"/>
          <w:szCs w:val="18"/>
        </w:rPr>
        <w:t xml:space="preserve">infra </w:t>
      </w:r>
      <w:r w:rsidRPr="004B5630">
        <w:rPr>
          <w:rFonts w:cstheme="minorHAnsi"/>
          <w:sz w:val="18"/>
          <w:szCs w:val="18"/>
        </w:rPr>
        <w:t>o ponto 4.2.1.</w:t>
      </w:r>
    </w:p>
  </w:footnote>
  <w:footnote w:id="27">
    <w:p w14:paraId="588529E0" w14:textId="1D346C43" w:rsidR="004B7DBA" w:rsidRPr="004B5630" w:rsidRDefault="004B7DBA" w:rsidP="00DF7CD7">
      <w:pPr>
        <w:pStyle w:val="NotaRodap"/>
        <w:tabs>
          <w:tab w:val="clear" w:pos="284"/>
          <w:tab w:val="left" w:pos="426"/>
          <w:tab w:val="left" w:pos="4328"/>
        </w:tabs>
        <w:ind w:left="425" w:hanging="425"/>
        <w:rPr>
          <w:rFonts w:asciiTheme="minorHAnsi" w:hAnsiTheme="minorHAnsi"/>
          <w:szCs w:val="18"/>
        </w:rPr>
      </w:pPr>
      <w:r w:rsidRPr="004B5630">
        <w:rPr>
          <w:rStyle w:val="Refdenotaderodap"/>
          <w:rFonts w:asciiTheme="minorHAnsi" w:hAnsiTheme="minorHAnsi"/>
          <w:sz w:val="20"/>
        </w:rPr>
        <w:footnoteRef/>
      </w:r>
      <w:r w:rsidRPr="004B5630">
        <w:rPr>
          <w:rFonts w:asciiTheme="minorHAnsi" w:hAnsiTheme="minorHAnsi"/>
          <w:sz w:val="20"/>
        </w:rPr>
        <w:tab/>
      </w:r>
      <w:r w:rsidRPr="004B5630">
        <w:rPr>
          <w:rFonts w:asciiTheme="minorHAnsi" w:hAnsiTheme="minorHAnsi"/>
          <w:szCs w:val="18"/>
        </w:rPr>
        <w:t xml:space="preserve">Por exemplo: Portaria n.º 131/2019, de 7 de maio, extensão das alterações do CC CAP/ SETAAB – BTE 8/2019; Portaria n.º 248/2019, de 1 de agosto, extensão das alterações do CC entre AHRESP/ FESAHT - BTE 23/2019; Portaria n.º 377/2019, de 19 de agosto, extensão das alterações do CC entre AECOPS/ FETESE - BTE 28/2019. </w:t>
      </w:r>
    </w:p>
  </w:footnote>
  <w:footnote w:id="28">
    <w:p w14:paraId="07A4632D" w14:textId="77777777" w:rsidR="004B7DBA" w:rsidRPr="004B5630" w:rsidRDefault="004B7DBA" w:rsidP="00DF7CD7">
      <w:pPr>
        <w:tabs>
          <w:tab w:val="left" w:pos="426"/>
        </w:tabs>
        <w:autoSpaceDE w:val="0"/>
        <w:autoSpaceDN w:val="0"/>
        <w:adjustRightInd w:val="0"/>
        <w:spacing w:after="0" w:line="240" w:lineRule="auto"/>
        <w:ind w:left="425" w:hanging="425"/>
        <w:jc w:val="both"/>
        <w:rPr>
          <w:rFonts w:cs="ArialMT"/>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A Portaria n.º411-A/2019, de 31 de dezembro, é a primeira alteração à </w:t>
      </w:r>
      <w:r w:rsidRPr="004B5630">
        <w:rPr>
          <w:rFonts w:cs="ArialMT"/>
          <w:sz w:val="18"/>
          <w:szCs w:val="18"/>
        </w:rPr>
        <w:t>Portaria n.º 182/2018, de 22 de junho, isto é, a PCT que regula as condições de trabalho dos trabalhadores administrativos não abrangidos por regulamentação coletiva específica.</w:t>
      </w:r>
    </w:p>
  </w:footnote>
  <w:footnote w:id="29">
    <w:p w14:paraId="487D5EEF" w14:textId="77777777" w:rsidR="004B7DBA" w:rsidRPr="004B5630" w:rsidRDefault="004B7DBA" w:rsidP="00DF7CD7">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Em 2017 e 2018 não se registou a publicação de qualquer aviso. Facto que coincidiu com a previsão constante do “Compromisso Tripartido para um Acordo de Concertação de Médio Prazo”, de 17-1-2017: “compromisso bipartido de transmissão às estruturas integradas nos parceiros sociais no sentido de uma política de não uso da figura da denúncia de convenções coletivas de trabalho durante um período de 18 meses, a começar em janeiro de 2017”.  </w:t>
      </w:r>
    </w:p>
  </w:footnote>
  <w:footnote w:id="30">
    <w:p w14:paraId="0CAFC966" w14:textId="77777777" w:rsidR="004B7DBA" w:rsidRPr="004B5630" w:rsidRDefault="004B7DBA" w:rsidP="00DF7CD7">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Cfr. Relatório de 2016, 3.1.4., págs. 49-50.</w:t>
      </w:r>
    </w:p>
  </w:footnote>
  <w:footnote w:id="31">
    <w:p w14:paraId="4ECE07F9" w14:textId="77777777" w:rsidR="004B7DBA" w:rsidRPr="004B5630" w:rsidRDefault="004B7DBA" w:rsidP="00DF7CD7">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As extinções foram motivadas por</w:t>
      </w:r>
      <w:r w:rsidRPr="004B5630">
        <w:rPr>
          <w:rFonts w:cstheme="minorHAnsi"/>
          <w:sz w:val="18"/>
          <w:szCs w:val="18"/>
        </w:rPr>
        <w:t xml:space="preserve"> inutilidade superveniente ou desistência do pedido.</w:t>
      </w:r>
    </w:p>
  </w:footnote>
  <w:footnote w:id="32">
    <w:p w14:paraId="5114C4F5" w14:textId="77777777" w:rsidR="004B7DBA" w:rsidRPr="004B5630" w:rsidRDefault="004B7DBA" w:rsidP="00DF7CD7">
      <w:pPr>
        <w:tabs>
          <w:tab w:val="left" w:pos="426"/>
        </w:tabs>
        <w:spacing w:after="0" w:line="240" w:lineRule="auto"/>
        <w:ind w:left="425" w:hanging="425"/>
        <w:jc w:val="both"/>
        <w:rPr>
          <w:rFonts w:eastAsiaTheme="majorEastAsia" w:cstheme="majorBidi"/>
          <w:bCs/>
          <w:color w:val="0070C0"/>
          <w:sz w:val="18"/>
          <w:szCs w:val="18"/>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eastAsia="Times New Roman"/>
          <w:noProof/>
          <w:sz w:val="18"/>
          <w:szCs w:val="18"/>
          <w:lang w:eastAsia="pt-PT"/>
        </w:rPr>
        <w:t>Os processos de arbitragem são muito residuais.</w:t>
      </w:r>
    </w:p>
  </w:footnote>
  <w:footnote w:id="33">
    <w:p w14:paraId="24D4BB41" w14:textId="77777777" w:rsidR="004B7DBA" w:rsidRPr="004B5630" w:rsidRDefault="004B7DBA" w:rsidP="00DF7CD7">
      <w:pPr>
        <w:pStyle w:val="NotaRodap"/>
        <w:tabs>
          <w:tab w:val="clear" w:pos="284"/>
          <w:tab w:val="left" w:pos="426"/>
          <w:tab w:val="left" w:pos="4328"/>
        </w:tabs>
        <w:ind w:left="425" w:hanging="425"/>
        <w:rPr>
          <w:rFonts w:asciiTheme="minorHAnsi" w:hAnsiTheme="minorHAnsi"/>
          <w:szCs w:val="18"/>
        </w:rPr>
      </w:pPr>
      <w:r w:rsidRPr="004B5630">
        <w:rPr>
          <w:rStyle w:val="Refdenotaderodap"/>
          <w:rFonts w:asciiTheme="minorHAnsi" w:hAnsiTheme="minorHAnsi"/>
          <w:szCs w:val="18"/>
        </w:rPr>
        <w:footnoteRef/>
      </w:r>
      <w:r w:rsidRPr="004B5630">
        <w:rPr>
          <w:rFonts w:asciiTheme="minorHAnsi" w:hAnsiTheme="minorHAnsi"/>
          <w:noProof/>
          <w:szCs w:val="18"/>
        </w:rPr>
        <w:t xml:space="preserve"> </w:t>
      </w:r>
      <w:r w:rsidRPr="004B5630">
        <w:rPr>
          <w:rFonts w:asciiTheme="minorHAnsi" w:hAnsiTheme="minorHAnsi"/>
          <w:noProof/>
          <w:szCs w:val="18"/>
        </w:rPr>
        <w:tab/>
        <w:t xml:space="preserve">É certo que os </w:t>
      </w:r>
      <w:r w:rsidRPr="004B5630">
        <w:rPr>
          <w:rFonts w:asciiTheme="minorHAnsi" w:hAnsiTheme="minorHAnsi"/>
          <w:szCs w:val="18"/>
        </w:rPr>
        <w:t>arts. 524.º, 7 e 528.º, do CT, admitem a possibilidade de a</w:t>
      </w:r>
      <w:r w:rsidRPr="004B5630">
        <w:rPr>
          <w:rFonts w:asciiTheme="minorHAnsi" w:hAnsiTheme="minorHAnsi"/>
          <w:noProof/>
          <w:szCs w:val="18"/>
        </w:rPr>
        <w:t xml:space="preserve"> conciliação e a mediação serem desenvolvidas por outras entidades que não a DGERT</w:t>
      </w:r>
      <w:r w:rsidRPr="004B5630">
        <w:rPr>
          <w:rFonts w:asciiTheme="minorHAnsi" w:hAnsiTheme="minorHAnsi"/>
          <w:szCs w:val="18"/>
        </w:rPr>
        <w:t xml:space="preserve">. Não há noticia da utilização desta faculdade, pelo que </w:t>
      </w:r>
      <w:r w:rsidRPr="004B5630">
        <w:rPr>
          <w:rFonts w:asciiTheme="minorHAnsi" w:hAnsiTheme="minorHAnsi"/>
          <w:noProof/>
          <w:szCs w:val="18"/>
        </w:rPr>
        <w:t>os dados apurados se referem, apenas, aos processos acompanhados por esta Direção-Geral,</w:t>
      </w:r>
      <w:r w:rsidRPr="004B5630">
        <w:rPr>
          <w:rFonts w:asciiTheme="minorHAnsi" w:hAnsiTheme="minorHAnsi"/>
          <w:szCs w:val="18"/>
        </w:rPr>
        <w:t xml:space="preserve"> </w:t>
      </w:r>
      <w:hyperlink r:id="rId6" w:history="1">
        <w:r w:rsidRPr="004B5630">
          <w:rPr>
            <w:rStyle w:val="Hiperligao"/>
            <w:rFonts w:asciiTheme="minorHAnsi" w:hAnsiTheme="minorHAnsi"/>
            <w:szCs w:val="18"/>
          </w:rPr>
          <w:t>http://www.dgert.gov.pt/</w:t>
        </w:r>
      </w:hyperlink>
      <w:r w:rsidRPr="004B5630">
        <w:rPr>
          <w:rFonts w:asciiTheme="minorHAnsi" w:hAnsiTheme="minorHAnsi"/>
          <w:szCs w:val="18"/>
        </w:rPr>
        <w:t>.</w:t>
      </w:r>
    </w:p>
  </w:footnote>
  <w:footnote w:id="34">
    <w:p w14:paraId="102074B3" w14:textId="77777777" w:rsidR="004B7DBA" w:rsidRPr="004B5630" w:rsidRDefault="004B7DBA" w:rsidP="00DF7CD7">
      <w:pPr>
        <w:pStyle w:val="NotaRodap"/>
        <w:tabs>
          <w:tab w:val="clear" w:pos="284"/>
          <w:tab w:val="left" w:pos="426"/>
        </w:tabs>
        <w:ind w:left="425" w:hanging="425"/>
        <w:rPr>
          <w:rFonts w:asciiTheme="minorHAnsi" w:hAnsiTheme="minorHAnsi"/>
          <w:szCs w:val="18"/>
        </w:rPr>
      </w:pPr>
      <w:r w:rsidRPr="004B5630">
        <w:rPr>
          <w:rStyle w:val="Refdenotaderodap"/>
          <w:rFonts w:asciiTheme="minorHAnsi" w:hAnsiTheme="minorHAnsi"/>
          <w:szCs w:val="18"/>
        </w:rPr>
        <w:footnoteRef/>
      </w:r>
      <w:r w:rsidRPr="004B5630">
        <w:rPr>
          <w:rFonts w:asciiTheme="minorHAnsi" w:hAnsiTheme="minorHAnsi"/>
          <w:szCs w:val="18"/>
          <w:vertAlign w:val="superscript"/>
        </w:rPr>
        <w:t xml:space="preserve"> </w:t>
      </w:r>
      <w:r w:rsidRPr="004B5630">
        <w:rPr>
          <w:rFonts w:asciiTheme="minorHAnsi" w:hAnsiTheme="minorHAnsi"/>
          <w:szCs w:val="18"/>
        </w:rPr>
        <w:tab/>
        <w:t xml:space="preserve">Para uma breve retrospetiva histórica dos processos de arbitragem iniciados a partir de 2005, consultar o Relatório anual sobre a evolução da negociação coletiva em 2015, págs. 47 ss, </w:t>
      </w:r>
      <w:hyperlink r:id="rId7" w:history="1">
        <w:r w:rsidRPr="004B5630">
          <w:rPr>
            <w:rStyle w:val="Hiperligao"/>
            <w:rFonts w:asciiTheme="minorHAnsi" w:hAnsiTheme="minorHAnsi"/>
            <w:szCs w:val="18"/>
          </w:rPr>
          <w:t>https://www.crlaborais.pt</w:t>
        </w:r>
      </w:hyperlink>
      <w:r w:rsidRPr="004B5630">
        <w:rPr>
          <w:rStyle w:val="Hiperligao"/>
          <w:rFonts w:asciiTheme="minorHAnsi" w:hAnsiTheme="minorHAnsi"/>
          <w:szCs w:val="18"/>
        </w:rPr>
        <w:t>.</w:t>
      </w:r>
    </w:p>
  </w:footnote>
  <w:footnote w:id="35">
    <w:p w14:paraId="4829A076" w14:textId="77777777" w:rsidR="004B7DBA" w:rsidRPr="004B5630" w:rsidRDefault="004B7DBA" w:rsidP="00DF7CD7">
      <w:pPr>
        <w:pStyle w:val="NotaRodap"/>
        <w:tabs>
          <w:tab w:val="clear" w:pos="284"/>
          <w:tab w:val="left" w:pos="426"/>
        </w:tabs>
        <w:ind w:left="425" w:hanging="425"/>
        <w:rPr>
          <w:rFonts w:asciiTheme="minorHAnsi" w:hAnsiTheme="minorHAnsi"/>
          <w:szCs w:val="18"/>
        </w:rPr>
      </w:pPr>
      <w:r w:rsidRPr="004B5630">
        <w:rPr>
          <w:rStyle w:val="Refdenotaderodap"/>
          <w:rFonts w:asciiTheme="minorHAnsi" w:hAnsiTheme="minorHAnsi"/>
          <w:szCs w:val="18"/>
        </w:rPr>
        <w:footnoteRef/>
      </w:r>
      <w:r w:rsidRPr="004B5630">
        <w:rPr>
          <w:rFonts w:asciiTheme="minorHAnsi" w:hAnsiTheme="minorHAnsi"/>
          <w:szCs w:val="18"/>
        </w:rPr>
        <w:t xml:space="preserve"> </w:t>
      </w:r>
      <w:r w:rsidRPr="004B5630">
        <w:rPr>
          <w:rFonts w:asciiTheme="minorHAnsi" w:hAnsiTheme="minorHAnsi"/>
          <w:szCs w:val="18"/>
        </w:rPr>
        <w:tab/>
        <w:t>Deve salientar-se, todavia, que são distintos os pressupostos legais para a emissão do despacho do Ministro do Trabalho quanto à arbitragem obrigatória (arts. 508.º e 509.º do CT) e quanto à arbitragem necessária (arts. 510º e 511.º do CT). Por outro lado, a pronúncia da Comissão Permanente de Concertação Social (CPCS) e da entidade reguladora do setor verifica-se, apenas, na arbitragem obrigatória.</w:t>
      </w:r>
    </w:p>
  </w:footnote>
  <w:footnote w:id="36">
    <w:p w14:paraId="7FFDB9DC" w14:textId="77777777" w:rsidR="004B7DBA" w:rsidRPr="004B5630" w:rsidRDefault="004B7DBA" w:rsidP="00DF7CD7">
      <w:pPr>
        <w:pStyle w:val="NotaRodap"/>
        <w:tabs>
          <w:tab w:val="clear" w:pos="284"/>
          <w:tab w:val="left" w:pos="426"/>
        </w:tabs>
        <w:ind w:left="425" w:hanging="425"/>
        <w:rPr>
          <w:rFonts w:asciiTheme="minorHAnsi" w:hAnsiTheme="minorHAnsi"/>
          <w:szCs w:val="18"/>
        </w:rPr>
      </w:pPr>
      <w:r w:rsidRPr="004B5630">
        <w:rPr>
          <w:rStyle w:val="Refdenotaderodap"/>
          <w:rFonts w:asciiTheme="minorHAnsi" w:hAnsiTheme="minorHAnsi"/>
          <w:szCs w:val="18"/>
        </w:rPr>
        <w:footnoteRef/>
      </w:r>
      <w:r w:rsidRPr="004B5630">
        <w:rPr>
          <w:rFonts w:asciiTheme="minorHAnsi" w:hAnsiTheme="minorHAnsi"/>
          <w:szCs w:val="18"/>
        </w:rPr>
        <w:t xml:space="preserve"> </w:t>
      </w:r>
      <w:r w:rsidRPr="004B5630">
        <w:rPr>
          <w:rFonts w:asciiTheme="minorHAnsi" w:hAnsiTheme="minorHAnsi"/>
          <w:szCs w:val="18"/>
        </w:rPr>
        <w:tab/>
        <w:t xml:space="preserve">Informação disponível no </w:t>
      </w:r>
      <w:r w:rsidRPr="004B5630">
        <w:rPr>
          <w:rFonts w:asciiTheme="minorHAnsi" w:hAnsiTheme="minorHAnsi"/>
          <w:i/>
          <w:szCs w:val="18"/>
        </w:rPr>
        <w:t>site</w:t>
      </w:r>
      <w:r w:rsidRPr="004B5630">
        <w:rPr>
          <w:rFonts w:asciiTheme="minorHAnsi" w:hAnsiTheme="minorHAnsi"/>
          <w:szCs w:val="18"/>
        </w:rPr>
        <w:t xml:space="preserve"> </w:t>
      </w:r>
      <w:hyperlink r:id="rId8" w:history="1">
        <w:r w:rsidRPr="004B5630">
          <w:rPr>
            <w:rStyle w:val="Hiperligao"/>
            <w:rFonts w:asciiTheme="minorHAnsi" w:hAnsiTheme="minorHAnsi"/>
            <w:szCs w:val="18"/>
          </w:rPr>
          <w:t>http://www.ces.pt/</w:t>
        </w:r>
      </w:hyperlink>
      <w:r w:rsidRPr="004B5630">
        <w:rPr>
          <w:rFonts w:asciiTheme="minorHAnsi" w:hAnsiTheme="minorHAnsi"/>
          <w:szCs w:val="18"/>
        </w:rPr>
        <w:t xml:space="preserve"> e em </w:t>
      </w:r>
      <w:hyperlink r:id="rId9" w:history="1">
        <w:r w:rsidRPr="004B5630">
          <w:rPr>
            <w:rStyle w:val="Hiperligao"/>
            <w:rFonts w:asciiTheme="minorHAnsi" w:hAnsiTheme="minorHAnsi"/>
            <w:szCs w:val="18"/>
          </w:rPr>
          <w:t>http://www.dgert.gov.pt/</w:t>
        </w:r>
      </w:hyperlink>
      <w:r w:rsidRPr="004B5630">
        <w:rPr>
          <w:rStyle w:val="Hiperligao"/>
          <w:rFonts w:asciiTheme="minorHAnsi" w:hAnsiTheme="minorHAnsi"/>
          <w:szCs w:val="18"/>
        </w:rPr>
        <w:t>.</w:t>
      </w:r>
    </w:p>
  </w:footnote>
  <w:footnote w:id="37">
    <w:p w14:paraId="54AFCD11" w14:textId="11869CA3" w:rsidR="004B7DBA" w:rsidRPr="004B5630" w:rsidRDefault="004B7DBA" w:rsidP="00DF7CD7">
      <w:pPr>
        <w:pStyle w:val="NotaRodap"/>
        <w:tabs>
          <w:tab w:val="clear" w:pos="284"/>
          <w:tab w:val="left" w:pos="426"/>
        </w:tabs>
        <w:ind w:left="425" w:hanging="425"/>
        <w:rPr>
          <w:rFonts w:asciiTheme="minorHAnsi" w:hAnsiTheme="minorHAnsi"/>
          <w:szCs w:val="18"/>
        </w:rPr>
      </w:pPr>
      <w:r w:rsidRPr="004B5630">
        <w:rPr>
          <w:rStyle w:val="Refdenotaderodap"/>
          <w:rFonts w:asciiTheme="minorHAnsi" w:hAnsiTheme="minorHAnsi"/>
          <w:szCs w:val="18"/>
        </w:rPr>
        <w:footnoteRef/>
      </w:r>
      <w:r w:rsidRPr="004B5630">
        <w:rPr>
          <w:rFonts w:asciiTheme="minorHAnsi" w:hAnsiTheme="minorHAnsi"/>
          <w:szCs w:val="18"/>
        </w:rPr>
        <w:t xml:space="preserve"> </w:t>
      </w:r>
      <w:r w:rsidRPr="004B5630">
        <w:rPr>
          <w:rFonts w:asciiTheme="minorHAnsi" w:hAnsiTheme="minorHAnsi"/>
          <w:szCs w:val="18"/>
        </w:rPr>
        <w:tab/>
        <w:t>Aviso de requerimento de arbitragem necessária para a celebração de CC   APIC/FESAHT l - BTE 35/2018. O requerimento foi endereçado pela FESAHT e tinha sido publicado o aviso sobre a data da cessação da vigência do contrato coletivo em BTE Nº 1/2016, relativo ao CC APIC/FESAHT -  BTE 48/2009. A publicação do aviso cumpre o artigo 511.º, 2 do CT (verificação do requisito da não existência de outra convenção coletiva aplicável a, pelo menos, 50</w:t>
      </w:r>
      <w:r>
        <w:rPr>
          <w:rFonts w:asciiTheme="minorHAnsi" w:hAnsiTheme="minorHAnsi"/>
          <w:szCs w:val="18"/>
        </w:rPr>
        <w:t>% dos trabalhadores do mesmo Se</w:t>
      </w:r>
      <w:r w:rsidRPr="004B5630">
        <w:rPr>
          <w:rFonts w:asciiTheme="minorHAnsi" w:hAnsiTheme="minorHAnsi"/>
          <w:szCs w:val="18"/>
        </w:rPr>
        <w:t xml:space="preserve">tor de atividade e área geográfica da convenção caducada, para que os interessados possam deduzir oposição fundamentada). </w:t>
      </w:r>
    </w:p>
  </w:footnote>
  <w:footnote w:id="38">
    <w:p w14:paraId="43D03BCF" w14:textId="67F04C38" w:rsidR="004B7DBA" w:rsidRPr="004B5630" w:rsidRDefault="004B7DBA" w:rsidP="00DF7CD7">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 xml:space="preserve">cfr. </w:t>
      </w:r>
      <w:r w:rsidRPr="004B5630">
        <w:rPr>
          <w:i/>
          <w:sz w:val="18"/>
          <w:szCs w:val="18"/>
        </w:rPr>
        <w:t>infra,</w:t>
      </w:r>
      <w:r w:rsidRPr="004B5630">
        <w:rPr>
          <w:sz w:val="18"/>
          <w:szCs w:val="18"/>
        </w:rPr>
        <w:t xml:space="preserve"> por exemplo, 4.4.5, sobre a organização do tempo de trabalho, à exceção do regime de disponibilidade   </w:t>
      </w:r>
    </w:p>
  </w:footnote>
  <w:footnote w:id="39">
    <w:p w14:paraId="26935D07" w14:textId="02906ECF" w:rsidR="004B7DBA" w:rsidRPr="004B5630" w:rsidRDefault="004B7DBA" w:rsidP="00181324">
      <w:pPr>
        <w:pStyle w:val="NotaRodap"/>
        <w:ind w:left="425" w:hanging="425"/>
        <w:rPr>
          <w:rFonts w:asciiTheme="minorHAnsi" w:hAnsiTheme="minorHAnsi"/>
          <w:szCs w:val="18"/>
        </w:rPr>
      </w:pPr>
      <w:r w:rsidRPr="004B5630">
        <w:rPr>
          <w:rStyle w:val="Refdenotaderodap"/>
          <w:rFonts w:asciiTheme="minorHAnsi" w:hAnsiTheme="minorHAnsi"/>
          <w:szCs w:val="18"/>
        </w:rPr>
        <w:footnoteRef/>
      </w:r>
      <w:r w:rsidRPr="004B5630">
        <w:rPr>
          <w:rFonts w:asciiTheme="minorHAnsi" w:hAnsiTheme="minorHAnsi"/>
          <w:szCs w:val="18"/>
        </w:rPr>
        <w:t xml:space="preserve"> </w:t>
      </w:r>
      <w:r w:rsidRPr="004B5630">
        <w:rPr>
          <w:rFonts w:asciiTheme="minorHAnsi" w:hAnsiTheme="minorHAnsi"/>
          <w:szCs w:val="18"/>
        </w:rPr>
        <w:tab/>
        <w:t>Ver nota rodapé 13, sobre o conceito de convenções paralelas.</w:t>
      </w:r>
    </w:p>
  </w:footnote>
  <w:footnote w:id="40">
    <w:p w14:paraId="7E648D70" w14:textId="5F3E052F" w:rsidR="004B7DBA" w:rsidRPr="004B5630" w:rsidRDefault="004B7DBA" w:rsidP="00181324">
      <w:pPr>
        <w:tabs>
          <w:tab w:val="left" w:pos="284"/>
        </w:tabs>
        <w:spacing w:after="0" w:line="240" w:lineRule="auto"/>
        <w:ind w:left="425" w:hanging="425"/>
        <w:jc w:val="both"/>
        <w:rPr>
          <w:rFonts w:eastAsia="Times New Roman" w:cs="Calibri"/>
          <w:color w:val="002060"/>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t>Existem várias situações de paralelismo entre anos. É o caso d</w:t>
      </w:r>
      <w:r w:rsidRPr="004B5630">
        <w:rPr>
          <w:rFonts w:eastAsia="Times New Roman"/>
          <w:sz w:val="18"/>
          <w:szCs w:val="18"/>
          <w:lang w:eastAsia="pt-PT"/>
        </w:rPr>
        <w:t>os AE CAIMA/SITESE - BTE 24/2019 e CAIMA/FIEQUIMETAL – BTE 17/2018</w:t>
      </w:r>
      <w:r w:rsidRPr="004B5630">
        <w:rPr>
          <w:rFonts w:eastAsia="Times New Roman"/>
          <w:color w:val="002060"/>
          <w:sz w:val="18"/>
          <w:szCs w:val="18"/>
          <w:lang w:eastAsia="pt-PT"/>
        </w:rPr>
        <w:t>.</w:t>
      </w:r>
    </w:p>
    <w:p w14:paraId="7292EEDB" w14:textId="77777777" w:rsidR="004B7DBA" w:rsidRPr="004B5630" w:rsidRDefault="004B7DBA" w:rsidP="008F57AA">
      <w:pPr>
        <w:pStyle w:val="Textodenotaderodap"/>
        <w:tabs>
          <w:tab w:val="left" w:pos="426"/>
        </w:tabs>
        <w:ind w:left="426" w:right="-1" w:hanging="426"/>
      </w:pPr>
    </w:p>
  </w:footnote>
  <w:footnote w:id="41">
    <w:p w14:paraId="09E23A6D" w14:textId="183F2722" w:rsidR="004B7DBA" w:rsidRPr="004B5630" w:rsidRDefault="004B7DBA" w:rsidP="00181324">
      <w:pPr>
        <w:pStyle w:val="Textodenotaderodap"/>
        <w:tabs>
          <w:tab w:val="left" w:pos="284"/>
        </w:tabs>
        <w:ind w:left="425" w:hanging="425"/>
        <w:rPr>
          <w:sz w:val="18"/>
          <w:szCs w:val="18"/>
        </w:rPr>
      </w:pPr>
      <w:r w:rsidRPr="004B5630">
        <w:rPr>
          <w:rStyle w:val="Refdenotaderodap"/>
          <w:sz w:val="18"/>
          <w:szCs w:val="18"/>
        </w:rPr>
        <w:footnoteRef/>
      </w:r>
      <w:r w:rsidRPr="004B5630">
        <w:rPr>
          <w:sz w:val="18"/>
          <w:szCs w:val="18"/>
        </w:rPr>
        <w:t xml:space="preserve"> </w:t>
      </w:r>
      <w:r w:rsidRPr="004B5630">
        <w:rPr>
          <w:rStyle w:val="ListLabel4"/>
          <w:sz w:val="18"/>
          <w:szCs w:val="18"/>
        </w:rPr>
        <w:t xml:space="preserve">  </w:t>
      </w:r>
      <w:r w:rsidRPr="004B5630">
        <w:rPr>
          <w:rStyle w:val="ListLabel4"/>
          <w:sz w:val="18"/>
          <w:szCs w:val="18"/>
        </w:rPr>
        <w:tab/>
        <w:t>(‘C) “Indústrias transformadoras”; (F) “Construção”; (G) “Comércio por grosso e a retalho; reparação de veículos automóveis e motociclos” (G), (H) “Transportes e armazenagem”; (I) “Alojamento, restauração e similares”.</w:t>
      </w:r>
    </w:p>
  </w:footnote>
  <w:footnote w:id="42">
    <w:p w14:paraId="04A95D80" w14:textId="77777777" w:rsidR="004B7DBA" w:rsidRPr="004B5630" w:rsidRDefault="004B7DBA" w:rsidP="00E01FD9">
      <w:pPr>
        <w:pStyle w:val="Textodenotaderodap"/>
        <w:tabs>
          <w:tab w:val="left" w:pos="426"/>
        </w:tabs>
        <w:ind w:left="425" w:hanging="425"/>
        <w:rPr>
          <w:rStyle w:val="ListLabel4"/>
          <w:rFonts w:ascii="Calibri" w:hAnsi="Calibri" w:cs="Calibri"/>
          <w:sz w:val="18"/>
          <w:szCs w:val="18"/>
        </w:rPr>
      </w:pPr>
      <w:r w:rsidRPr="004B5630">
        <w:rPr>
          <w:rStyle w:val="Refdenotaderodap"/>
          <w:sz w:val="18"/>
          <w:szCs w:val="18"/>
        </w:rPr>
        <w:footnoteRef/>
      </w:r>
      <w:r w:rsidRPr="004B5630">
        <w:rPr>
          <w:rStyle w:val="ListLabel4"/>
          <w:sz w:val="18"/>
          <w:szCs w:val="18"/>
        </w:rPr>
        <w:t xml:space="preserve"> </w:t>
      </w:r>
      <w:r w:rsidRPr="004B5630">
        <w:rPr>
          <w:rStyle w:val="ListLabel4"/>
        </w:rPr>
        <w:tab/>
      </w:r>
      <w:r w:rsidRPr="004B5630">
        <w:rPr>
          <w:rStyle w:val="ListLabel4"/>
          <w:rFonts w:ascii="Calibri" w:hAnsi="Calibri" w:cs="Calibri"/>
          <w:sz w:val="18"/>
          <w:szCs w:val="18"/>
        </w:rPr>
        <w:t>Sobre este ponto, Cfr. Relatório Anual N.C 2018, pág.76</w:t>
      </w:r>
    </w:p>
  </w:footnote>
  <w:footnote w:id="43">
    <w:p w14:paraId="3C98A035" w14:textId="77777777" w:rsidR="004B7DBA" w:rsidRPr="004B5630" w:rsidRDefault="004B7DBA" w:rsidP="00181324">
      <w:pPr>
        <w:pStyle w:val="Textodenotaderodap"/>
        <w:tabs>
          <w:tab w:val="left" w:pos="426"/>
        </w:tabs>
        <w:ind w:left="425" w:hanging="425"/>
        <w:rPr>
          <w:rStyle w:val="ListLabel4"/>
          <w:rFonts w:ascii="Calibri" w:hAnsi="Calibri" w:cs="Calibri"/>
          <w:sz w:val="18"/>
          <w:szCs w:val="18"/>
        </w:rPr>
      </w:pPr>
      <w:r w:rsidRPr="004B5630">
        <w:rPr>
          <w:rStyle w:val="Refdenotaderodap"/>
          <w:rFonts w:ascii="Calibri" w:hAnsi="Calibri" w:cs="Calibri"/>
          <w:sz w:val="18"/>
          <w:szCs w:val="18"/>
        </w:rPr>
        <w:footnoteRef/>
      </w:r>
      <w:r w:rsidRPr="004B5630">
        <w:rPr>
          <w:rStyle w:val="ListLabel4"/>
          <w:rFonts w:ascii="Calibri" w:hAnsi="Calibri" w:cs="Calibri"/>
          <w:sz w:val="18"/>
          <w:szCs w:val="18"/>
        </w:rPr>
        <w:t xml:space="preserve"> </w:t>
      </w:r>
      <w:r w:rsidRPr="004B5630">
        <w:rPr>
          <w:rStyle w:val="ListLabel4"/>
          <w:rFonts w:ascii="Calibri" w:hAnsi="Calibri" w:cs="Calibri"/>
          <w:sz w:val="18"/>
          <w:szCs w:val="18"/>
        </w:rPr>
        <w:tab/>
        <w:t>Portaria n.º 208/2019, 04-07, extensão das alterações do CC ITA/SinCESAHT - BTE 20/2019 e Portaria n.º 209/2019, 04-07, extensão do CC APHP/FESAHT - BTE 20/2019, em ambos os casos produção de efeitos da tabela salarial a partir de 1-7-2019, enquanto a eficácia da tabela salarial da convenção começou a produzir efeitos a 1-1-2019.</w:t>
      </w:r>
    </w:p>
  </w:footnote>
  <w:footnote w:id="44">
    <w:p w14:paraId="4646EA6B" w14:textId="77777777" w:rsidR="004B7DBA" w:rsidRPr="004B5630" w:rsidRDefault="004B7DBA" w:rsidP="00181324">
      <w:pPr>
        <w:pStyle w:val="Textodenotaderodap"/>
        <w:tabs>
          <w:tab w:val="left" w:pos="426"/>
        </w:tabs>
        <w:ind w:left="425" w:hanging="425"/>
        <w:rPr>
          <w:rStyle w:val="ListLabel4"/>
          <w:rFonts w:ascii="Calibri" w:hAnsi="Calibri" w:cs="Calibri"/>
          <w:sz w:val="18"/>
          <w:szCs w:val="18"/>
        </w:rPr>
      </w:pPr>
      <w:r w:rsidRPr="004B5630">
        <w:rPr>
          <w:rStyle w:val="Refdenotaderodap"/>
          <w:rFonts w:ascii="Calibri" w:hAnsi="Calibri" w:cs="Calibri"/>
          <w:sz w:val="18"/>
          <w:szCs w:val="18"/>
        </w:rPr>
        <w:footnoteRef/>
      </w:r>
      <w:r w:rsidRPr="004B5630">
        <w:rPr>
          <w:rStyle w:val="ListLabel4"/>
          <w:rFonts w:ascii="Calibri" w:hAnsi="Calibri" w:cs="Calibri"/>
          <w:sz w:val="18"/>
          <w:szCs w:val="18"/>
        </w:rPr>
        <w:t xml:space="preserve">   </w:t>
      </w:r>
      <w:r w:rsidRPr="004B5630">
        <w:rPr>
          <w:rStyle w:val="ListLabel4"/>
          <w:rFonts w:ascii="Calibri" w:hAnsi="Calibri" w:cs="Calibri"/>
          <w:sz w:val="18"/>
          <w:szCs w:val="18"/>
        </w:rPr>
        <w:tab/>
        <w:t xml:space="preserve">Portaria n.º 86/2019, 22-3, extensão das alterações do AC SUPER BOCK/FESAHT – BTE 7/2019, produção de efeitos da tabela salarial de ambos os IRCT é a partir de 1-1-2018. Neste caso, a retroatividade da tabela salarial por relação à data de publicação da PE é de 14,3 meses. </w:t>
      </w:r>
    </w:p>
  </w:footnote>
  <w:footnote w:id="45">
    <w:p w14:paraId="299BEA8E" w14:textId="77777777" w:rsidR="004B7DBA" w:rsidRPr="004B5630" w:rsidRDefault="004B7DBA" w:rsidP="00181324">
      <w:pPr>
        <w:pStyle w:val="Textodenotaderodap"/>
        <w:tabs>
          <w:tab w:val="left" w:pos="426"/>
        </w:tabs>
        <w:ind w:left="425" w:hanging="425"/>
        <w:rPr>
          <w:rStyle w:val="Refdenotaderodap"/>
          <w:sz w:val="18"/>
          <w:szCs w:val="18"/>
          <w:vertAlign w:val="baseline"/>
        </w:rPr>
      </w:pPr>
      <w:r w:rsidRPr="004B5630">
        <w:rPr>
          <w:rStyle w:val="Refdenotaderodap"/>
          <w:sz w:val="18"/>
          <w:szCs w:val="18"/>
        </w:rPr>
        <w:footnoteRef/>
      </w:r>
      <w:r w:rsidRPr="004B5630">
        <w:rPr>
          <w:rStyle w:val="Refdenotaderodap"/>
          <w:vertAlign w:val="baseline"/>
        </w:rPr>
        <w:t xml:space="preserve">  </w:t>
      </w:r>
      <w:r w:rsidRPr="004B5630">
        <w:rPr>
          <w:rStyle w:val="Refdenotaderodap"/>
          <w:vertAlign w:val="baseline"/>
        </w:rPr>
        <w:tab/>
      </w:r>
      <w:r w:rsidRPr="004B5630">
        <w:rPr>
          <w:rStyle w:val="Refdenotaderodap"/>
          <w:sz w:val="18"/>
          <w:szCs w:val="18"/>
          <w:vertAlign w:val="baseline"/>
        </w:rPr>
        <w:t>Portaria n.º 18/2019, de 15-1-19 relativa à extensão do CC AHRESP/SITESE - BTE 46/2018 e a Portaria n.º244/2019, 1-8-19, extensão das alterações do CC AHRESP/SITESE - BTE 21/2019 (restauração bebidas); e a Portaria n.º 9/2019, de 10-1-19 relativa à extensão do CC AHRESP/SITESE - BTE 45/2018 e a Portaria n.º386/2019, 24-10-19, extensão das alterações do CC AHRESP/SITESE – BTE27/2019 (alojamento).</w:t>
      </w:r>
    </w:p>
  </w:footnote>
  <w:footnote w:id="46">
    <w:p w14:paraId="5D8221B3" w14:textId="42EF7B12" w:rsidR="004B7DBA" w:rsidRPr="004B5630" w:rsidRDefault="004B7DBA" w:rsidP="00181324">
      <w:pPr>
        <w:pStyle w:val="Textodenotaderodap"/>
        <w:tabs>
          <w:tab w:val="left" w:pos="426"/>
        </w:tabs>
        <w:ind w:left="425" w:hanging="425"/>
        <w:rPr>
          <w:rStyle w:val="Refdenotaderodap"/>
          <w:sz w:val="18"/>
          <w:szCs w:val="18"/>
          <w:vertAlign w:val="baseline"/>
        </w:rPr>
      </w:pPr>
      <w:r w:rsidRPr="004B5630">
        <w:rPr>
          <w:rStyle w:val="Refdenotaderodap"/>
          <w:sz w:val="18"/>
          <w:szCs w:val="18"/>
        </w:rPr>
        <w:footnoteRef/>
      </w:r>
      <w:r w:rsidRPr="004B5630">
        <w:rPr>
          <w:rStyle w:val="Refdenotaderodap"/>
          <w:sz w:val="18"/>
          <w:szCs w:val="18"/>
          <w:vertAlign w:val="baseline"/>
        </w:rPr>
        <w:t xml:space="preserve"> </w:t>
      </w:r>
      <w:r w:rsidRPr="004B5630">
        <w:rPr>
          <w:rStyle w:val="Refdenotaderodap"/>
          <w:sz w:val="18"/>
          <w:szCs w:val="18"/>
          <w:vertAlign w:val="baseline"/>
        </w:rPr>
        <w:tab/>
        <w:t>Portaria n.º260/2019, 19-8-2019, extensão do  AE SUCH/FESAHT - BTE 21/2019   e a   Portaria   n.º 401/2019,6-12-2019, extensão das alterações do AE SUCH/FESAHT – BTE 34/2019.</w:t>
      </w:r>
    </w:p>
  </w:footnote>
  <w:footnote w:id="47">
    <w:p w14:paraId="6453C13E" w14:textId="77777777" w:rsidR="004B7DBA" w:rsidRPr="004B5630" w:rsidRDefault="004B7DBA" w:rsidP="00181324">
      <w:pPr>
        <w:pStyle w:val="Textodenotaderodap"/>
        <w:tabs>
          <w:tab w:val="left" w:pos="426"/>
        </w:tabs>
        <w:ind w:left="425" w:hanging="425"/>
        <w:rPr>
          <w:rStyle w:val="Refdenotaderodap"/>
          <w:sz w:val="18"/>
          <w:szCs w:val="18"/>
          <w:vertAlign w:val="baseline"/>
        </w:rPr>
      </w:pPr>
      <w:r w:rsidRPr="004B5630">
        <w:rPr>
          <w:rStyle w:val="Refdenotaderodap"/>
          <w:sz w:val="18"/>
          <w:szCs w:val="18"/>
        </w:rPr>
        <w:footnoteRef/>
      </w:r>
      <w:r w:rsidRPr="004B5630">
        <w:rPr>
          <w:rStyle w:val="Refdenotaderodap"/>
          <w:sz w:val="18"/>
          <w:szCs w:val="18"/>
        </w:rPr>
        <w:t xml:space="preserve"> </w:t>
      </w:r>
      <w:r w:rsidRPr="004B5630">
        <w:rPr>
          <w:rStyle w:val="Refdenotaderodap"/>
          <w:sz w:val="18"/>
          <w:szCs w:val="18"/>
          <w:vertAlign w:val="baseline"/>
        </w:rPr>
        <w:tab/>
        <w:t>Portaria 376/2019, de 17-10, extensão das alterações ao CC AHRESP/FESAHT – BTE27/2019 (alojamento).</w:t>
      </w:r>
    </w:p>
  </w:footnote>
  <w:footnote w:id="48">
    <w:p w14:paraId="7C2952F8" w14:textId="77777777" w:rsidR="004B7DBA" w:rsidRPr="004B5630" w:rsidRDefault="004B7DBA" w:rsidP="00181324">
      <w:pPr>
        <w:pStyle w:val="Textodenotaderodap"/>
        <w:tabs>
          <w:tab w:val="left" w:pos="426"/>
        </w:tabs>
        <w:ind w:left="425" w:hanging="425"/>
        <w:rPr>
          <w:rStyle w:val="Refdenotaderodap"/>
          <w:sz w:val="18"/>
          <w:szCs w:val="18"/>
          <w:vertAlign w:val="baseline"/>
        </w:rPr>
      </w:pPr>
      <w:r w:rsidRPr="004B5630">
        <w:rPr>
          <w:rStyle w:val="Refdenotaderodap"/>
          <w:sz w:val="18"/>
          <w:szCs w:val="18"/>
        </w:rPr>
        <w:footnoteRef/>
      </w:r>
      <w:r w:rsidRPr="004B5630">
        <w:rPr>
          <w:rStyle w:val="Refdenotaderodap"/>
          <w:sz w:val="18"/>
          <w:szCs w:val="18"/>
          <w:vertAlign w:val="baseline"/>
        </w:rPr>
        <w:t xml:space="preserve"> </w:t>
      </w:r>
      <w:r w:rsidRPr="004B5630">
        <w:rPr>
          <w:rStyle w:val="Refdenotaderodap"/>
          <w:sz w:val="18"/>
          <w:szCs w:val="18"/>
          <w:vertAlign w:val="baseline"/>
        </w:rPr>
        <w:tab/>
        <w:t>Ver a Portaria n.º 307/2019 e a Portaria n.º.308/2019, ambas de 13.9.20, relativa à extensão das alterações, respetivamente, do CC AES/STAD e do CC AES/FETESE - ambos BTE 48/2018 (instrumentos paralelos). Um dos pontos controversos da extensão respeita ao “regime de manutenção de postos de trabalho  em situação de sucessão de  empregadores na prestação de serviços de segurança privada  quer a sucessão se traduza , ou não,  na transmissão  de uma unidade económica autónoma (…)”, regulado  pela cl.14ª das convenções enunciadas e que configurariam um regime globalmente mais favorável à proteção dos direitos dos trabalhadores. Como refere a fundamentação do Governo, esta disposição convencional encontra guarida no art.3.º,n.3,al.m), do CT.</w:t>
      </w:r>
    </w:p>
    <w:p w14:paraId="5860E010" w14:textId="77777777" w:rsidR="004B7DBA" w:rsidRPr="004B5630" w:rsidRDefault="004B7DBA" w:rsidP="008F57AA">
      <w:pPr>
        <w:pStyle w:val="Textodenotaderodap"/>
        <w:tabs>
          <w:tab w:val="left" w:pos="426"/>
        </w:tabs>
        <w:ind w:left="426" w:right="-1" w:hanging="426"/>
      </w:pPr>
      <w:r w:rsidRPr="004B5630">
        <w:rPr>
          <w:rFonts w:cs="Calibri"/>
        </w:rPr>
        <w:t xml:space="preserve"> </w:t>
      </w:r>
    </w:p>
  </w:footnote>
  <w:footnote w:id="49">
    <w:p w14:paraId="1780BC47" w14:textId="33EA38C3" w:rsidR="004B7DBA" w:rsidRPr="004B5630" w:rsidRDefault="004B7DBA" w:rsidP="00181324">
      <w:pPr>
        <w:pStyle w:val="Textodenotaderodap"/>
        <w:tabs>
          <w:tab w:val="left" w:pos="426"/>
        </w:tabs>
        <w:ind w:left="425" w:hanging="425"/>
        <w:rPr>
          <w:rStyle w:val="Refdenotaderodap"/>
          <w:sz w:val="18"/>
          <w:szCs w:val="18"/>
          <w:vertAlign w:val="baseline"/>
        </w:rPr>
      </w:pPr>
      <w:r w:rsidRPr="004B5630">
        <w:rPr>
          <w:rStyle w:val="Refdenotaderodap"/>
          <w:sz w:val="18"/>
          <w:szCs w:val="18"/>
        </w:rPr>
        <w:footnoteRef/>
      </w:r>
      <w:r w:rsidRPr="004B5630">
        <w:rPr>
          <w:rStyle w:val="Refdenotaderodap"/>
          <w:sz w:val="18"/>
          <w:szCs w:val="18"/>
          <w:vertAlign w:val="baseline"/>
        </w:rPr>
        <w:t xml:space="preserve"> </w:t>
      </w:r>
      <w:r w:rsidRPr="004B5630">
        <w:rPr>
          <w:sz w:val="18"/>
          <w:szCs w:val="18"/>
        </w:rPr>
        <w:t xml:space="preserve"> </w:t>
      </w:r>
      <w:r w:rsidRPr="004B5630">
        <w:rPr>
          <w:sz w:val="18"/>
          <w:szCs w:val="18"/>
        </w:rPr>
        <w:tab/>
      </w:r>
      <w:r w:rsidRPr="004B5630">
        <w:rPr>
          <w:rStyle w:val="Refdenotaderodap"/>
          <w:sz w:val="18"/>
          <w:szCs w:val="18"/>
          <w:vertAlign w:val="baseline"/>
        </w:rPr>
        <w:t>Em 2018, este intervalo médio era de 2,4 meses. Enquanto em 2016 era de 7 meses (ou seja, antes da RCM 82/2017).</w:t>
      </w:r>
    </w:p>
  </w:footnote>
  <w:footnote w:id="50">
    <w:p w14:paraId="40C3A9F0" w14:textId="1514EA18" w:rsidR="004B7DBA" w:rsidRPr="004B5630" w:rsidRDefault="004B7DBA" w:rsidP="00181324">
      <w:pPr>
        <w:pStyle w:val="Textodenotaderodap"/>
        <w:tabs>
          <w:tab w:val="left" w:pos="426"/>
        </w:tabs>
        <w:ind w:left="425" w:hanging="425"/>
        <w:rPr>
          <w:rStyle w:val="Refdenotaderodap"/>
          <w:sz w:val="18"/>
          <w:szCs w:val="18"/>
          <w:vertAlign w:val="baseline"/>
        </w:rPr>
      </w:pPr>
      <w:r w:rsidRPr="004B5630">
        <w:rPr>
          <w:rStyle w:val="Refdenotaderodap"/>
          <w:sz w:val="18"/>
          <w:szCs w:val="18"/>
        </w:rPr>
        <w:footnoteRef/>
      </w:r>
      <w:r w:rsidRPr="004B5630">
        <w:rPr>
          <w:sz w:val="18"/>
          <w:szCs w:val="18"/>
        </w:rPr>
        <w:t xml:space="preserve"> </w:t>
      </w:r>
      <w:r w:rsidRPr="004B5630">
        <w:rPr>
          <w:rStyle w:val="Refdenotaderodap"/>
          <w:sz w:val="18"/>
          <w:szCs w:val="18"/>
          <w:vertAlign w:val="baseline"/>
        </w:rPr>
        <w:t xml:space="preserve"> </w:t>
      </w:r>
      <w:r w:rsidRPr="004B5630">
        <w:rPr>
          <w:sz w:val="18"/>
          <w:szCs w:val="18"/>
        </w:rPr>
        <w:tab/>
      </w:r>
      <w:r w:rsidRPr="004B5630">
        <w:rPr>
          <w:rStyle w:val="Refdenotaderodap"/>
          <w:sz w:val="18"/>
          <w:szCs w:val="18"/>
          <w:vertAlign w:val="baseline"/>
        </w:rPr>
        <w:t>Em 2018, essa diferença era de 6,7 meses, enquanto em 2016 era de 10 meses.</w:t>
      </w:r>
    </w:p>
    <w:p w14:paraId="2D5B343B" w14:textId="77777777" w:rsidR="004B7DBA" w:rsidRPr="004B5630" w:rsidRDefault="004B7DBA" w:rsidP="00181324">
      <w:pPr>
        <w:pStyle w:val="Textodenotaderodap"/>
        <w:tabs>
          <w:tab w:val="left" w:pos="426"/>
        </w:tabs>
        <w:ind w:left="425" w:hanging="425"/>
      </w:pPr>
    </w:p>
  </w:footnote>
  <w:footnote w:id="51">
    <w:p w14:paraId="1EEF7F52" w14:textId="77777777" w:rsidR="004B7DBA" w:rsidRPr="004B5630" w:rsidRDefault="004B7DBA" w:rsidP="00D456D5">
      <w:pPr>
        <w:pStyle w:val="Textodenotaderodap"/>
        <w:tabs>
          <w:tab w:val="left" w:pos="426"/>
        </w:tabs>
        <w:ind w:left="425" w:hanging="425"/>
        <w:rPr>
          <w:rFonts w:cstheme="minorHAnsi"/>
          <w:sz w:val="18"/>
          <w:szCs w:val="18"/>
        </w:rPr>
      </w:pPr>
      <w:r w:rsidRPr="004B5630">
        <w:rPr>
          <w:rStyle w:val="Refdenotaderodap"/>
          <w:rFonts w:eastAsiaTheme="majorEastAsia" w:cstheme="minorHAnsi"/>
          <w:sz w:val="18"/>
          <w:szCs w:val="18"/>
        </w:rPr>
        <w:footnoteRef/>
      </w:r>
      <w:r w:rsidRPr="004B5630">
        <w:rPr>
          <w:rFonts w:cstheme="minorHAnsi"/>
          <w:sz w:val="18"/>
          <w:szCs w:val="18"/>
        </w:rPr>
        <w:t xml:space="preserve">  </w:t>
      </w:r>
      <w:r w:rsidRPr="004B5630">
        <w:rPr>
          <w:rFonts w:cstheme="minorHAnsi"/>
          <w:sz w:val="18"/>
          <w:szCs w:val="18"/>
        </w:rPr>
        <w:tab/>
        <w:t xml:space="preserve">Disponível em </w:t>
      </w:r>
      <w:hyperlink r:id="rId10" w:history="1">
        <w:r w:rsidRPr="004B5630">
          <w:rPr>
            <w:rFonts w:cstheme="minorHAnsi"/>
            <w:sz w:val="18"/>
            <w:szCs w:val="18"/>
          </w:rPr>
          <w:t>http://www.dgtf.pt</w:t>
        </w:r>
      </w:hyperlink>
      <w:r w:rsidRPr="004B5630">
        <w:rPr>
          <w:rFonts w:cstheme="minorHAnsi"/>
          <w:sz w:val="18"/>
          <w:szCs w:val="18"/>
        </w:rPr>
        <w:t>.</w:t>
      </w:r>
    </w:p>
  </w:footnote>
  <w:footnote w:id="52">
    <w:p w14:paraId="64F435FE" w14:textId="77777777" w:rsidR="004B7DBA" w:rsidRPr="004B5630" w:rsidRDefault="004B7DBA" w:rsidP="00D456D5">
      <w:pPr>
        <w:pStyle w:val="Textodenotaderodap"/>
        <w:tabs>
          <w:tab w:val="left" w:pos="426"/>
        </w:tabs>
        <w:ind w:left="425" w:hanging="425"/>
        <w:rPr>
          <w:rFonts w:cstheme="minorHAnsi"/>
          <w:color w:val="000000" w:themeColor="text1"/>
          <w:sz w:val="18"/>
          <w:szCs w:val="18"/>
        </w:rPr>
      </w:pPr>
      <w:r w:rsidRPr="004B5630">
        <w:rPr>
          <w:rStyle w:val="Refdenotaderodap"/>
          <w:rFonts w:eastAsiaTheme="majorEastAsia" w:cstheme="minorHAnsi"/>
          <w:color w:val="000000" w:themeColor="text1"/>
          <w:sz w:val="18"/>
          <w:szCs w:val="18"/>
        </w:rPr>
        <w:footnoteRef/>
      </w:r>
      <w:r w:rsidRPr="004B5630">
        <w:rPr>
          <w:rFonts w:cstheme="minorHAnsi"/>
          <w:color w:val="000000" w:themeColor="text1"/>
          <w:sz w:val="18"/>
          <w:szCs w:val="18"/>
        </w:rPr>
        <w:t xml:space="preserve">  </w:t>
      </w:r>
      <w:r w:rsidRPr="004B5630">
        <w:rPr>
          <w:rFonts w:cstheme="minorHAnsi"/>
          <w:color w:val="000000" w:themeColor="text1"/>
          <w:sz w:val="18"/>
          <w:szCs w:val="18"/>
        </w:rPr>
        <w:tab/>
        <w:t xml:space="preserve">O total de entidades indicadas no SIOE (com mais de 50% de participação pública) é de 234 para a Administração Central (SEE) e 226 para a Administração Local (SEL). No apuramento dos 50% de capital público podem ser consideradas as várias participações do SEE e SEL para a mesma empresa. Disponível em </w:t>
      </w:r>
      <w:hyperlink r:id="rId11" w:history="1">
        <w:r w:rsidRPr="004B5630">
          <w:rPr>
            <w:rStyle w:val="Hiperligao"/>
            <w:rFonts w:cstheme="minorHAnsi"/>
            <w:color w:val="000000" w:themeColor="text1"/>
            <w:sz w:val="18"/>
            <w:szCs w:val="18"/>
          </w:rPr>
          <w:t>https://www.dgaep.gov.pt/</w:t>
        </w:r>
      </w:hyperlink>
      <w:r w:rsidRPr="004B5630">
        <w:rPr>
          <w:rFonts w:cstheme="minorHAnsi"/>
          <w:color w:val="000000" w:themeColor="text1"/>
          <w:sz w:val="18"/>
          <w:szCs w:val="18"/>
        </w:rPr>
        <w:t>.</w:t>
      </w:r>
    </w:p>
  </w:footnote>
  <w:footnote w:id="53">
    <w:p w14:paraId="07C83CE0" w14:textId="05168529" w:rsidR="004B7DBA" w:rsidRPr="004B5630" w:rsidRDefault="004B7DBA" w:rsidP="00D456D5">
      <w:pPr>
        <w:pStyle w:val="Textodenotaderodap"/>
        <w:tabs>
          <w:tab w:val="left" w:pos="426"/>
        </w:tabs>
        <w:ind w:left="425" w:hanging="425"/>
        <w:rPr>
          <w:rFonts w:cstheme="minorHAnsi"/>
          <w:sz w:val="18"/>
          <w:szCs w:val="18"/>
        </w:rPr>
      </w:pPr>
      <w:r w:rsidRPr="004B5630">
        <w:rPr>
          <w:rStyle w:val="Refdenotaderodap"/>
          <w:rFonts w:cstheme="minorHAnsi"/>
          <w:sz w:val="18"/>
          <w:szCs w:val="18"/>
        </w:rPr>
        <w:footnoteRef/>
      </w:r>
      <w:r w:rsidRPr="004B5630">
        <w:rPr>
          <w:rFonts w:cstheme="minorHAnsi"/>
          <w:sz w:val="18"/>
          <w:szCs w:val="18"/>
        </w:rPr>
        <w:t xml:space="preserve"> </w:t>
      </w:r>
      <w:r w:rsidRPr="004B5630">
        <w:rPr>
          <w:rFonts w:cstheme="minorHAnsi"/>
          <w:sz w:val="18"/>
          <w:szCs w:val="18"/>
        </w:rPr>
        <w:tab/>
        <w:t xml:space="preserve">De qualquer modo os AC com maior número de empresas abrangidas continuam a ser o setor da saúde, publicados quer em 2018, quer 2019. </w:t>
      </w:r>
    </w:p>
  </w:footnote>
  <w:footnote w:id="54">
    <w:p w14:paraId="27D40A8F" w14:textId="77777777" w:rsidR="004B7DBA" w:rsidRPr="004B5630" w:rsidRDefault="004B7DBA" w:rsidP="00181324">
      <w:pPr>
        <w:pStyle w:val="Textodenotaderodap"/>
        <w:tabs>
          <w:tab w:val="left" w:pos="426"/>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Style w:val="Refdenotaderodap"/>
          <w:rFonts w:cstheme="minorHAnsi"/>
          <w:sz w:val="18"/>
          <w:szCs w:val="18"/>
          <w:vertAlign w:val="baseline"/>
        </w:rPr>
        <w:tab/>
        <w:t>Trata-se da adesão ao AC APA/SNTAP – BTE 28/2018.</w:t>
      </w:r>
    </w:p>
  </w:footnote>
  <w:footnote w:id="55">
    <w:p w14:paraId="0CA5D7BC" w14:textId="77777777" w:rsidR="004B7DBA" w:rsidRPr="004B5630" w:rsidRDefault="004B7DBA" w:rsidP="00181324">
      <w:pPr>
        <w:pStyle w:val="Textodenotaderodap"/>
        <w:tabs>
          <w:tab w:val="left" w:pos="426"/>
        </w:tabs>
        <w:ind w:left="425" w:hanging="425"/>
        <w:rPr>
          <w:rFonts w:cstheme="minorHAnsi"/>
          <w:sz w:val="18"/>
          <w:szCs w:val="18"/>
        </w:rPr>
      </w:pPr>
      <w:r w:rsidRPr="004B5630">
        <w:rPr>
          <w:rStyle w:val="Refdenotaderodap"/>
          <w:rFonts w:cstheme="minorHAnsi"/>
          <w:sz w:val="18"/>
          <w:szCs w:val="18"/>
        </w:rPr>
        <w:footnoteRef/>
      </w:r>
      <w:r w:rsidRPr="004B5630">
        <w:rPr>
          <w:rFonts w:cstheme="minorHAnsi"/>
          <w:sz w:val="18"/>
          <w:szCs w:val="18"/>
          <w:vertAlign w:val="superscript"/>
        </w:rPr>
        <w:t xml:space="preserve"> </w:t>
      </w:r>
      <w:r w:rsidRPr="004B5630">
        <w:rPr>
          <w:rFonts w:cstheme="minorHAnsi"/>
          <w:sz w:val="18"/>
          <w:szCs w:val="18"/>
        </w:rPr>
        <w:t xml:space="preserve"> </w:t>
      </w:r>
      <w:r w:rsidRPr="004B5630">
        <w:rPr>
          <w:rFonts w:cstheme="minorHAnsi"/>
          <w:sz w:val="18"/>
          <w:szCs w:val="18"/>
        </w:rPr>
        <w:tab/>
        <w:t xml:space="preserve">O quadro 27 apenas considera empresas públicas. Em 2019, foram ainda celebrados três AE paralelos pela Fundação INATEL. </w:t>
      </w:r>
    </w:p>
  </w:footnote>
  <w:footnote w:id="56">
    <w:p w14:paraId="5151FB39" w14:textId="77777777" w:rsidR="004B7DBA" w:rsidRPr="004B5630" w:rsidRDefault="004B7DBA" w:rsidP="00181324">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t xml:space="preserve">A maior parte destas revisões parciais integra matéria salarial, como é o caso do </w:t>
      </w:r>
      <w:r w:rsidRPr="004B5630">
        <w:rPr>
          <w:rFonts w:eastAsia="Times New Roman" w:cs="Calibri"/>
          <w:sz w:val="18"/>
          <w:szCs w:val="18"/>
          <w:lang w:eastAsia="pt-PT"/>
        </w:rPr>
        <w:t>AE RTP/FE – BTE 14/2019.</w:t>
      </w:r>
    </w:p>
    <w:p w14:paraId="511F8ED3" w14:textId="77777777" w:rsidR="004B7DBA" w:rsidRPr="004B5630" w:rsidRDefault="004B7DBA" w:rsidP="008F57AA">
      <w:pPr>
        <w:pStyle w:val="Textodenotaderodap"/>
        <w:tabs>
          <w:tab w:val="left" w:pos="426"/>
        </w:tabs>
        <w:ind w:left="426" w:right="-1" w:hanging="426"/>
      </w:pPr>
    </w:p>
  </w:footnote>
  <w:footnote w:id="57">
    <w:p w14:paraId="42B71BAE" w14:textId="77777777" w:rsidR="004B7DBA" w:rsidRPr="004B5630" w:rsidRDefault="004B7DBA" w:rsidP="00181324">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Atendendo à sua dimensão, a maioria desses quadros constam em anexo, mantendo-se</w:t>
      </w:r>
      <w:r w:rsidRPr="004B5630">
        <w:rPr>
          <w:rFonts w:eastAsia="Calibri"/>
          <w:sz w:val="18"/>
          <w:szCs w:val="18"/>
        </w:rPr>
        <w:t xml:space="preserve"> o classificador adotado nos relatórios anteriores: </w:t>
      </w:r>
      <w:r w:rsidRPr="004B5630">
        <w:rPr>
          <w:rFonts w:eastAsia="Calibri"/>
          <w:i/>
          <w:sz w:val="18"/>
          <w:szCs w:val="18"/>
        </w:rPr>
        <w:t>(=) à anterior, alteração à convenção anterior e novo</w:t>
      </w:r>
      <w:r w:rsidRPr="004B5630">
        <w:rPr>
          <w:sz w:val="18"/>
          <w:szCs w:val="18"/>
        </w:rPr>
        <w:t xml:space="preserve">. </w:t>
      </w:r>
    </w:p>
  </w:footnote>
  <w:footnote w:id="58">
    <w:p w14:paraId="05ADB2B0" w14:textId="77777777" w:rsidR="004B7DBA" w:rsidRPr="004B5630" w:rsidRDefault="004B7DBA" w:rsidP="00181324">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vertAlign w:val="superscript"/>
        </w:rPr>
        <w:tab/>
      </w:r>
      <w:r w:rsidRPr="004B5630">
        <w:rPr>
          <w:sz w:val="18"/>
          <w:szCs w:val="18"/>
        </w:rPr>
        <w:t>cfr. supra 4.1. verificou-se o peso das revisões parciais, o crescimento sustentado dos AE, algumas revisões  dos mesmo texto  convencional no mesmo ano (2019).</w:t>
      </w:r>
    </w:p>
  </w:footnote>
  <w:footnote w:id="59">
    <w:p w14:paraId="73ACC08F" w14:textId="09507448" w:rsidR="004B7DBA" w:rsidRPr="004B5630" w:rsidRDefault="004B7DBA" w:rsidP="00181324">
      <w:pPr>
        <w:pStyle w:val="Textodenotaderodap"/>
        <w:tabs>
          <w:tab w:val="left" w:pos="284"/>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r>
      <w:r w:rsidRPr="004B5630">
        <w:rPr>
          <w:sz w:val="18"/>
          <w:szCs w:val="18"/>
        </w:rPr>
        <w:tab/>
        <w:t xml:space="preserve">Em 2019 encontram-se inclusivamente algumas cláusulas de garantia salarial, AE GALLOVIDRO/COFESINT – BTE 30/2019    GALLOVIDRO/FEVICCOM – BTE 31/2019 (ambos cl.2ª,3 e 5  .) em 2020 aumento  mínimo d a tabela salarial  de 2019 para 2020. (+) 2,1%; </w:t>
      </w:r>
      <w:r w:rsidRPr="004B5630">
        <w:rPr>
          <w:rStyle w:val="Refdenotaderodap"/>
          <w:sz w:val="18"/>
          <w:szCs w:val="18"/>
          <w:vertAlign w:val="baseline"/>
        </w:rPr>
        <w:t>CC ANTRAM/FECTRANS – BTE 45/2019 (cl.2ª,5)</w:t>
      </w:r>
      <w:r w:rsidRPr="004B5630">
        <w:rPr>
          <w:sz w:val="18"/>
          <w:szCs w:val="18"/>
        </w:rPr>
        <w:t xml:space="preserve"> define parâmetros mínimos para aumentos salariais de anos seguintes – a taxa de atualização da RMMG;  </w:t>
      </w:r>
      <w:r w:rsidRPr="004B5630">
        <w:rPr>
          <w:rStyle w:val="Refdenotaderodap"/>
          <w:sz w:val="18"/>
          <w:szCs w:val="18"/>
          <w:vertAlign w:val="baseline"/>
        </w:rPr>
        <w:t xml:space="preserve">AE CARRISTUR/SITRA – BTE 47/2019 </w:t>
      </w:r>
      <w:r w:rsidRPr="004B5630">
        <w:rPr>
          <w:sz w:val="18"/>
          <w:szCs w:val="18"/>
        </w:rPr>
        <w:t xml:space="preserve">(75ª) a atualização da retribuição base de todas as categorias profissionais , mínimo 25€ /mês; </w:t>
      </w:r>
      <w:r w:rsidRPr="004B5630">
        <w:rPr>
          <w:rStyle w:val="Refdenotaderodap"/>
          <w:sz w:val="18"/>
          <w:szCs w:val="18"/>
          <w:vertAlign w:val="baseline"/>
        </w:rPr>
        <w:t xml:space="preserve">AE RYANAIR/SPAC – BTE 48/2019  </w:t>
      </w:r>
      <w:r w:rsidRPr="004B5630">
        <w:rPr>
          <w:sz w:val="18"/>
          <w:szCs w:val="18"/>
        </w:rPr>
        <w:t xml:space="preserve"> (Tabelas  5.6.1,5.6.2,.3)  fixa a  retribuição 2019;2020;2021 e 2022 ; </w:t>
      </w:r>
      <w:r w:rsidRPr="004B5630">
        <w:rPr>
          <w:rFonts w:ascii="Calibri" w:hAnsi="Calibri" w:cs="Calibri"/>
          <w:sz w:val="18"/>
          <w:szCs w:val="18"/>
        </w:rPr>
        <w:t>AE Santos Barosa/COFESINT e Santos Barosa/FEVICCOM – ambos BTE 48/2019 (cl.</w:t>
      </w:r>
      <w:r w:rsidRPr="004B5630">
        <w:rPr>
          <w:sz w:val="18"/>
          <w:szCs w:val="18"/>
        </w:rPr>
        <w:t xml:space="preserve">2ª,1 e 3)- em 2020, a atualização da tabela salarial é igual ao aumento do IPC </w:t>
      </w:r>
    </w:p>
  </w:footnote>
  <w:footnote w:id="60">
    <w:p w14:paraId="456417BF" w14:textId="6514C46D" w:rsidR="004B7DBA" w:rsidRPr="004B5630" w:rsidRDefault="004B7DBA" w:rsidP="00181324">
      <w:pPr>
        <w:pStyle w:val="Textodenotaderodap"/>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 xml:space="preserve">Em 2019, </w:t>
      </w:r>
      <w:r w:rsidRPr="004B5630">
        <w:rPr>
          <w:rStyle w:val="ListLabel4"/>
          <w:color w:val="auto"/>
          <w:sz w:val="18"/>
          <w:szCs w:val="18"/>
        </w:rPr>
        <w:t xml:space="preserve">as revisões parciais correspondem a 67,1% do total das convenções (240), </w:t>
      </w:r>
      <w:r w:rsidRPr="004B5630">
        <w:rPr>
          <w:sz w:val="18"/>
          <w:szCs w:val="18"/>
        </w:rPr>
        <w:t>cujos conteúdos privilegiam, essencialmente, matérias remuneratórias.</w:t>
      </w:r>
    </w:p>
  </w:footnote>
  <w:footnote w:id="61">
    <w:p w14:paraId="2BEFE683" w14:textId="77777777" w:rsidR="004B7DBA" w:rsidRPr="004B5630" w:rsidRDefault="004B7DBA" w:rsidP="00F962E9">
      <w:pPr>
        <w:pStyle w:val="Textodenotaderodap"/>
        <w:tabs>
          <w:tab w:val="left" w:pos="426"/>
        </w:tabs>
        <w:ind w:left="425" w:hanging="425"/>
        <w:rPr>
          <w:rStyle w:val="Refdenotaderodap"/>
          <w:sz w:val="18"/>
          <w:szCs w:val="18"/>
          <w:vertAlign w:val="baseline"/>
        </w:rPr>
      </w:pPr>
      <w:r w:rsidRPr="004B5630">
        <w:rPr>
          <w:rStyle w:val="Refdenotaderodap"/>
          <w:sz w:val="18"/>
          <w:szCs w:val="18"/>
        </w:rPr>
        <w:footnoteRef/>
      </w:r>
      <w:r w:rsidRPr="004B5630">
        <w:rPr>
          <w:rStyle w:val="Refdenotaderodap"/>
          <w:sz w:val="18"/>
          <w:szCs w:val="18"/>
          <w:vertAlign w:val="baseline"/>
        </w:rPr>
        <w:t xml:space="preserve"> </w:t>
      </w:r>
      <w:r w:rsidRPr="004B5630">
        <w:rPr>
          <w:sz w:val="18"/>
          <w:szCs w:val="18"/>
        </w:rPr>
        <w:tab/>
      </w:r>
      <w:r w:rsidRPr="004B5630">
        <w:rPr>
          <w:rStyle w:val="Refdenotaderodap"/>
          <w:sz w:val="18"/>
          <w:szCs w:val="18"/>
          <w:vertAlign w:val="baseline"/>
        </w:rPr>
        <w:t xml:space="preserve">Por essa razão esses requisitos relativos à identificação das partes e da própria convenção não serão analisados (arts. 492.º, 1 e 494.º, 4 do CT). </w:t>
      </w:r>
    </w:p>
  </w:footnote>
  <w:footnote w:id="62">
    <w:p w14:paraId="2D6AE730" w14:textId="77777777" w:rsidR="004B7DBA" w:rsidRPr="004B5630" w:rsidRDefault="004B7DBA" w:rsidP="00F962E9">
      <w:pPr>
        <w:pStyle w:val="Textodenotaderodap"/>
        <w:tabs>
          <w:tab w:val="left" w:pos="426"/>
        </w:tabs>
        <w:ind w:left="425" w:hanging="425"/>
        <w:rPr>
          <w:rStyle w:val="Refdenotaderodap"/>
          <w:sz w:val="18"/>
          <w:szCs w:val="18"/>
          <w:vertAlign w:val="baseline"/>
        </w:rPr>
      </w:pPr>
      <w:r w:rsidRPr="004B5630">
        <w:rPr>
          <w:rStyle w:val="Refdenotaderodap"/>
          <w:sz w:val="18"/>
          <w:szCs w:val="18"/>
        </w:rPr>
        <w:footnoteRef/>
      </w:r>
      <w:r w:rsidRPr="004B5630">
        <w:rPr>
          <w:rStyle w:val="Refdenotaderodap"/>
          <w:sz w:val="18"/>
          <w:szCs w:val="18"/>
        </w:rPr>
        <w:t xml:space="preserve"> </w:t>
      </w:r>
      <w:r w:rsidRPr="004B5630">
        <w:rPr>
          <w:sz w:val="18"/>
          <w:szCs w:val="18"/>
        </w:rPr>
        <w:tab/>
      </w:r>
      <w:r w:rsidRPr="004B5630">
        <w:rPr>
          <w:rStyle w:val="Refdenotaderodap"/>
          <w:sz w:val="18"/>
          <w:szCs w:val="18"/>
          <w:vertAlign w:val="baseline"/>
        </w:rPr>
        <w:t>Este último tópico é analisado em capítulo  próprio, a propósito do âmbito de aplicação das convenções coletivas (infra 4.4.4.2).</w:t>
      </w:r>
    </w:p>
  </w:footnote>
  <w:footnote w:id="63">
    <w:p w14:paraId="7933EDBB" w14:textId="77777777" w:rsidR="004B7DBA" w:rsidRPr="004B5630" w:rsidRDefault="004B7DBA" w:rsidP="00F962E9">
      <w:pPr>
        <w:pStyle w:val="Textodenotaderodap"/>
        <w:tabs>
          <w:tab w:val="left" w:pos="426"/>
        </w:tabs>
        <w:ind w:left="425" w:hanging="425"/>
        <w:rPr>
          <w:rStyle w:val="Refdenotaderodap"/>
          <w:sz w:val="18"/>
          <w:szCs w:val="18"/>
          <w:vertAlign w:val="baseline"/>
        </w:rPr>
      </w:pPr>
      <w:r w:rsidRPr="004B5630">
        <w:rPr>
          <w:rStyle w:val="Refdenotaderodap"/>
          <w:sz w:val="18"/>
          <w:szCs w:val="18"/>
        </w:rPr>
        <w:footnoteRef/>
      </w:r>
      <w:r w:rsidRPr="004B5630">
        <w:rPr>
          <w:rStyle w:val="Refdenotaderodap"/>
          <w:sz w:val="18"/>
          <w:szCs w:val="18"/>
        </w:rPr>
        <w:t xml:space="preserve"> </w:t>
      </w:r>
      <w:r w:rsidRPr="004B5630">
        <w:rPr>
          <w:rStyle w:val="Refdenotaderodap"/>
          <w:sz w:val="18"/>
          <w:szCs w:val="18"/>
          <w:vertAlign w:val="baseline"/>
        </w:rPr>
        <w:tab/>
        <w:t>Recorde-se que várias das matérias enumeradas no preceito em referência (as relativas a igualdade e não discriminação; proteção na parentalidade; trabalhador com capacidade de trabalho reduzida, deficiência ou doença crónica; cumprimento e garantias da retribuição; prevenção e reparação de acidentes de trabalho e doenças profissionais) estão abrangidas pelo n.º 3 do art. 3.º do Código do Trabalho [mais precisamente as alíneas a), b), d), j) e l)], pelo que a regulação por IRCT só é admitida em sentido mais favorável ao trabalhador.</w:t>
      </w:r>
    </w:p>
  </w:footnote>
  <w:footnote w:id="64">
    <w:p w14:paraId="58342235" w14:textId="77777777" w:rsidR="004B7DBA" w:rsidRPr="004B5630" w:rsidRDefault="004B7DBA" w:rsidP="00F962E9">
      <w:pPr>
        <w:pStyle w:val="Textodenotaderodap"/>
        <w:tabs>
          <w:tab w:val="left" w:pos="426"/>
        </w:tabs>
        <w:ind w:left="425" w:hanging="425"/>
        <w:rPr>
          <w:rStyle w:val="Refdenotaderodap"/>
          <w:sz w:val="18"/>
          <w:szCs w:val="18"/>
          <w:vertAlign w:val="baseline"/>
        </w:rPr>
      </w:pPr>
      <w:r w:rsidRPr="004B5630">
        <w:rPr>
          <w:rStyle w:val="Refdenotaderodap"/>
          <w:sz w:val="18"/>
          <w:szCs w:val="18"/>
          <w:vertAlign w:val="baseline"/>
        </w:rPr>
        <w:footnoteRef/>
      </w:r>
      <w:r w:rsidRPr="004B5630">
        <w:rPr>
          <w:rStyle w:val="Refdenotaderodap"/>
          <w:sz w:val="18"/>
          <w:szCs w:val="18"/>
          <w:vertAlign w:val="baseline"/>
        </w:rPr>
        <w:t xml:space="preserve"> </w:t>
      </w:r>
      <w:r w:rsidRPr="004B5630">
        <w:rPr>
          <w:rStyle w:val="Refdenotaderodap"/>
          <w:vertAlign w:val="baseline"/>
        </w:rPr>
        <w:tab/>
      </w:r>
      <w:r w:rsidRPr="004B5630">
        <w:rPr>
          <w:rStyle w:val="Refdenotaderodap"/>
          <w:sz w:val="18"/>
          <w:szCs w:val="18"/>
          <w:vertAlign w:val="baseline"/>
        </w:rPr>
        <w:t xml:space="preserve">Assim se continua a verificar, por exemplo, na previsão de resolução de conflitos coletivos. Nuns casos surge a propósito da revisão e denúncia da convenção (nas cláusulas iniciais da convenção) e noutros enquanto competência da comissão paritária para dirimir litígios que resultem da aplicação da convenção. </w:t>
      </w:r>
    </w:p>
  </w:footnote>
  <w:footnote w:id="65">
    <w:p w14:paraId="63112E15" w14:textId="77777777" w:rsidR="004B7DBA" w:rsidRPr="004B5630" w:rsidRDefault="004B7DBA" w:rsidP="00F962E9">
      <w:pPr>
        <w:pStyle w:val="Textodenotaderodap"/>
        <w:tabs>
          <w:tab w:val="left" w:pos="426"/>
        </w:tabs>
        <w:ind w:left="425" w:hanging="425"/>
        <w:rPr>
          <w:rStyle w:val="Refdenotaderodap"/>
          <w:sz w:val="18"/>
          <w:szCs w:val="18"/>
          <w:vertAlign w:val="baseline"/>
        </w:rPr>
      </w:pPr>
      <w:r w:rsidRPr="004B5630">
        <w:rPr>
          <w:rStyle w:val="Refdenotaderodap"/>
          <w:sz w:val="18"/>
          <w:szCs w:val="18"/>
        </w:rPr>
        <w:footnoteRef/>
      </w:r>
      <w:r w:rsidRPr="004B5630">
        <w:rPr>
          <w:rStyle w:val="Refdenotaderodap"/>
          <w:sz w:val="18"/>
          <w:szCs w:val="18"/>
          <w:vertAlign w:val="baseline"/>
        </w:rPr>
        <w:t xml:space="preserve"> </w:t>
      </w:r>
      <w:r w:rsidRPr="004B5630">
        <w:rPr>
          <w:sz w:val="18"/>
          <w:szCs w:val="18"/>
        </w:rPr>
        <w:tab/>
      </w:r>
      <w:r w:rsidRPr="004B5630">
        <w:rPr>
          <w:rStyle w:val="Refdenotaderodap"/>
          <w:sz w:val="18"/>
          <w:szCs w:val="18"/>
          <w:vertAlign w:val="baseline"/>
        </w:rPr>
        <w:t>Quanto aos conflitos sobre aplicação, celebração ou revisão de convenção, ver, por exemplo, CC ANTRAM/FECTRANS – BTE 45/2019 (cl.2ª,b)); CC ADIPA (Retalhistas)/SITESE – BTE 14/2019 (cl.2ª)</w:t>
      </w:r>
      <w:r w:rsidRPr="004B5630">
        <w:rPr>
          <w:sz w:val="18"/>
          <w:szCs w:val="18"/>
        </w:rPr>
        <w:t>;</w:t>
      </w:r>
      <w:r w:rsidRPr="004B5630">
        <w:rPr>
          <w:rStyle w:val="Refdenotaderodap"/>
          <w:sz w:val="18"/>
          <w:szCs w:val="18"/>
          <w:vertAlign w:val="baseline"/>
        </w:rPr>
        <w:t xml:space="preserve"> AC Indorama Portugal/COFESINT – BTE 31/2019 (cl.115ª).</w:t>
      </w:r>
    </w:p>
  </w:footnote>
  <w:footnote w:id="66">
    <w:p w14:paraId="2521CBE0" w14:textId="77777777" w:rsidR="004B7DBA" w:rsidRPr="004B5630" w:rsidRDefault="004B7DBA" w:rsidP="00F962E9">
      <w:pPr>
        <w:pStyle w:val="Textodenotaderodap"/>
        <w:tabs>
          <w:tab w:val="left" w:pos="426"/>
        </w:tabs>
        <w:ind w:left="425" w:hanging="425"/>
        <w:rPr>
          <w:rStyle w:val="Refdenotaderodap"/>
          <w:sz w:val="18"/>
          <w:szCs w:val="18"/>
          <w:vertAlign w:val="baseline"/>
        </w:rPr>
      </w:pPr>
      <w:r w:rsidRPr="004B5630">
        <w:rPr>
          <w:rStyle w:val="Refdenotaderodap"/>
          <w:sz w:val="18"/>
          <w:szCs w:val="18"/>
        </w:rPr>
        <w:footnoteRef/>
      </w:r>
      <w:r w:rsidRPr="004B5630">
        <w:rPr>
          <w:rStyle w:val="Refdenotaderodap"/>
          <w:sz w:val="18"/>
          <w:szCs w:val="18"/>
          <w:vertAlign w:val="baseline"/>
        </w:rPr>
        <w:t xml:space="preserve"> </w:t>
      </w:r>
      <w:r w:rsidRPr="004B5630">
        <w:rPr>
          <w:rStyle w:val="Refdenotaderodap"/>
          <w:sz w:val="18"/>
          <w:szCs w:val="18"/>
          <w:vertAlign w:val="baseline"/>
        </w:rPr>
        <w:tab/>
        <w:t xml:space="preserve">O AE CAIMA/SITESE - BTE 24/2019 (cl. 2.ª, 9) [(=) AE CAIMA/FIEQUIMETAL – BTE 17/2018] prevê apenas conciliação. </w:t>
      </w:r>
      <w:r w:rsidRPr="004B5630">
        <w:rPr>
          <w:sz w:val="18"/>
          <w:szCs w:val="18"/>
        </w:rPr>
        <w:t>Algumas</w:t>
      </w:r>
      <w:r w:rsidRPr="004B5630">
        <w:rPr>
          <w:rStyle w:val="Refdenotaderodap"/>
          <w:sz w:val="18"/>
          <w:szCs w:val="18"/>
          <w:vertAlign w:val="baseline"/>
        </w:rPr>
        <w:t xml:space="preserve"> revisões parciais de convenções outorgadas pelo SETAAB, em caso de denúncia da convenção, admitem o recurso à arbitragem voluntária </w:t>
      </w:r>
      <w:r w:rsidRPr="004B5630">
        <w:rPr>
          <w:sz w:val="18"/>
          <w:szCs w:val="18"/>
        </w:rPr>
        <w:t>“</w:t>
      </w:r>
      <w:r w:rsidRPr="004B5630">
        <w:rPr>
          <w:rStyle w:val="Refdenotaderodap"/>
          <w:sz w:val="18"/>
          <w:szCs w:val="18"/>
          <w:vertAlign w:val="baseline"/>
        </w:rPr>
        <w:t>ou outras fases negociais que as partes entendam</w:t>
      </w:r>
      <w:r w:rsidRPr="004B5630">
        <w:rPr>
          <w:sz w:val="18"/>
          <w:szCs w:val="18"/>
        </w:rPr>
        <w:t>”</w:t>
      </w:r>
      <w:r w:rsidRPr="004B5630">
        <w:rPr>
          <w:rStyle w:val="Refdenotaderodap"/>
          <w:sz w:val="18"/>
          <w:szCs w:val="18"/>
          <w:vertAlign w:val="baseline"/>
        </w:rPr>
        <w:t xml:space="preserve">, </w:t>
      </w:r>
      <w:r w:rsidRPr="004B5630">
        <w:rPr>
          <w:sz w:val="18"/>
          <w:szCs w:val="18"/>
        </w:rPr>
        <w:t xml:space="preserve">assim, o </w:t>
      </w:r>
      <w:r w:rsidRPr="004B5630">
        <w:rPr>
          <w:rStyle w:val="Refdenotaderodap"/>
          <w:sz w:val="18"/>
          <w:szCs w:val="18"/>
          <w:vertAlign w:val="baseline"/>
        </w:rPr>
        <w:t>CC CAP/SETAAB – BTE 8/2019 (cl.3ª,5).</w:t>
      </w:r>
    </w:p>
  </w:footnote>
  <w:footnote w:id="67">
    <w:p w14:paraId="1C97079A" w14:textId="77777777" w:rsidR="004B7DBA" w:rsidRPr="004B5630" w:rsidRDefault="004B7DBA" w:rsidP="00F962E9">
      <w:pPr>
        <w:pStyle w:val="Textodenotaderodap"/>
        <w:tabs>
          <w:tab w:val="left" w:pos="426"/>
        </w:tabs>
        <w:ind w:left="425" w:hanging="425"/>
        <w:rPr>
          <w:rStyle w:val="Refdenotaderodap"/>
          <w:sz w:val="18"/>
          <w:szCs w:val="18"/>
          <w:vertAlign w:val="baseline"/>
        </w:rPr>
      </w:pPr>
      <w:r w:rsidRPr="004B5630">
        <w:rPr>
          <w:rStyle w:val="Refdenotaderodap"/>
          <w:sz w:val="18"/>
          <w:szCs w:val="18"/>
        </w:rPr>
        <w:footnoteRef/>
      </w:r>
      <w:r w:rsidRPr="004B5630">
        <w:rPr>
          <w:rStyle w:val="Refdenotaderodap"/>
          <w:sz w:val="18"/>
          <w:szCs w:val="18"/>
        </w:rPr>
        <w:t xml:space="preserve"> </w:t>
      </w:r>
      <w:r w:rsidRPr="004B5630">
        <w:rPr>
          <w:rStyle w:val="Refdenotaderodap"/>
          <w:sz w:val="18"/>
          <w:szCs w:val="18"/>
          <w:vertAlign w:val="baseline"/>
        </w:rPr>
        <w:tab/>
        <w:t>Várias convenções admitem a possibilidade de qualquer das partes requerer a resolução do litígio por arbitragem voluntária, na sequência de denúncia</w:t>
      </w:r>
      <w:r w:rsidRPr="004B5630">
        <w:rPr>
          <w:sz w:val="18"/>
          <w:szCs w:val="18"/>
        </w:rPr>
        <w:t>,</w:t>
      </w:r>
      <w:r w:rsidRPr="004B5630">
        <w:rPr>
          <w:rStyle w:val="Refdenotaderodap"/>
          <w:sz w:val="18"/>
          <w:szCs w:val="18"/>
          <w:vertAlign w:val="baseline"/>
        </w:rPr>
        <w:t xml:space="preserve"> e na impossibilidade de acordo quanto à proposta negocial global apresentada por uma delas. </w:t>
      </w:r>
      <w:r w:rsidRPr="004B5630">
        <w:rPr>
          <w:sz w:val="18"/>
          <w:szCs w:val="18"/>
        </w:rPr>
        <w:t xml:space="preserve"> Nos </w:t>
      </w:r>
      <w:r w:rsidRPr="004B5630">
        <w:rPr>
          <w:rStyle w:val="Refdenotaderodap"/>
          <w:sz w:val="18"/>
          <w:szCs w:val="18"/>
          <w:vertAlign w:val="baseline"/>
        </w:rPr>
        <w:t>AC Fidelidade / SINAPSA – BTE 5/2019 e AE Seguradoras Unidas/SINAPSA – BTE 5/2019 (ambos cl.3ª e Anexo I))</w:t>
      </w:r>
      <w:r w:rsidRPr="004B5630">
        <w:rPr>
          <w:sz w:val="18"/>
          <w:szCs w:val="18"/>
        </w:rPr>
        <w:t xml:space="preserve">, se </w:t>
      </w:r>
      <w:r w:rsidRPr="004B5630">
        <w:rPr>
          <w:rStyle w:val="Refdenotaderodap"/>
          <w:sz w:val="18"/>
          <w:szCs w:val="18"/>
          <w:vertAlign w:val="baseline"/>
        </w:rPr>
        <w:t xml:space="preserve">a parte requerida não aceitar a arbitragem voluntária, </w:t>
      </w:r>
      <w:r w:rsidRPr="004B5630">
        <w:rPr>
          <w:sz w:val="18"/>
          <w:szCs w:val="18"/>
        </w:rPr>
        <w:t xml:space="preserve">admite-se </w:t>
      </w:r>
      <w:r w:rsidRPr="004B5630">
        <w:rPr>
          <w:rStyle w:val="Refdenotaderodap"/>
          <w:sz w:val="18"/>
          <w:szCs w:val="18"/>
          <w:vertAlign w:val="baseline"/>
        </w:rPr>
        <w:t>a sobrevigência ilimitada da convenção ou a  cessação da respetiva vigência</w:t>
      </w:r>
      <w:r w:rsidRPr="004B5630">
        <w:rPr>
          <w:sz w:val="18"/>
          <w:szCs w:val="18"/>
        </w:rPr>
        <w:t>, dependendo se essa recusa vier do lado patronal ou sindical</w:t>
      </w:r>
      <w:r w:rsidRPr="004B5630">
        <w:rPr>
          <w:rStyle w:val="Refdenotaderodap"/>
          <w:sz w:val="18"/>
          <w:szCs w:val="18"/>
          <w:vertAlign w:val="baseline"/>
        </w:rPr>
        <w:t>. Por sua vez, o AE BMO PORTUGAL/SNQTB – BTE 5/2019 (cls. 3ª e 4ª) admite a possibilidade de denúncia da convenção, mediante apresentação de proposta de revisão, mas se o processo negocial for interrompido, por falta de acordo, as partes submeterão o diferendo a arbitragem voluntária e, até à decisão arbitral, a convenção mantém-se em vigor (solução diferente do art. 501º, 3 CT [(=)AE F&amp;C Portugal/SBSI - BTE 9/2018 (cls. 3ª e 4ª )].</w:t>
      </w:r>
    </w:p>
  </w:footnote>
  <w:footnote w:id="68">
    <w:p w14:paraId="690B4D66" w14:textId="77777777" w:rsidR="004B7DBA" w:rsidRPr="004B5630" w:rsidRDefault="004B7DBA" w:rsidP="00F962E9">
      <w:pPr>
        <w:pStyle w:val="Textodenotaderodap"/>
        <w:tabs>
          <w:tab w:val="left" w:pos="426"/>
        </w:tabs>
        <w:ind w:left="425" w:hanging="425"/>
        <w:rPr>
          <w:rStyle w:val="Refdenotaderodap"/>
          <w:sz w:val="18"/>
          <w:szCs w:val="18"/>
          <w:vertAlign w:val="baseline"/>
        </w:rPr>
      </w:pPr>
      <w:r w:rsidRPr="004B5630">
        <w:rPr>
          <w:rStyle w:val="Refdenotaderodap"/>
          <w:sz w:val="18"/>
          <w:szCs w:val="18"/>
        </w:rPr>
        <w:footnoteRef/>
      </w:r>
      <w:r w:rsidRPr="004B5630">
        <w:rPr>
          <w:rStyle w:val="Refdenotaderodap"/>
          <w:sz w:val="18"/>
          <w:szCs w:val="18"/>
          <w:vertAlign w:val="baseline"/>
        </w:rPr>
        <w:t xml:space="preserve"> </w:t>
      </w:r>
      <w:r w:rsidRPr="004B5630">
        <w:rPr>
          <w:rStyle w:val="Refdenotaderodap"/>
          <w:sz w:val="18"/>
          <w:szCs w:val="18"/>
          <w:vertAlign w:val="baseline"/>
        </w:rPr>
        <w:tab/>
      </w:r>
      <w:r w:rsidRPr="004B5630">
        <w:rPr>
          <w:sz w:val="18"/>
          <w:szCs w:val="18"/>
        </w:rPr>
        <w:t xml:space="preserve">No setor segurador, </w:t>
      </w:r>
      <w:r w:rsidRPr="004B5630">
        <w:rPr>
          <w:rStyle w:val="Refdenotaderodap"/>
          <w:sz w:val="18"/>
          <w:szCs w:val="18"/>
          <w:vertAlign w:val="baseline"/>
        </w:rPr>
        <w:t xml:space="preserve"> ver AC Fidelidade / SINAPSA – BTE 5/2019; do AE Seguradoras Unidas/SINAPSA – BTE 5/2019 (ambos cl.3ª e Anexo I); do AC ZURICH/SINAPSA – BTE 17/2019 (cl. 2ª, 3 e 4; e Anexo I) e do  AE BMO PORTUGAL/SNQTB – BTE 5/2019 (cl.ª3ª e 4). Na constituição do tribunal arbitral, admite-se o recurso as listas de árbitros do CES, na falta de acordo quanto ao árbitro presidente [(=)AE CARAVELA/STAS – BTE 44/2018;CC APROSE/STAS – BTE 40/2018; AE MÚTUA/SINAPSA - BTE 18/2018 e AE PONTO SEGURO/SINAPSA -BTE 19/2018].</w:t>
      </w:r>
    </w:p>
  </w:footnote>
  <w:footnote w:id="69">
    <w:p w14:paraId="71A53391" w14:textId="77777777" w:rsidR="004B7DBA" w:rsidRPr="004B5630" w:rsidRDefault="004B7DBA" w:rsidP="00F962E9">
      <w:pPr>
        <w:pStyle w:val="Textodenotaderodap"/>
        <w:tabs>
          <w:tab w:val="left" w:pos="426"/>
        </w:tabs>
        <w:ind w:left="425" w:hanging="425"/>
        <w:rPr>
          <w:rStyle w:val="Refdenotaderodap"/>
          <w:sz w:val="18"/>
          <w:szCs w:val="18"/>
          <w:vertAlign w:val="baseline"/>
        </w:rPr>
      </w:pPr>
      <w:r w:rsidRPr="004B5630">
        <w:rPr>
          <w:rStyle w:val="Refdenotaderodap"/>
          <w:sz w:val="18"/>
          <w:szCs w:val="18"/>
        </w:rPr>
        <w:footnoteRef/>
      </w:r>
      <w:r w:rsidRPr="004B5630">
        <w:rPr>
          <w:rStyle w:val="Refdenotaderodap"/>
          <w:sz w:val="18"/>
          <w:szCs w:val="18"/>
          <w:vertAlign w:val="baseline"/>
        </w:rPr>
        <w:t xml:space="preserve">  </w:t>
      </w:r>
      <w:r w:rsidRPr="004B5630">
        <w:rPr>
          <w:sz w:val="18"/>
          <w:szCs w:val="18"/>
        </w:rPr>
        <w:tab/>
      </w:r>
      <w:r w:rsidRPr="004B5630">
        <w:rPr>
          <w:rStyle w:val="Refdenotaderodap"/>
          <w:sz w:val="18"/>
          <w:szCs w:val="18"/>
          <w:vertAlign w:val="baseline"/>
        </w:rPr>
        <w:t>No AE BMO PORTUGAL/SNQTB – BTE 5/2019 (cls.3ª e 4ª) [(=) AE F&amp;C Portugal/SBSI - BTE 9/2018], uma vez constituída a comissão arbitral, a decisão arbitral deve ser emitida no prazo de 2 meses.</w:t>
      </w:r>
    </w:p>
  </w:footnote>
  <w:footnote w:id="70">
    <w:p w14:paraId="69B848FE" w14:textId="77777777" w:rsidR="004B7DBA" w:rsidRPr="004B5630" w:rsidRDefault="004B7DBA" w:rsidP="00F962E9">
      <w:pPr>
        <w:pStyle w:val="Textodenotaderodap"/>
        <w:tabs>
          <w:tab w:val="left" w:pos="426"/>
        </w:tabs>
        <w:ind w:left="425" w:hanging="425"/>
        <w:rPr>
          <w:rStyle w:val="Refdenotaderodap"/>
          <w:vertAlign w:val="baseline"/>
        </w:rPr>
      </w:pPr>
      <w:r w:rsidRPr="004B5630">
        <w:rPr>
          <w:rStyle w:val="Refdenotaderodap"/>
        </w:rPr>
        <w:footnoteRef/>
      </w:r>
      <w:r w:rsidRPr="004B5630">
        <w:rPr>
          <w:rStyle w:val="Refdenotaderodap"/>
          <w:vertAlign w:val="baseline"/>
        </w:rPr>
        <w:t xml:space="preserve">   </w:t>
      </w:r>
      <w:r w:rsidRPr="004B5630">
        <w:tab/>
      </w:r>
      <w:r w:rsidRPr="004B5630">
        <w:rPr>
          <w:rStyle w:val="Refdenotaderodap"/>
          <w:sz w:val="18"/>
          <w:szCs w:val="18"/>
          <w:vertAlign w:val="baseline"/>
        </w:rPr>
        <w:t>CC ADIPA (Retalhistas)/SITESE – BTE 14/2019 (cl. 97ª);</w:t>
      </w:r>
    </w:p>
  </w:footnote>
  <w:footnote w:id="71">
    <w:p w14:paraId="5DD53A46" w14:textId="77777777" w:rsidR="004B7DBA" w:rsidRPr="004B5630" w:rsidRDefault="004B7DBA" w:rsidP="005624A0">
      <w:pPr>
        <w:pStyle w:val="Textodenotaderodap"/>
        <w:tabs>
          <w:tab w:val="left" w:pos="426"/>
        </w:tabs>
        <w:ind w:left="425" w:hanging="425"/>
        <w:rPr>
          <w:sz w:val="18"/>
          <w:szCs w:val="18"/>
        </w:rPr>
      </w:pPr>
      <w:r w:rsidRPr="004B5630">
        <w:rPr>
          <w:rStyle w:val="Refdenotaderodap"/>
          <w:sz w:val="18"/>
          <w:szCs w:val="18"/>
        </w:rPr>
        <w:footnoteRef/>
      </w:r>
      <w:r w:rsidRPr="004B5630">
        <w:rPr>
          <w:rStyle w:val="Refdenotaderodap"/>
          <w:sz w:val="18"/>
          <w:szCs w:val="18"/>
          <w:vertAlign w:val="baseline"/>
        </w:rPr>
        <w:t xml:space="preserve">  </w:t>
      </w:r>
      <w:r w:rsidRPr="004B5630">
        <w:rPr>
          <w:sz w:val="18"/>
          <w:szCs w:val="18"/>
        </w:rPr>
        <w:tab/>
        <w:t>AE Easyjet Airline Company/SNPVAC - BTE 28/2019 (cl.14ª) e AE RYANAIR/SPAC – BTE 48/2019 (ponto 10.4 e 10.5). É um regime semelhante aos AE Easyjet Airlines Company/SPAC - BTE 23/2017 e PORTUGÁLIA/SIPLA - BTE 47/2018.</w:t>
      </w:r>
    </w:p>
  </w:footnote>
  <w:footnote w:id="72">
    <w:p w14:paraId="58296EE3" w14:textId="77777777" w:rsidR="004B7DBA" w:rsidRPr="004B5630" w:rsidRDefault="004B7DBA" w:rsidP="005624A0">
      <w:pPr>
        <w:pStyle w:val="Textodenotaderodap"/>
        <w:tabs>
          <w:tab w:val="left" w:pos="426"/>
        </w:tabs>
        <w:ind w:left="425" w:hanging="425"/>
        <w:rPr>
          <w:rStyle w:val="Refdenotaderodap"/>
          <w:sz w:val="18"/>
          <w:szCs w:val="18"/>
          <w:vertAlign w:val="baseline"/>
        </w:rPr>
      </w:pPr>
      <w:r w:rsidRPr="004B5630">
        <w:rPr>
          <w:sz w:val="18"/>
          <w:szCs w:val="18"/>
          <w:vertAlign w:val="superscript"/>
        </w:rPr>
        <w:footnoteRef/>
      </w:r>
      <w:r w:rsidRPr="004B5630">
        <w:rPr>
          <w:sz w:val="18"/>
          <w:szCs w:val="18"/>
          <w:vertAlign w:val="superscript"/>
        </w:rPr>
        <w:t xml:space="preserve"> </w:t>
      </w:r>
      <w:r w:rsidRPr="004B5630">
        <w:rPr>
          <w:sz w:val="18"/>
          <w:szCs w:val="18"/>
        </w:rPr>
        <w:tab/>
        <w:t xml:space="preserve">“Ações de formação profissional” compreendem um conjunto de atividades devidamente planeadas e estruturadas, visando a aquisição de conhecimentos e capacidades exigidas para o exercício das funções próprias de uma profissão ou grupo de profissões. Consideram-se as ações com duração igual ou superior a 4 horas, podendo estas assumir a forma de cursos, seminários, conferências. Ver glossário: </w:t>
      </w:r>
      <w:hyperlink r:id="rId12" w:history="1">
        <w:r w:rsidRPr="004B5630">
          <w:rPr>
            <w:sz w:val="18"/>
            <w:szCs w:val="18"/>
          </w:rPr>
          <w:t>https://www.ine.pt</w:t>
        </w:r>
      </w:hyperlink>
      <w:r w:rsidRPr="004B5630">
        <w:rPr>
          <w:sz w:val="18"/>
          <w:szCs w:val="18"/>
        </w:rPr>
        <w:t xml:space="preserve"> e </w:t>
      </w:r>
      <w:hyperlink r:id="rId13" w:history="1">
        <w:r w:rsidRPr="004B5630">
          <w:rPr>
            <w:sz w:val="18"/>
            <w:szCs w:val="18"/>
          </w:rPr>
          <w:t>https://www.crlaborais.pt</w:t>
        </w:r>
      </w:hyperlink>
      <w:r w:rsidRPr="004B5630">
        <w:rPr>
          <w:rStyle w:val="Refdenotaderodap"/>
          <w:sz w:val="18"/>
          <w:szCs w:val="18"/>
          <w:vertAlign w:val="baseline"/>
        </w:rPr>
        <w:t>, Relatório sobre Emprego e Formação.</w:t>
      </w:r>
    </w:p>
  </w:footnote>
  <w:footnote w:id="73">
    <w:p w14:paraId="488FE40A" w14:textId="77777777" w:rsidR="004B7DBA" w:rsidRPr="004B5630" w:rsidRDefault="004B7DBA" w:rsidP="005624A0">
      <w:pPr>
        <w:pStyle w:val="Textodenotaderodap"/>
        <w:tabs>
          <w:tab w:val="left" w:pos="426"/>
        </w:tabs>
        <w:ind w:left="425" w:hanging="425"/>
        <w:rPr>
          <w:rStyle w:val="Refdenotaderodap"/>
          <w:sz w:val="18"/>
          <w:szCs w:val="18"/>
          <w:vertAlign w:val="baseline"/>
        </w:rPr>
      </w:pPr>
      <w:r w:rsidRPr="004B5630">
        <w:rPr>
          <w:rStyle w:val="Refdenotaderodap"/>
          <w:sz w:val="18"/>
          <w:szCs w:val="18"/>
        </w:rPr>
        <w:footnoteRef/>
      </w:r>
      <w:r w:rsidRPr="004B5630">
        <w:rPr>
          <w:rStyle w:val="Refdenotaderodap"/>
          <w:sz w:val="18"/>
          <w:szCs w:val="18"/>
        </w:rPr>
        <w:t xml:space="preserve"> </w:t>
      </w:r>
      <w:r w:rsidRPr="004B5630">
        <w:rPr>
          <w:rStyle w:val="Refdenotaderodap"/>
          <w:sz w:val="18"/>
          <w:szCs w:val="18"/>
          <w:vertAlign w:val="baseline"/>
        </w:rPr>
        <w:tab/>
        <w:t xml:space="preserve">Na Secção Direitos, deveres e garantias das partes (secção VII), a formação profissional é desenvolvida nos arts. 127.º, 1, d) e 128.º, 1, d), 130.º a 134.º, todos do CT. </w:t>
      </w:r>
    </w:p>
  </w:footnote>
  <w:footnote w:id="74">
    <w:p w14:paraId="532C2AD9" w14:textId="77777777" w:rsidR="004B7DBA" w:rsidRPr="004B5630" w:rsidRDefault="004B7DBA" w:rsidP="005624A0">
      <w:pPr>
        <w:pStyle w:val="Textodenotaderodap"/>
        <w:tabs>
          <w:tab w:val="left" w:pos="426"/>
        </w:tabs>
        <w:ind w:left="425" w:hanging="425"/>
        <w:rPr>
          <w:rStyle w:val="Refdenotaderodap"/>
          <w:sz w:val="18"/>
          <w:szCs w:val="18"/>
          <w:vertAlign w:val="baseline"/>
        </w:rPr>
      </w:pPr>
      <w:r w:rsidRPr="004B5630">
        <w:rPr>
          <w:rStyle w:val="Refdenotaderodap"/>
          <w:sz w:val="18"/>
          <w:szCs w:val="18"/>
        </w:rPr>
        <w:footnoteRef/>
      </w:r>
      <w:r w:rsidRPr="004B5630">
        <w:rPr>
          <w:rStyle w:val="Refdenotaderodap"/>
          <w:sz w:val="18"/>
          <w:szCs w:val="18"/>
          <w:vertAlign w:val="baseline"/>
        </w:rPr>
        <w:t xml:space="preserve"> </w:t>
      </w:r>
      <w:r w:rsidRPr="004B5630">
        <w:rPr>
          <w:sz w:val="18"/>
          <w:szCs w:val="18"/>
        </w:rPr>
        <w:tab/>
      </w:r>
      <w:r w:rsidRPr="004B5630">
        <w:rPr>
          <w:rStyle w:val="Refdenotaderodap"/>
          <w:sz w:val="18"/>
          <w:szCs w:val="18"/>
          <w:vertAlign w:val="baseline"/>
        </w:rPr>
        <w:t>É o caso no setor segurador,  AC Fidelidade / SINAPSA – BTE e   AE Seguradoras Unidas/SINAPSA – BTE 5/2019 (cl. 19º1.b)</w:t>
      </w:r>
      <w:r w:rsidRPr="004B5630">
        <w:rPr>
          <w:sz w:val="18"/>
          <w:szCs w:val="18"/>
        </w:rPr>
        <w:t>.</w:t>
      </w:r>
      <w:r w:rsidRPr="004B5630">
        <w:rPr>
          <w:rStyle w:val="Refdenotaderodap"/>
          <w:sz w:val="18"/>
          <w:szCs w:val="18"/>
          <w:vertAlign w:val="baseline"/>
        </w:rPr>
        <w:t xml:space="preserve">  </w:t>
      </w:r>
    </w:p>
  </w:footnote>
  <w:footnote w:id="75">
    <w:p w14:paraId="6074B127" w14:textId="4905BE27" w:rsidR="004B7DBA" w:rsidRPr="004B5630" w:rsidRDefault="004B7DBA" w:rsidP="005624A0">
      <w:pPr>
        <w:pStyle w:val="Textodenotaderodap"/>
        <w:tabs>
          <w:tab w:val="left" w:pos="426"/>
        </w:tabs>
        <w:ind w:left="425" w:hanging="425"/>
        <w:rPr>
          <w:rStyle w:val="Refdenotaderodap"/>
          <w:sz w:val="18"/>
          <w:szCs w:val="18"/>
          <w:vertAlign w:val="baseline"/>
        </w:rPr>
      </w:pPr>
      <w:r w:rsidRPr="004B5630">
        <w:rPr>
          <w:rStyle w:val="Refdenotaderodap"/>
          <w:sz w:val="18"/>
          <w:szCs w:val="18"/>
        </w:rPr>
        <w:footnoteRef/>
      </w:r>
      <w:r w:rsidRPr="004B5630">
        <w:rPr>
          <w:rStyle w:val="Refdenotaderodap"/>
          <w:sz w:val="18"/>
          <w:szCs w:val="18"/>
          <w:vertAlign w:val="baseline"/>
        </w:rPr>
        <w:t xml:space="preserve"> </w:t>
      </w:r>
      <w:r w:rsidRPr="004B5630">
        <w:rPr>
          <w:sz w:val="18"/>
          <w:szCs w:val="18"/>
        </w:rPr>
        <w:tab/>
      </w:r>
      <w:r w:rsidRPr="004B5630">
        <w:rPr>
          <w:rStyle w:val="Refdenotaderodap"/>
          <w:sz w:val="18"/>
          <w:szCs w:val="18"/>
          <w:vertAlign w:val="baseline"/>
        </w:rPr>
        <w:t xml:space="preserve"> Localizam-se v</w:t>
      </w:r>
      <w:r w:rsidRPr="004B5630">
        <w:rPr>
          <w:sz w:val="18"/>
          <w:szCs w:val="18"/>
        </w:rPr>
        <w:t xml:space="preserve">árias modalidades de formação certificada no setor dos transportes terrestres: </w:t>
      </w:r>
      <w:r w:rsidRPr="004B5630">
        <w:rPr>
          <w:rStyle w:val="Refdenotaderodap"/>
          <w:sz w:val="18"/>
          <w:szCs w:val="18"/>
          <w:vertAlign w:val="baseline"/>
        </w:rPr>
        <w:t xml:space="preserve"> certificação de condutores de mercadorias perigosas (certificação ADR)</w:t>
      </w:r>
      <w:r w:rsidRPr="004B5630">
        <w:rPr>
          <w:sz w:val="18"/>
          <w:szCs w:val="18"/>
        </w:rPr>
        <w:t xml:space="preserve"> - </w:t>
      </w:r>
      <w:r w:rsidRPr="004B5630">
        <w:rPr>
          <w:rStyle w:val="Refdenotaderodap"/>
          <w:sz w:val="18"/>
          <w:szCs w:val="18"/>
          <w:vertAlign w:val="baseline"/>
        </w:rPr>
        <w:t>CC ANTRAM/FECTRANS – BTE 45/2019 (cl. 69ª); carta de condução de motorista</w:t>
      </w:r>
      <w:r w:rsidRPr="004B5630">
        <w:rPr>
          <w:sz w:val="18"/>
          <w:szCs w:val="18"/>
        </w:rPr>
        <w:t xml:space="preserve"> </w:t>
      </w:r>
      <w:r w:rsidRPr="004B5630">
        <w:rPr>
          <w:rStyle w:val="Refdenotaderodap"/>
          <w:sz w:val="18"/>
          <w:szCs w:val="18"/>
          <w:vertAlign w:val="baseline"/>
        </w:rPr>
        <w:t>(CQM),  certificado de transporte coletivo ( CAM)  e  certificado de transporte coletivo de crianças  (TCC) - CC ANTROP/SNM – BTE 35/2019 (cl.72ª), ANTROP/STTAMP –  BTE 35/2019 (cl.70ª</w:t>
      </w:r>
      <w:r w:rsidRPr="004B5630">
        <w:rPr>
          <w:sz w:val="18"/>
          <w:szCs w:val="18"/>
        </w:rPr>
        <w:t>)</w:t>
      </w:r>
      <w:r w:rsidRPr="004B5630">
        <w:rPr>
          <w:rStyle w:val="Refdenotaderodap"/>
          <w:sz w:val="18"/>
          <w:szCs w:val="18"/>
          <w:vertAlign w:val="baseline"/>
        </w:rPr>
        <w:t xml:space="preserve">; AE CARRISTUR/SITRA – BTE 47/2019 (cl.70ª) </w:t>
      </w:r>
      <w:r w:rsidRPr="004B5630">
        <w:rPr>
          <w:sz w:val="18"/>
          <w:szCs w:val="18"/>
        </w:rPr>
        <w:t>(ver também 4.4.6.2) .</w:t>
      </w:r>
      <w:r w:rsidRPr="004B5630">
        <w:rPr>
          <w:rStyle w:val="Refdenotaderodap"/>
          <w:sz w:val="18"/>
          <w:szCs w:val="18"/>
          <w:vertAlign w:val="baseline"/>
        </w:rPr>
        <w:t xml:space="preserve">  </w:t>
      </w:r>
    </w:p>
  </w:footnote>
  <w:footnote w:id="76">
    <w:p w14:paraId="77BD1BB4" w14:textId="77777777" w:rsidR="004B7DBA" w:rsidRPr="004B5630" w:rsidRDefault="004B7DBA" w:rsidP="005624A0">
      <w:pPr>
        <w:pStyle w:val="Textodenotaderodap"/>
        <w:tabs>
          <w:tab w:val="left" w:pos="426"/>
        </w:tabs>
        <w:ind w:left="425" w:hanging="425"/>
        <w:rPr>
          <w:rStyle w:val="Refdenotaderodap"/>
          <w:sz w:val="18"/>
          <w:szCs w:val="18"/>
          <w:vertAlign w:val="baseline"/>
        </w:rPr>
      </w:pPr>
      <w:r w:rsidRPr="004B5630">
        <w:rPr>
          <w:rStyle w:val="Refdenotaderodap"/>
          <w:sz w:val="18"/>
          <w:szCs w:val="18"/>
        </w:rPr>
        <w:footnoteRef/>
      </w:r>
      <w:r w:rsidRPr="004B5630">
        <w:rPr>
          <w:rStyle w:val="Refdenotaderodap"/>
          <w:sz w:val="18"/>
          <w:szCs w:val="18"/>
          <w:vertAlign w:val="baseline"/>
        </w:rPr>
        <w:t xml:space="preserve"> </w:t>
      </w:r>
      <w:r w:rsidRPr="004B5630">
        <w:rPr>
          <w:rStyle w:val="Refdenotaderodap"/>
          <w:sz w:val="18"/>
          <w:szCs w:val="18"/>
          <w:vertAlign w:val="baseline"/>
        </w:rPr>
        <w:tab/>
        <w:t xml:space="preserve">Cfr. art. 127.º, 1, d) e art. 128.º, 1, d) do CT, respetivamente, enquanto dever do empregador e do trabalhador. </w:t>
      </w:r>
    </w:p>
  </w:footnote>
  <w:footnote w:id="77">
    <w:p w14:paraId="2CDCAFDE" w14:textId="77777777" w:rsidR="004B7DBA" w:rsidRPr="004B5630" w:rsidRDefault="004B7DBA" w:rsidP="005624A0">
      <w:pPr>
        <w:pStyle w:val="Textodenotaderodap"/>
        <w:tabs>
          <w:tab w:val="left" w:pos="426"/>
        </w:tabs>
        <w:ind w:left="425" w:hanging="425"/>
        <w:rPr>
          <w:rStyle w:val="Refdenotaderodap"/>
          <w:sz w:val="18"/>
          <w:szCs w:val="18"/>
          <w:vertAlign w:val="baseline"/>
        </w:rPr>
      </w:pPr>
      <w:r w:rsidRPr="004B5630">
        <w:rPr>
          <w:rStyle w:val="Refdenotaderodap"/>
          <w:sz w:val="18"/>
          <w:szCs w:val="18"/>
        </w:rPr>
        <w:footnoteRef/>
      </w:r>
      <w:r w:rsidRPr="004B5630">
        <w:rPr>
          <w:rStyle w:val="Refdenotaderodap"/>
          <w:sz w:val="18"/>
          <w:szCs w:val="18"/>
          <w:vertAlign w:val="baseline"/>
        </w:rPr>
        <w:t xml:space="preserve"> </w:t>
      </w:r>
      <w:r w:rsidRPr="004B5630">
        <w:rPr>
          <w:sz w:val="18"/>
          <w:szCs w:val="18"/>
        </w:rPr>
        <w:tab/>
      </w:r>
      <w:r w:rsidRPr="004B5630">
        <w:rPr>
          <w:rStyle w:val="Refdenotaderodap"/>
          <w:sz w:val="18"/>
          <w:szCs w:val="18"/>
          <w:vertAlign w:val="baseline"/>
        </w:rPr>
        <w:t>Ver 4.4.6. também não consideramos a regulação da situação do trabalhador-estudante, que visa garantir formas de conciliação entre a prestação do trabalho e a frequência de nível de ensino ou curso de formação profissional.</w:t>
      </w:r>
    </w:p>
  </w:footnote>
  <w:footnote w:id="78">
    <w:p w14:paraId="2953ABA5" w14:textId="0DA671F4" w:rsidR="004B7DBA" w:rsidRPr="004B5630" w:rsidRDefault="004B7DBA" w:rsidP="008F57AA">
      <w:pPr>
        <w:pStyle w:val="Textodenotaderodap"/>
        <w:tabs>
          <w:tab w:val="left" w:pos="426"/>
        </w:tabs>
        <w:ind w:left="426" w:right="-1" w:hanging="426"/>
        <w:rPr>
          <w:rStyle w:val="Refdenotaderodap"/>
          <w:sz w:val="18"/>
          <w:szCs w:val="18"/>
          <w:vertAlign w:val="baseline"/>
        </w:rPr>
      </w:pPr>
      <w:r w:rsidRPr="004B5630">
        <w:rPr>
          <w:rStyle w:val="Refdenotaderodap"/>
          <w:sz w:val="18"/>
          <w:szCs w:val="18"/>
        </w:rPr>
        <w:footnoteRef/>
      </w:r>
      <w:r w:rsidRPr="004B5630">
        <w:rPr>
          <w:rStyle w:val="Refdenotaderodap"/>
          <w:sz w:val="18"/>
          <w:szCs w:val="18"/>
          <w:vertAlign w:val="baseline"/>
        </w:rPr>
        <w:t xml:space="preserve"> </w:t>
      </w:r>
      <w:r w:rsidRPr="004B5630">
        <w:rPr>
          <w:rStyle w:val="Refdenotaderodap"/>
          <w:sz w:val="18"/>
          <w:szCs w:val="18"/>
          <w:vertAlign w:val="baseline"/>
        </w:rPr>
        <w:tab/>
        <w:t>Os diplomas específicos</w:t>
      </w:r>
      <w:r w:rsidRPr="004B5630">
        <w:rPr>
          <w:sz w:val="18"/>
          <w:szCs w:val="18"/>
        </w:rPr>
        <w:t xml:space="preserve"> sobre SST</w:t>
      </w:r>
      <w:r w:rsidRPr="004B5630">
        <w:rPr>
          <w:rStyle w:val="Refdenotaderodap"/>
          <w:sz w:val="18"/>
          <w:szCs w:val="18"/>
          <w:vertAlign w:val="baseline"/>
        </w:rPr>
        <w:t xml:space="preserve"> regulam, respetivamente: </w:t>
      </w:r>
    </w:p>
    <w:p w14:paraId="09ECA42C" w14:textId="77777777" w:rsidR="004B7DBA" w:rsidRPr="004B5630" w:rsidRDefault="004B7DBA" w:rsidP="00AF188D">
      <w:pPr>
        <w:pStyle w:val="Textodenotaderodap"/>
        <w:numPr>
          <w:ilvl w:val="0"/>
          <w:numId w:val="55"/>
        </w:numPr>
        <w:tabs>
          <w:tab w:val="left" w:pos="426"/>
        </w:tabs>
        <w:ind w:left="426" w:right="-1" w:hanging="426"/>
        <w:rPr>
          <w:rStyle w:val="Refdenotaderodap"/>
          <w:sz w:val="18"/>
          <w:szCs w:val="18"/>
          <w:vertAlign w:val="baseline"/>
        </w:rPr>
      </w:pPr>
      <w:r w:rsidRPr="004B5630">
        <w:rPr>
          <w:rStyle w:val="Refdenotaderodap"/>
          <w:sz w:val="18"/>
          <w:szCs w:val="18"/>
          <w:vertAlign w:val="baseline"/>
        </w:rPr>
        <w:t>o regime jurídico da promoção da segurança e saúde no trabalho - Lei n.º 102/2009, de 10 de setembro</w:t>
      </w:r>
    </w:p>
    <w:p w14:paraId="5662ED8C" w14:textId="77777777" w:rsidR="004B7DBA" w:rsidRPr="004B5630" w:rsidRDefault="004B7DBA" w:rsidP="00AF188D">
      <w:pPr>
        <w:pStyle w:val="Textodenotaderodap"/>
        <w:numPr>
          <w:ilvl w:val="0"/>
          <w:numId w:val="55"/>
        </w:numPr>
        <w:tabs>
          <w:tab w:val="left" w:pos="426"/>
        </w:tabs>
        <w:ind w:left="426" w:right="-1" w:hanging="426"/>
        <w:rPr>
          <w:rStyle w:val="Refdenotaderodap"/>
          <w:sz w:val="18"/>
          <w:szCs w:val="18"/>
          <w:vertAlign w:val="baseline"/>
        </w:rPr>
      </w:pPr>
      <w:r w:rsidRPr="004B5630">
        <w:rPr>
          <w:rStyle w:val="Refdenotaderodap"/>
          <w:sz w:val="18"/>
          <w:szCs w:val="18"/>
          <w:vertAlign w:val="baseline"/>
        </w:rPr>
        <w:t>o regime jurídico de reparação de acidentes de trabalho e de doenças profissionais (LAT) Lei n.º 98/2009, de 4 de setembro (ver também arts. 99.º e ss. Código de Processo do Trabalho - CPT).</w:t>
      </w:r>
    </w:p>
  </w:footnote>
  <w:footnote w:id="79">
    <w:p w14:paraId="2C3FEB3A" w14:textId="5593440C" w:rsidR="004B7DBA" w:rsidRPr="004B5630" w:rsidRDefault="004B7DBA" w:rsidP="005624A0">
      <w:pPr>
        <w:pStyle w:val="Textodenotaderodap"/>
        <w:tabs>
          <w:tab w:val="left" w:pos="426"/>
        </w:tabs>
        <w:ind w:left="425" w:hanging="425"/>
        <w:rPr>
          <w:rStyle w:val="Refdenotaderodap"/>
          <w:sz w:val="18"/>
          <w:szCs w:val="18"/>
          <w:vertAlign w:val="baseline"/>
        </w:rPr>
      </w:pPr>
      <w:r w:rsidRPr="004B5630">
        <w:rPr>
          <w:rStyle w:val="Refdenotaderodap"/>
          <w:sz w:val="18"/>
          <w:szCs w:val="18"/>
        </w:rPr>
        <w:footnoteRef/>
      </w:r>
      <w:r w:rsidRPr="004B5630">
        <w:rPr>
          <w:rStyle w:val="Refdenotaderodap"/>
          <w:sz w:val="18"/>
          <w:szCs w:val="18"/>
          <w:vertAlign w:val="baseline"/>
        </w:rPr>
        <w:t xml:space="preserve"> </w:t>
      </w:r>
      <w:r w:rsidRPr="004B5630">
        <w:rPr>
          <w:sz w:val="18"/>
          <w:szCs w:val="18"/>
        </w:rPr>
        <w:tab/>
      </w:r>
      <w:r w:rsidRPr="004B5630">
        <w:rPr>
          <w:rStyle w:val="Refdenotaderodap"/>
          <w:sz w:val="18"/>
          <w:szCs w:val="18"/>
          <w:vertAlign w:val="baseline"/>
        </w:rPr>
        <w:t xml:space="preserve">AE BMO PORTUGAL/SNQTB – BTE 5/2019 (cl.13ª); CC APEC/FECTRANS– BTE 9/2019 (cl. 56ª); CC ACISTDS/CESP – BTE 13/2019 (cl. 69ª); CC ADIPA (Retalhistas)/SITESE – BTE 14/2019 (cl. 89ª); AE The Navigator Company/COFESINT – BTE 17/2019 (cl. 75ª,3;) CC GROQUIFAR-Farmacêuticos/ FIEQUIMETAL - BTE 19/2019 (cl. 75ªª). </w:t>
      </w:r>
    </w:p>
  </w:footnote>
  <w:footnote w:id="80">
    <w:p w14:paraId="2B2FE1F8" w14:textId="17B35367" w:rsidR="004B7DBA" w:rsidRPr="004B5630" w:rsidRDefault="004B7DBA" w:rsidP="005624A0">
      <w:pPr>
        <w:pStyle w:val="Textodenotaderodap"/>
        <w:tabs>
          <w:tab w:val="left" w:pos="426"/>
        </w:tabs>
        <w:ind w:left="425" w:hanging="425"/>
        <w:rPr>
          <w:rStyle w:val="Refdenotaderodap"/>
          <w:sz w:val="18"/>
          <w:szCs w:val="18"/>
          <w:vertAlign w:val="baseline"/>
        </w:rPr>
      </w:pPr>
      <w:r w:rsidRPr="004B5630">
        <w:rPr>
          <w:rStyle w:val="Refdenotaderodap"/>
          <w:sz w:val="18"/>
          <w:szCs w:val="18"/>
        </w:rPr>
        <w:footnoteRef/>
      </w:r>
      <w:r w:rsidRPr="004B5630">
        <w:rPr>
          <w:rStyle w:val="Refdenotaderodap"/>
          <w:sz w:val="18"/>
          <w:szCs w:val="18"/>
          <w:vertAlign w:val="baseline"/>
        </w:rPr>
        <w:t xml:space="preserve"> </w:t>
      </w:r>
      <w:r w:rsidRPr="004B5630">
        <w:rPr>
          <w:sz w:val="18"/>
          <w:szCs w:val="18"/>
        </w:rPr>
        <w:tab/>
      </w:r>
      <w:r w:rsidRPr="004B5630">
        <w:rPr>
          <w:rStyle w:val="Refdenotaderodap"/>
          <w:sz w:val="18"/>
          <w:szCs w:val="18"/>
          <w:vertAlign w:val="baseline"/>
        </w:rPr>
        <w:t>Como se sabe, a lei admite a regulamentação convencional sobre segurança e saúde no trabalho, desde que em sentido mais favorável ao trabalhador [ver artigos 3.º, 3, l) e 281.º, 7, do CT].</w:t>
      </w:r>
    </w:p>
  </w:footnote>
  <w:footnote w:id="81">
    <w:p w14:paraId="66FCAF06" w14:textId="7805F5CB" w:rsidR="004B7DBA" w:rsidRPr="004B5630" w:rsidRDefault="004B7DBA" w:rsidP="005624A0">
      <w:pPr>
        <w:pStyle w:val="Textodenotaderodap"/>
        <w:tabs>
          <w:tab w:val="left" w:pos="426"/>
        </w:tabs>
        <w:ind w:left="425" w:hanging="425"/>
        <w:rPr>
          <w:rStyle w:val="Refdenotaderodap"/>
          <w:sz w:val="18"/>
          <w:szCs w:val="18"/>
          <w:vertAlign w:val="baseline"/>
        </w:rPr>
      </w:pPr>
      <w:r w:rsidRPr="004B5630">
        <w:rPr>
          <w:rStyle w:val="Refdenotaderodap"/>
          <w:sz w:val="18"/>
          <w:szCs w:val="18"/>
        </w:rPr>
        <w:footnoteRef/>
      </w:r>
      <w:r w:rsidRPr="004B5630">
        <w:rPr>
          <w:rStyle w:val="Refdenotaderodap"/>
          <w:sz w:val="18"/>
          <w:szCs w:val="18"/>
          <w:vertAlign w:val="baseline"/>
        </w:rPr>
        <w:t xml:space="preserve"> </w:t>
      </w:r>
      <w:r w:rsidRPr="004B5630">
        <w:rPr>
          <w:sz w:val="18"/>
          <w:szCs w:val="18"/>
        </w:rPr>
        <w:tab/>
      </w:r>
      <w:r w:rsidRPr="004B5630">
        <w:rPr>
          <w:rStyle w:val="Refdenotaderodap"/>
          <w:sz w:val="18"/>
          <w:szCs w:val="18"/>
          <w:vertAlign w:val="baseline"/>
        </w:rPr>
        <w:t>Não foram atendidas cláusulas relativas aos direitos e deveres das partes que reproduzem, por exemplo o art. 127.º, 1, g), do CT – o dever do empregador “prevenir riscos e doenças profissionais, tendo em conta a proteção da segurança e saúde do trabalhador, devendo indemnizá-lo dos prejuízos resultantes de acidente de trabalho”. Mas, foram consideradas as referências às obrigações da entidade patronal na divulgação de recomendações e a instrução do pessoal encarregado da manipulação de produtos tóxicos acerca dos riscos específicos e medidas de segurança a adotar – é o caso do CC ALIF/SETAAB – BTE 17/2019 (cl. 56ª) e do CC ANORECA/FECTRANS – BTE 17/2019 (cl. 15ª, j)</w:t>
      </w:r>
      <w:r w:rsidRPr="004B5630">
        <w:rPr>
          <w:sz w:val="18"/>
          <w:szCs w:val="18"/>
        </w:rPr>
        <w:t>,</w:t>
      </w:r>
      <w:r w:rsidRPr="004B5630">
        <w:rPr>
          <w:rStyle w:val="Refdenotaderodap"/>
          <w:sz w:val="18"/>
          <w:szCs w:val="18"/>
          <w:vertAlign w:val="baseline"/>
        </w:rPr>
        <w:t xml:space="preserve"> ambos os casos regulam o planeamento e implementação de medidas de segurança e saúde no trabalho.</w:t>
      </w:r>
    </w:p>
  </w:footnote>
  <w:footnote w:id="82">
    <w:p w14:paraId="06D36169" w14:textId="2ADCE9E6" w:rsidR="004B7DBA" w:rsidRPr="004B5630" w:rsidRDefault="004B7DBA" w:rsidP="005624A0">
      <w:pPr>
        <w:pStyle w:val="Textodenotaderodap"/>
        <w:tabs>
          <w:tab w:val="left" w:pos="426"/>
        </w:tabs>
        <w:ind w:left="425" w:hanging="425"/>
        <w:rPr>
          <w:rStyle w:val="Refdenotaderodap"/>
          <w:sz w:val="18"/>
          <w:szCs w:val="18"/>
          <w:vertAlign w:val="baseline"/>
        </w:rPr>
      </w:pPr>
      <w:r w:rsidRPr="004B5630">
        <w:rPr>
          <w:rStyle w:val="Refdenotaderodap"/>
          <w:sz w:val="18"/>
          <w:szCs w:val="18"/>
        </w:rPr>
        <w:footnoteRef/>
      </w:r>
      <w:r w:rsidRPr="004B5630">
        <w:rPr>
          <w:rStyle w:val="Refdenotaderodap"/>
          <w:sz w:val="18"/>
          <w:szCs w:val="18"/>
          <w:vertAlign w:val="baseline"/>
        </w:rPr>
        <w:t xml:space="preserve"> </w:t>
      </w:r>
      <w:r w:rsidRPr="004B5630">
        <w:rPr>
          <w:sz w:val="18"/>
          <w:szCs w:val="18"/>
        </w:rPr>
        <w:tab/>
      </w:r>
      <w:r w:rsidRPr="004B5630">
        <w:rPr>
          <w:rStyle w:val="Refdenotaderodap"/>
          <w:sz w:val="18"/>
          <w:szCs w:val="18"/>
          <w:vertAlign w:val="baseline"/>
        </w:rPr>
        <w:t>CC AEVP/SINTICABA – BTE 6/2019 (cl.44ª), CC ALIF/SETAAB – BTE 17/2019 (cl. 56ª); AE ViaPorto/STTAMP – BTE 31/2019 (cl. 72ª); CC CNIS/FEPCES – BTE 41/2019 (cl. 84ª).</w:t>
      </w:r>
    </w:p>
  </w:footnote>
  <w:footnote w:id="83">
    <w:p w14:paraId="764C9FA8" w14:textId="5ABA999C" w:rsidR="004B7DBA" w:rsidRPr="004B5630" w:rsidRDefault="004B7DBA" w:rsidP="005624A0">
      <w:pPr>
        <w:pStyle w:val="Textodenotaderodap"/>
        <w:tabs>
          <w:tab w:val="left" w:pos="426"/>
        </w:tabs>
        <w:ind w:left="425" w:hanging="425"/>
        <w:rPr>
          <w:rFonts w:cstheme="minorHAnsi"/>
          <w:sz w:val="18"/>
          <w:szCs w:val="18"/>
        </w:rPr>
      </w:pPr>
      <w:r w:rsidRPr="004B5630">
        <w:rPr>
          <w:rStyle w:val="Refdenotaderodap"/>
          <w:sz w:val="18"/>
          <w:szCs w:val="18"/>
        </w:rPr>
        <w:footnoteRef/>
      </w:r>
      <w:r w:rsidRPr="004B5630">
        <w:rPr>
          <w:rStyle w:val="Refdenotaderodap"/>
          <w:sz w:val="18"/>
          <w:szCs w:val="18"/>
          <w:vertAlign w:val="baseline"/>
        </w:rPr>
        <w:t xml:space="preserve"> </w:t>
      </w:r>
      <w:r w:rsidRPr="004B5630">
        <w:rPr>
          <w:sz w:val="18"/>
          <w:szCs w:val="18"/>
        </w:rPr>
        <w:tab/>
      </w:r>
      <w:r w:rsidRPr="004B5630">
        <w:rPr>
          <w:rStyle w:val="Refdenotaderodap"/>
          <w:sz w:val="18"/>
          <w:szCs w:val="18"/>
          <w:vertAlign w:val="baseline"/>
        </w:rPr>
        <w:t>AE Europa&amp;C/FI</w:t>
      </w:r>
      <w:r w:rsidRPr="004B5630">
        <w:rPr>
          <w:rFonts w:cstheme="minorHAnsi"/>
          <w:sz w:val="18"/>
          <w:szCs w:val="18"/>
        </w:rPr>
        <w:t>EQUIMETAL – BTE 8/2019 (cl. 10ª,n); AC OPERFOZ/SINPORFOZ – BTE 10/2019 (cl. 68ª); AE CARRISBUS/FECTRANS - BTE 29/2019 (cl.31ª) CC ANTROP STTAMP – BTE 35/2019 (cl. 65ª).</w:t>
      </w:r>
    </w:p>
  </w:footnote>
  <w:footnote w:id="84">
    <w:p w14:paraId="7495D7CE" w14:textId="19B75FA5" w:rsidR="004B7DBA" w:rsidRPr="004B5630" w:rsidRDefault="004B7DBA" w:rsidP="005624A0">
      <w:pPr>
        <w:pStyle w:val="Textodenotaderodap"/>
        <w:tabs>
          <w:tab w:val="left" w:pos="426"/>
        </w:tabs>
        <w:ind w:left="425" w:hanging="425"/>
        <w:rPr>
          <w:rFonts w:cstheme="minorHAnsi"/>
          <w:sz w:val="18"/>
          <w:szCs w:val="18"/>
        </w:rPr>
      </w:pPr>
      <w:r w:rsidRPr="004B5630">
        <w:rPr>
          <w:rFonts w:cstheme="minorHAnsi"/>
          <w:sz w:val="18"/>
          <w:szCs w:val="18"/>
          <w:vertAlign w:val="superscript"/>
          <w:lang w:val="en-US"/>
        </w:rPr>
        <w:footnoteRef/>
      </w:r>
      <w:r w:rsidRPr="004B5630">
        <w:rPr>
          <w:rFonts w:cstheme="minorHAnsi"/>
          <w:sz w:val="18"/>
          <w:szCs w:val="18"/>
        </w:rPr>
        <w:t xml:space="preserve"> </w:t>
      </w:r>
      <w:r w:rsidRPr="004B5630">
        <w:rPr>
          <w:rFonts w:cstheme="minorHAnsi"/>
          <w:sz w:val="18"/>
          <w:szCs w:val="18"/>
        </w:rPr>
        <w:tab/>
        <w:t>AE INATEL/SINTAP – BTE 6/2019  (cl. 86ª) e paralelos; CC GROQUIFAR-Farmacêuticos/ FIEQUIMETAL - BTE 19/2019 (cl.75ª); AE SUCH/FESAHT - BTE 21/2019 (cl. 38ª, j); AE SCOTTURB/SITRA -– BTE 35/2019 (cl. 58ª, c).</w:t>
      </w:r>
    </w:p>
  </w:footnote>
  <w:footnote w:id="85">
    <w:p w14:paraId="3384E9B4" w14:textId="48435903" w:rsidR="004B7DBA" w:rsidRPr="004B5630" w:rsidRDefault="004B7DBA" w:rsidP="005624A0">
      <w:pPr>
        <w:pStyle w:val="Textodenotaderodap"/>
        <w:tabs>
          <w:tab w:val="left" w:pos="567"/>
        </w:tabs>
        <w:ind w:left="425" w:hanging="425"/>
        <w:rPr>
          <w:rFonts w:cstheme="minorHAnsi"/>
          <w:sz w:val="18"/>
          <w:szCs w:val="18"/>
        </w:rPr>
      </w:pPr>
      <w:r w:rsidRPr="004B5630">
        <w:rPr>
          <w:rFonts w:cstheme="minorHAnsi"/>
          <w:sz w:val="18"/>
          <w:szCs w:val="18"/>
          <w:vertAlign w:val="superscript"/>
          <w:lang w:val="en-US"/>
        </w:rPr>
        <w:footnoteRef/>
      </w:r>
      <w:r w:rsidRPr="004B5630">
        <w:rPr>
          <w:rFonts w:cstheme="minorHAnsi"/>
          <w:sz w:val="18"/>
          <w:szCs w:val="18"/>
          <w:vertAlign w:val="superscript"/>
        </w:rPr>
        <w:t xml:space="preserve"> </w:t>
      </w:r>
      <w:r w:rsidRPr="004B5630">
        <w:rPr>
          <w:rFonts w:cstheme="minorHAnsi"/>
          <w:sz w:val="18"/>
          <w:szCs w:val="18"/>
        </w:rPr>
        <w:tab/>
        <w:t xml:space="preserve">CC APEC/FECTRANS– BTE 9/2019 (cl. 56ª, 4); CC GROQUIFAR-Farmacêuticos/ FIEQUIMETAL - BTE 19/2019 (cl.75ª); AE  Easyjet Airline Company/SNPVAC - BTE 28/2019 (cl. 21ª9); AC Indorama Portugal/COFESINT – BTE 31/2019 (cl. 96º, d). </w:t>
      </w:r>
    </w:p>
  </w:footnote>
  <w:footnote w:id="86">
    <w:p w14:paraId="0D067F93" w14:textId="456E5F34" w:rsidR="004B7DBA" w:rsidRPr="004B5630" w:rsidRDefault="004B7DBA" w:rsidP="005624A0">
      <w:pPr>
        <w:pStyle w:val="Textodenotaderodap"/>
        <w:tabs>
          <w:tab w:val="left" w:pos="426"/>
        </w:tabs>
        <w:ind w:left="425" w:hanging="425"/>
        <w:rPr>
          <w:rStyle w:val="Refdenotaderodap"/>
          <w:sz w:val="18"/>
          <w:szCs w:val="18"/>
          <w:vertAlign w:val="baseline"/>
        </w:rPr>
      </w:pPr>
      <w:r w:rsidRPr="004B5630">
        <w:rPr>
          <w:rStyle w:val="Refdenotaderodap"/>
          <w:sz w:val="18"/>
          <w:szCs w:val="18"/>
        </w:rPr>
        <w:footnoteRef/>
      </w:r>
      <w:r w:rsidRPr="004B5630">
        <w:rPr>
          <w:rStyle w:val="Refdenotaderodap"/>
          <w:sz w:val="18"/>
          <w:szCs w:val="18"/>
          <w:vertAlign w:val="baseline"/>
        </w:rPr>
        <w:t xml:space="preserve"> </w:t>
      </w:r>
      <w:r w:rsidRPr="004B5630">
        <w:rPr>
          <w:sz w:val="18"/>
          <w:szCs w:val="18"/>
        </w:rPr>
        <w:tab/>
      </w:r>
      <w:r w:rsidRPr="004B5630">
        <w:rPr>
          <w:rStyle w:val="Refdenotaderodap"/>
          <w:sz w:val="18"/>
          <w:szCs w:val="18"/>
          <w:vertAlign w:val="baseline"/>
        </w:rPr>
        <w:t>Por exemplo, AE Europa&amp;C/FIEQUIMETAL – BTE 8/2019 (cl 85ª, 2, c); AC Indorama Portugal/COFESINT – BTE 31/2019 (cl.100ª).</w:t>
      </w:r>
    </w:p>
  </w:footnote>
  <w:footnote w:id="87">
    <w:p w14:paraId="4D58F46E" w14:textId="35015A94" w:rsidR="004B7DBA" w:rsidRPr="004B5630" w:rsidRDefault="004B7DBA" w:rsidP="005624A0">
      <w:pPr>
        <w:pStyle w:val="Textodenotaderodap"/>
        <w:tabs>
          <w:tab w:val="left" w:pos="426"/>
        </w:tabs>
        <w:ind w:left="425" w:hanging="425"/>
        <w:rPr>
          <w:rStyle w:val="Refdenotaderodap"/>
          <w:sz w:val="18"/>
          <w:szCs w:val="18"/>
          <w:vertAlign w:val="baseline"/>
        </w:rPr>
      </w:pPr>
      <w:r w:rsidRPr="004B5630">
        <w:rPr>
          <w:rStyle w:val="Refdenotaderodap"/>
          <w:sz w:val="18"/>
          <w:szCs w:val="18"/>
        </w:rPr>
        <w:footnoteRef/>
      </w:r>
      <w:r w:rsidRPr="004B5630">
        <w:rPr>
          <w:rStyle w:val="Refdenotaderodap"/>
          <w:sz w:val="18"/>
          <w:szCs w:val="18"/>
          <w:vertAlign w:val="baseline"/>
        </w:rPr>
        <w:t xml:space="preserve"> </w:t>
      </w:r>
      <w:r w:rsidRPr="004B5630">
        <w:rPr>
          <w:sz w:val="18"/>
          <w:szCs w:val="18"/>
        </w:rPr>
        <w:t xml:space="preserve">    </w:t>
      </w:r>
      <w:r w:rsidRPr="004B5630">
        <w:rPr>
          <w:rStyle w:val="Refdenotaderodap"/>
          <w:sz w:val="18"/>
          <w:szCs w:val="18"/>
          <w:vertAlign w:val="baseline"/>
        </w:rPr>
        <w:t>CC ALIF/SETAAB – BTE 17/2019 (cl. 56ª, 5, b); AE Risto Rail Portugal/FESAHT - BTE 26/2019 (cl. 90ª, 4, e); AE Easyjet Airline Company/SNPVAC - BTE 28/2019 (cl. 85ª), AE SATA Internacional/SPAC – BTE 37/2019 (cl. 35ª); CC ABIMOTA/SINDEL – BTE 45/2019 (cl. 93ª,2).</w:t>
      </w:r>
    </w:p>
  </w:footnote>
  <w:footnote w:id="88">
    <w:p w14:paraId="68A60B7B" w14:textId="41DB9A69" w:rsidR="004B7DBA" w:rsidRPr="004B5630" w:rsidRDefault="004B7DBA" w:rsidP="005624A0">
      <w:pPr>
        <w:pStyle w:val="Textodenotaderodap"/>
        <w:tabs>
          <w:tab w:val="left" w:pos="426"/>
        </w:tabs>
        <w:ind w:left="425" w:hanging="425"/>
        <w:rPr>
          <w:rStyle w:val="Refdenotaderodap"/>
          <w:sz w:val="18"/>
          <w:szCs w:val="18"/>
          <w:vertAlign w:val="baseline"/>
        </w:rPr>
      </w:pPr>
      <w:r w:rsidRPr="004B5630">
        <w:rPr>
          <w:rStyle w:val="Refdenotaderodap"/>
          <w:sz w:val="18"/>
          <w:szCs w:val="18"/>
        </w:rPr>
        <w:footnoteRef/>
      </w:r>
      <w:r w:rsidRPr="004B5630">
        <w:rPr>
          <w:rStyle w:val="Refdenotaderodap"/>
          <w:sz w:val="18"/>
          <w:szCs w:val="18"/>
          <w:vertAlign w:val="baseline"/>
        </w:rPr>
        <w:t xml:space="preserve"> </w:t>
      </w:r>
      <w:r w:rsidRPr="004B5630">
        <w:rPr>
          <w:sz w:val="18"/>
          <w:szCs w:val="18"/>
        </w:rPr>
        <w:t xml:space="preserve">      </w:t>
      </w:r>
      <w:r w:rsidRPr="004B5630">
        <w:rPr>
          <w:rStyle w:val="Refdenotaderodap"/>
          <w:sz w:val="18"/>
          <w:szCs w:val="18"/>
          <w:vertAlign w:val="baseline"/>
        </w:rPr>
        <w:t>Por exemplo AC Fidelidade / SINAPSA – BTE 5/2019(cl.45ª).; AE Seguradoras Unidas/SINAPSA – BTE 5/2019  (cl.30ª) e AC ZURICH/SINAPSA – BTE 17/2019 (cl. 29ª). Em sentido idêntico</w:t>
      </w:r>
      <w:r w:rsidRPr="004B5630">
        <w:rPr>
          <w:sz w:val="18"/>
          <w:szCs w:val="18"/>
        </w:rPr>
        <w:t>,</w:t>
      </w:r>
      <w:r w:rsidRPr="004B5630">
        <w:rPr>
          <w:rStyle w:val="Refdenotaderodap"/>
          <w:sz w:val="18"/>
          <w:szCs w:val="18"/>
          <w:vertAlign w:val="baseline"/>
        </w:rPr>
        <w:t xml:space="preserve"> CC APEC/FECTRANS– BTE 9/2019 (cl. 56ª).  </w:t>
      </w:r>
    </w:p>
  </w:footnote>
  <w:footnote w:id="89">
    <w:p w14:paraId="451360A0" w14:textId="77777777" w:rsidR="004B7DBA" w:rsidRPr="004B5630" w:rsidRDefault="004B7DBA" w:rsidP="005624A0">
      <w:pPr>
        <w:pStyle w:val="Textodenotaderodap"/>
        <w:tabs>
          <w:tab w:val="left" w:pos="426"/>
        </w:tabs>
        <w:ind w:left="425" w:hanging="425"/>
        <w:rPr>
          <w:rStyle w:val="Refdenotaderodap"/>
          <w:sz w:val="18"/>
          <w:szCs w:val="18"/>
          <w:vertAlign w:val="baseline"/>
        </w:rPr>
      </w:pPr>
      <w:r w:rsidRPr="004B5630">
        <w:rPr>
          <w:rStyle w:val="Refdenotaderodap"/>
          <w:sz w:val="18"/>
          <w:szCs w:val="18"/>
        </w:rPr>
        <w:footnoteRef/>
      </w:r>
      <w:r w:rsidRPr="004B5630">
        <w:rPr>
          <w:rStyle w:val="Refdenotaderodap"/>
          <w:sz w:val="18"/>
          <w:szCs w:val="18"/>
          <w:vertAlign w:val="baseline"/>
        </w:rPr>
        <w:t xml:space="preserve"> </w:t>
      </w:r>
      <w:r w:rsidRPr="004B5630">
        <w:rPr>
          <w:rStyle w:val="Refdenotaderodap"/>
          <w:sz w:val="18"/>
          <w:szCs w:val="18"/>
          <w:vertAlign w:val="baseline"/>
        </w:rPr>
        <w:tab/>
        <w:t>Sobre o sigilo do resultado dos exames médicos do trabalhador ver, por exemplo, AE INATEL/FESAHT – BTE 6/2019 (cl. 88ª, 4) e paralelos. E o</w:t>
      </w:r>
      <w:r w:rsidRPr="004B5630">
        <w:rPr>
          <w:sz w:val="18"/>
          <w:szCs w:val="18"/>
        </w:rPr>
        <w:t>s</w:t>
      </w:r>
      <w:r w:rsidRPr="004B5630">
        <w:rPr>
          <w:rStyle w:val="Refdenotaderodap"/>
          <w:sz w:val="18"/>
          <w:szCs w:val="18"/>
          <w:vertAlign w:val="baseline"/>
        </w:rPr>
        <w:t xml:space="preserve"> AE Easyjet Airline Company/SNPVAC - BTE 28/2019 (cl. 24ª) e SATA Internacional/SPAC – BTE 37/2019 (cl.45ª, 3)</w:t>
      </w:r>
      <w:r w:rsidRPr="004B5630">
        <w:rPr>
          <w:sz w:val="18"/>
          <w:szCs w:val="18"/>
        </w:rPr>
        <w:t xml:space="preserve">, que </w:t>
      </w:r>
      <w:r w:rsidRPr="004B5630">
        <w:rPr>
          <w:rStyle w:val="Refdenotaderodap"/>
          <w:sz w:val="18"/>
          <w:szCs w:val="18"/>
          <w:vertAlign w:val="baseline"/>
        </w:rPr>
        <w:t xml:space="preserve"> impõe</w:t>
      </w:r>
      <w:r w:rsidRPr="004B5630">
        <w:rPr>
          <w:sz w:val="18"/>
          <w:szCs w:val="18"/>
        </w:rPr>
        <w:t>m</w:t>
      </w:r>
      <w:r w:rsidRPr="004B5630">
        <w:rPr>
          <w:rStyle w:val="Refdenotaderodap"/>
          <w:sz w:val="18"/>
          <w:szCs w:val="18"/>
          <w:vertAlign w:val="baseline"/>
        </w:rPr>
        <w:t xml:space="preserve"> a autorização expressa do trabalhador</w:t>
      </w:r>
      <w:r w:rsidRPr="004B5630">
        <w:rPr>
          <w:sz w:val="18"/>
          <w:szCs w:val="18"/>
        </w:rPr>
        <w:t>(piloto)</w:t>
      </w:r>
      <w:r w:rsidRPr="004B5630">
        <w:rPr>
          <w:rStyle w:val="Refdenotaderodap"/>
          <w:sz w:val="18"/>
          <w:szCs w:val="18"/>
          <w:vertAlign w:val="baseline"/>
        </w:rPr>
        <w:t xml:space="preserve"> para o cruzamento de informação sobre dados médicos no </w:t>
      </w:r>
      <w:r w:rsidRPr="004B5630">
        <w:rPr>
          <w:sz w:val="18"/>
          <w:szCs w:val="18"/>
        </w:rPr>
        <w:t>âmbito da</w:t>
      </w:r>
      <w:r w:rsidRPr="004B5630">
        <w:rPr>
          <w:rStyle w:val="Refdenotaderodap"/>
          <w:sz w:val="18"/>
          <w:szCs w:val="18"/>
          <w:vertAlign w:val="baseline"/>
        </w:rPr>
        <w:t xml:space="preserve"> medicina de trabalho e da junta médica que emite</w:t>
      </w:r>
      <w:r w:rsidRPr="004B5630">
        <w:rPr>
          <w:sz w:val="18"/>
          <w:szCs w:val="18"/>
        </w:rPr>
        <w:t xml:space="preserve"> o</w:t>
      </w:r>
      <w:r w:rsidRPr="004B5630">
        <w:rPr>
          <w:rStyle w:val="Refdenotaderodap"/>
          <w:sz w:val="18"/>
          <w:szCs w:val="18"/>
          <w:vertAlign w:val="baseline"/>
        </w:rPr>
        <w:t xml:space="preserve"> certificado médico para revalidação licença de voo.</w:t>
      </w:r>
    </w:p>
  </w:footnote>
  <w:footnote w:id="90">
    <w:p w14:paraId="136EA608" w14:textId="77777777" w:rsidR="004B7DBA" w:rsidRPr="004B5630" w:rsidRDefault="004B7DBA" w:rsidP="005624A0">
      <w:pPr>
        <w:pStyle w:val="Textodenotaderodap"/>
        <w:tabs>
          <w:tab w:val="left" w:pos="426"/>
        </w:tabs>
        <w:ind w:left="425" w:hanging="425"/>
        <w:rPr>
          <w:rStyle w:val="Refdenotaderodap"/>
          <w:sz w:val="18"/>
          <w:szCs w:val="18"/>
          <w:vertAlign w:val="baseline"/>
        </w:rPr>
      </w:pPr>
      <w:r w:rsidRPr="004B5630">
        <w:rPr>
          <w:rStyle w:val="Refdenotaderodap"/>
          <w:sz w:val="18"/>
          <w:szCs w:val="18"/>
        </w:rPr>
        <w:footnoteRef/>
      </w:r>
      <w:r w:rsidRPr="004B5630">
        <w:rPr>
          <w:rStyle w:val="Refdenotaderodap"/>
          <w:sz w:val="18"/>
          <w:szCs w:val="18"/>
        </w:rPr>
        <w:t xml:space="preserve"> </w:t>
      </w:r>
      <w:r w:rsidRPr="004B5630">
        <w:rPr>
          <w:rStyle w:val="Refdenotaderodap"/>
          <w:sz w:val="18"/>
          <w:szCs w:val="18"/>
          <w:vertAlign w:val="baseline"/>
        </w:rPr>
        <w:tab/>
        <w:t>No AE AHBV – ALGÉS/SNBP – BTE 36/2019 (cl.21ª).</w:t>
      </w:r>
    </w:p>
  </w:footnote>
  <w:footnote w:id="91">
    <w:p w14:paraId="16E43476" w14:textId="64D2262D" w:rsidR="004B7DBA" w:rsidRPr="004B5630" w:rsidRDefault="004B7DBA" w:rsidP="005624A0">
      <w:pPr>
        <w:pStyle w:val="Textodenotaderodap"/>
        <w:tabs>
          <w:tab w:val="left" w:pos="426"/>
        </w:tabs>
        <w:ind w:left="425" w:hanging="425"/>
        <w:rPr>
          <w:rStyle w:val="Refdenotaderodap"/>
          <w:sz w:val="18"/>
          <w:szCs w:val="18"/>
          <w:vertAlign w:val="baseline"/>
        </w:rPr>
      </w:pPr>
      <w:r w:rsidRPr="004B5630">
        <w:rPr>
          <w:rStyle w:val="Refdenotaderodap"/>
          <w:sz w:val="18"/>
          <w:szCs w:val="18"/>
        </w:rPr>
        <w:footnoteRef/>
      </w:r>
      <w:r w:rsidRPr="004B5630">
        <w:rPr>
          <w:rStyle w:val="Refdenotaderodap"/>
          <w:sz w:val="18"/>
          <w:szCs w:val="18"/>
        </w:rPr>
        <w:t xml:space="preserve"> </w:t>
      </w:r>
      <w:r w:rsidRPr="004B5630">
        <w:rPr>
          <w:sz w:val="18"/>
          <w:szCs w:val="18"/>
        </w:rPr>
        <w:t xml:space="preserve">     </w:t>
      </w:r>
      <w:r w:rsidRPr="004B5630">
        <w:rPr>
          <w:rStyle w:val="Refdenotaderodap"/>
          <w:sz w:val="18"/>
          <w:szCs w:val="18"/>
          <w:vertAlign w:val="baseline"/>
        </w:rPr>
        <w:t xml:space="preserve"> Segundo o AE CARRISBUS/SITRA - BTE 20/2019 (cl.42ª)</w:t>
      </w:r>
      <w:r w:rsidRPr="004B5630">
        <w:rPr>
          <w:sz w:val="18"/>
          <w:szCs w:val="18"/>
        </w:rPr>
        <w:t>,</w:t>
      </w:r>
      <w:r w:rsidRPr="004B5630">
        <w:rPr>
          <w:rStyle w:val="Refdenotaderodap"/>
          <w:sz w:val="18"/>
          <w:szCs w:val="18"/>
          <w:vertAlign w:val="baseline"/>
        </w:rPr>
        <w:t xml:space="preserve"> o resultado dos testes de alcoolemia devem ser guardados em local sem acesso, de preferência sob a responsabilidade do médico da empresa, devendo</w:t>
      </w:r>
      <w:r w:rsidRPr="004B5630">
        <w:rPr>
          <w:sz w:val="18"/>
          <w:szCs w:val="18"/>
        </w:rPr>
        <w:t xml:space="preserve"> ser</w:t>
      </w:r>
      <w:r w:rsidRPr="004B5630">
        <w:rPr>
          <w:rStyle w:val="Refdenotaderodap"/>
          <w:sz w:val="18"/>
          <w:szCs w:val="18"/>
          <w:vertAlign w:val="baseline"/>
        </w:rPr>
        <w:t xml:space="preserve"> destruídos a</w:t>
      </w:r>
      <w:r w:rsidRPr="004B5630">
        <w:rPr>
          <w:sz w:val="18"/>
          <w:szCs w:val="18"/>
        </w:rPr>
        <w:t>o</w:t>
      </w:r>
      <w:r w:rsidRPr="004B5630">
        <w:rPr>
          <w:rStyle w:val="Refdenotaderodap"/>
          <w:sz w:val="18"/>
          <w:szCs w:val="18"/>
          <w:vertAlign w:val="baseline"/>
        </w:rPr>
        <w:t xml:space="preserve"> fim de 3 anos.</w:t>
      </w:r>
    </w:p>
  </w:footnote>
  <w:footnote w:id="92">
    <w:p w14:paraId="4BBD4525" w14:textId="77777777" w:rsidR="004B7DBA" w:rsidRPr="004B5630" w:rsidRDefault="004B7DBA" w:rsidP="005624A0">
      <w:pPr>
        <w:pStyle w:val="Textodenotaderodap"/>
        <w:tabs>
          <w:tab w:val="left" w:pos="426"/>
        </w:tabs>
        <w:ind w:left="425" w:hanging="425"/>
        <w:rPr>
          <w:rStyle w:val="Refdenotaderodap"/>
          <w:sz w:val="18"/>
          <w:szCs w:val="18"/>
          <w:vertAlign w:val="baseline"/>
        </w:rPr>
      </w:pPr>
      <w:r w:rsidRPr="004B5630">
        <w:rPr>
          <w:rStyle w:val="Refdenotaderodap"/>
          <w:sz w:val="18"/>
          <w:szCs w:val="18"/>
        </w:rPr>
        <w:footnoteRef/>
      </w:r>
      <w:r w:rsidRPr="004B5630">
        <w:rPr>
          <w:rStyle w:val="Refdenotaderodap"/>
          <w:sz w:val="18"/>
          <w:szCs w:val="18"/>
        </w:rPr>
        <w:t xml:space="preserve"> </w:t>
      </w:r>
      <w:r w:rsidRPr="004B5630">
        <w:rPr>
          <w:rStyle w:val="Refdenotaderodap"/>
          <w:sz w:val="18"/>
          <w:szCs w:val="18"/>
          <w:vertAlign w:val="baseline"/>
        </w:rPr>
        <w:tab/>
      </w:r>
      <w:r w:rsidRPr="004B5630">
        <w:rPr>
          <w:sz w:val="18"/>
          <w:szCs w:val="18"/>
        </w:rPr>
        <w:t xml:space="preserve">O </w:t>
      </w:r>
      <w:r w:rsidRPr="004B5630">
        <w:rPr>
          <w:rStyle w:val="Refdenotaderodap"/>
          <w:sz w:val="18"/>
          <w:szCs w:val="18"/>
          <w:vertAlign w:val="baseline"/>
        </w:rPr>
        <w:t>CC GROQUIFAR-Farmacêuticos/ FIEQUIMETAL - BTE 19/2019 (cl.78ª, 7)) proíbe os exames</w:t>
      </w:r>
      <w:r w:rsidRPr="004B5630">
        <w:rPr>
          <w:sz w:val="18"/>
          <w:szCs w:val="18"/>
        </w:rPr>
        <w:t>,</w:t>
      </w:r>
      <w:r w:rsidRPr="004B5630">
        <w:rPr>
          <w:rStyle w:val="Refdenotaderodap"/>
          <w:sz w:val="18"/>
          <w:szCs w:val="18"/>
          <w:vertAlign w:val="baseline"/>
        </w:rPr>
        <w:t xml:space="preserve"> para além dos fixados na convenção para o controle de álcool e estupefacientes, assim como a  divulgação dos seus  resultados</w:t>
      </w:r>
      <w:r w:rsidRPr="004B5630">
        <w:rPr>
          <w:sz w:val="18"/>
          <w:szCs w:val="18"/>
        </w:rPr>
        <w:t>.</w:t>
      </w:r>
      <w:r w:rsidRPr="004B5630">
        <w:rPr>
          <w:rStyle w:val="Refdenotaderodap"/>
          <w:sz w:val="18"/>
          <w:szCs w:val="18"/>
          <w:vertAlign w:val="baseline"/>
        </w:rPr>
        <w:t xml:space="preserve"> </w:t>
      </w:r>
    </w:p>
  </w:footnote>
  <w:footnote w:id="93">
    <w:p w14:paraId="371271B6" w14:textId="77777777" w:rsidR="004B7DBA" w:rsidRPr="004B5630" w:rsidRDefault="004B7DBA" w:rsidP="005624A0">
      <w:pPr>
        <w:pStyle w:val="Textodenotaderodap"/>
        <w:tabs>
          <w:tab w:val="left" w:pos="426"/>
        </w:tabs>
        <w:ind w:left="425" w:hanging="425"/>
        <w:rPr>
          <w:rFonts w:cstheme="minorHAnsi"/>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CC GROQUIFAR-Farmacêuticos/ FIEQUIMETAL - BTE 19/2019 (cl 78ª,6); AE CARRISBUS/SITRA - BTE 20/2019 (cl.40ª), AC AVEIPORT/Sindicato 2013 TTP - Aveiro - BTE 21/2019 (Anexo III, 14); AE OPERESTIVA/STPSET - BTE 26/2019 (Anexo III, 16); AC Indorama Portugal/COFESINT – BTE 31/2019 (cl.106ª,6) .</w:t>
      </w:r>
    </w:p>
  </w:footnote>
  <w:footnote w:id="94">
    <w:p w14:paraId="59A121B7" w14:textId="65718231" w:rsidR="004B7DBA" w:rsidRPr="004B5630" w:rsidRDefault="004B7DBA" w:rsidP="005624A0">
      <w:pPr>
        <w:pStyle w:val="Textodenotaderodap"/>
        <w:tabs>
          <w:tab w:val="left" w:pos="426"/>
        </w:tabs>
        <w:ind w:left="425" w:hanging="425"/>
        <w:rPr>
          <w:sz w:val="18"/>
          <w:szCs w:val="18"/>
        </w:rPr>
      </w:pPr>
      <w:r w:rsidRPr="004B5630">
        <w:rPr>
          <w:rStyle w:val="Refdenotaderodap"/>
          <w:rFonts w:cstheme="minorHAnsi"/>
          <w:sz w:val="18"/>
          <w:szCs w:val="18"/>
        </w:rPr>
        <w:footnoteRef/>
      </w:r>
      <w:r w:rsidRPr="004B5630">
        <w:rPr>
          <w:rFonts w:cstheme="minorHAnsi"/>
          <w:sz w:val="18"/>
          <w:szCs w:val="18"/>
          <w:vertAlign w:val="superscript"/>
        </w:rPr>
        <w:t xml:space="preserve">       </w:t>
      </w:r>
      <w:r w:rsidRPr="004B5630">
        <w:rPr>
          <w:rFonts w:cstheme="minorHAnsi"/>
          <w:sz w:val="18"/>
          <w:szCs w:val="18"/>
        </w:rPr>
        <w:t>Há, também, duas</w:t>
      </w:r>
      <w:r w:rsidRPr="004B5630">
        <w:rPr>
          <w:sz w:val="18"/>
          <w:szCs w:val="18"/>
        </w:rPr>
        <w:t xml:space="preserve"> revisões parciais que regulam (e alteram) parcialmente o regime dos </w:t>
      </w:r>
      <w:r w:rsidRPr="004B5630">
        <w:rPr>
          <w:rFonts w:cs="Calibri"/>
          <w:sz w:val="18"/>
          <w:szCs w:val="18"/>
        </w:rPr>
        <w:t>exames de alcoolemia</w:t>
      </w:r>
      <w:r w:rsidRPr="004B5630">
        <w:rPr>
          <w:sz w:val="18"/>
          <w:szCs w:val="18"/>
        </w:rPr>
        <w:t xml:space="preserve">: o AC AVEIPORT/Sindicato 2013 TTP - Aveiro - BTE 21/2019 (cl.34ª; anexo III) e o </w:t>
      </w:r>
      <w:r w:rsidRPr="004B5630">
        <w:rPr>
          <w:rFonts w:cs="Calibri"/>
          <w:sz w:val="18"/>
          <w:szCs w:val="18"/>
        </w:rPr>
        <w:t xml:space="preserve">CC ANIL (Lanifícios) /COFESINT – BTE 40/2019 (cl.68ª) (altera BTE  23/2017). Este último, segue o sentido da Deliberação da Comissão Paritária </w:t>
      </w:r>
      <w:r w:rsidRPr="004B5630">
        <w:rPr>
          <w:sz w:val="18"/>
          <w:szCs w:val="18"/>
        </w:rPr>
        <w:t>do CC ANIL/COFESINT e outra -</w:t>
      </w:r>
      <w:r w:rsidRPr="004B5630">
        <w:rPr>
          <w:rFonts w:cs="Calibri"/>
          <w:sz w:val="18"/>
          <w:szCs w:val="18"/>
        </w:rPr>
        <w:t xml:space="preserve">  </w:t>
      </w:r>
      <w:r w:rsidRPr="004B5630">
        <w:rPr>
          <w:sz w:val="18"/>
          <w:szCs w:val="18"/>
        </w:rPr>
        <w:t>BTE Nº 42/2018</w:t>
      </w:r>
      <w:r w:rsidRPr="004B5630">
        <w:rPr>
          <w:rFonts w:cs="Calibri"/>
          <w:sz w:val="18"/>
          <w:szCs w:val="18"/>
        </w:rPr>
        <w:t>, a qual  já  reforçava a proteção da privacidade do trabalhador e determinava que o</w:t>
      </w:r>
      <w:r w:rsidRPr="004B5630">
        <w:rPr>
          <w:sz w:val="18"/>
          <w:szCs w:val="18"/>
        </w:rPr>
        <w:t xml:space="preserve"> exame de pesquisa de álcool no ar expirado só pode ser efetuado por um médico ou profissional de saúde, que deve informar o trabalhador se está ou não apto para o trabalho, sem quantificar o resultado da pesquisa</w:t>
      </w:r>
      <w:r w:rsidRPr="004B5630">
        <w:rPr>
          <w:rFonts w:cs="Calibri"/>
          <w:sz w:val="18"/>
          <w:szCs w:val="18"/>
        </w:rPr>
        <w:t xml:space="preserve"> (Ver Relatório NC, 2018, pag.97). </w:t>
      </w:r>
      <w:r w:rsidRPr="004B5630">
        <w:rPr>
          <w:sz w:val="18"/>
          <w:szCs w:val="18"/>
        </w:rPr>
        <w:t xml:space="preserve"> </w:t>
      </w:r>
    </w:p>
  </w:footnote>
  <w:footnote w:id="95">
    <w:p w14:paraId="15975814" w14:textId="4FAB99B0" w:rsidR="004B7DBA" w:rsidRPr="004B5630" w:rsidRDefault="004B7DBA" w:rsidP="008F57AA">
      <w:pPr>
        <w:pStyle w:val="Textodenotaderodap"/>
        <w:tabs>
          <w:tab w:val="left" w:pos="426"/>
        </w:tabs>
        <w:ind w:left="426" w:right="-1" w:hanging="426"/>
        <w:rPr>
          <w:sz w:val="18"/>
          <w:szCs w:val="18"/>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cstheme="minorHAnsi"/>
          <w:sz w:val="18"/>
          <w:szCs w:val="18"/>
        </w:rPr>
        <w:t>Por exemplo, CC ANIECA/FECTRANS – BTE 13/2019 (cl.59ª); AE CARRISBUS/SITRA - BTE 20/2019 (cl. 37ª-44ª); AE ViaPorto/STTAMP – BTE 31/2019 (cl 80ª, Anexo V);</w:t>
      </w:r>
      <w:r w:rsidRPr="004B5630">
        <w:rPr>
          <w:sz w:val="18"/>
          <w:szCs w:val="18"/>
        </w:rPr>
        <w:t xml:space="preserve"> AC Indorama Portugal/COFESINT – BTE 31/2019 (cl. 106ª); </w:t>
      </w:r>
      <w:r w:rsidRPr="004B5630">
        <w:rPr>
          <w:rFonts w:cstheme="minorHAnsi"/>
          <w:sz w:val="18"/>
          <w:szCs w:val="18"/>
        </w:rPr>
        <w:t xml:space="preserve">CC ANTRAM/FECTRANS – BTE 45/2019 (cl.73ª); </w:t>
      </w:r>
      <w:r w:rsidRPr="004B5630">
        <w:rPr>
          <w:sz w:val="18"/>
          <w:szCs w:val="18"/>
        </w:rPr>
        <w:t>CC ANIL (Lanifícios)/COFESINT– BTE 40/2019 (cl. 68ª); CC ABIMOTA/SINDEL – BTE 45/2019 (cl.108ª).</w:t>
      </w:r>
    </w:p>
  </w:footnote>
  <w:footnote w:id="96">
    <w:p w14:paraId="6A1AAEA3" w14:textId="77777777" w:rsidR="004B7DBA" w:rsidRPr="004B5630" w:rsidRDefault="004B7DBA" w:rsidP="008F57AA">
      <w:pPr>
        <w:pStyle w:val="Textodenotaderodap"/>
        <w:tabs>
          <w:tab w:val="left" w:pos="426"/>
        </w:tabs>
        <w:ind w:left="426" w:right="-1" w:hanging="426"/>
        <w:rPr>
          <w:rFonts w:cstheme="minorHAnsi"/>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cstheme="minorHAnsi"/>
          <w:sz w:val="18"/>
          <w:szCs w:val="18"/>
        </w:rPr>
        <w:t>CC ANIECA/FECTRANS – BTE 13/2019 e CC ANORECA/FECTRANS – BTE 17/2019 (ambos cl. 59ª); e AE INATEL/SITESE – BTE 6/2019 (cl. 89ª) e paralelos.</w:t>
      </w:r>
    </w:p>
  </w:footnote>
  <w:footnote w:id="97">
    <w:p w14:paraId="1CAA85F9" w14:textId="77777777" w:rsidR="004B7DBA" w:rsidRPr="004B5630" w:rsidRDefault="004B7DBA" w:rsidP="008F57AA">
      <w:pPr>
        <w:pStyle w:val="Textodenotaderodap"/>
        <w:tabs>
          <w:tab w:val="left" w:pos="426"/>
        </w:tabs>
        <w:ind w:left="426" w:right="-1" w:hanging="426"/>
        <w:rPr>
          <w:rFonts w:cstheme="minorHAnsi"/>
          <w:sz w:val="18"/>
          <w:szCs w:val="18"/>
        </w:rPr>
      </w:pPr>
      <w:r w:rsidRPr="004B5630">
        <w:rPr>
          <w:rStyle w:val="Refdenotaderodap"/>
          <w:rFonts w:cstheme="minorHAnsi"/>
          <w:sz w:val="18"/>
          <w:szCs w:val="18"/>
        </w:rPr>
        <w:footnoteRef/>
      </w:r>
      <w:r w:rsidRPr="004B5630">
        <w:rPr>
          <w:rFonts w:cstheme="minorHAnsi"/>
          <w:sz w:val="18"/>
          <w:szCs w:val="18"/>
        </w:rPr>
        <w:t xml:space="preserve"> </w:t>
      </w:r>
      <w:r w:rsidRPr="004B5630">
        <w:rPr>
          <w:rFonts w:cstheme="minorHAnsi"/>
          <w:sz w:val="18"/>
          <w:szCs w:val="18"/>
        </w:rPr>
        <w:tab/>
        <w:t>CC ANIECA/FECTRANS – BTE 13/2019 e CC ANORECA/FECTRANS – BTE 17/2019 (ambos cl. 59ª); CC GROQUIFAR-Farmacêuticos/FIEQUIMETAL - BTE 19/2019 (cl.78ª;</w:t>
      </w:r>
      <w:r w:rsidRPr="004B5630">
        <w:rPr>
          <w:sz w:val="18"/>
          <w:szCs w:val="18"/>
        </w:rPr>
        <w:t xml:space="preserve"> </w:t>
      </w:r>
      <w:r w:rsidRPr="004B5630">
        <w:rPr>
          <w:rFonts w:cstheme="minorHAnsi"/>
          <w:sz w:val="18"/>
          <w:szCs w:val="18"/>
        </w:rPr>
        <w:t>AC AVEIPORT/Sindicato 2013 TTP - Aveiro - BTE 21/2019 (cl.34ª; AE OPERESTIVA/STPSET - BTE 26/2019 (cl.87ª; Anexo III); AE Parques de Sintra/SINTAP – BTE 35/2019 (cl. 66ª); CC ABIMOTA/SINDEL – BTE 45/2019 (cl.108ª).</w:t>
      </w:r>
    </w:p>
  </w:footnote>
  <w:footnote w:id="98">
    <w:p w14:paraId="54E2645E" w14:textId="77777777" w:rsidR="004B7DBA" w:rsidRPr="004B5630" w:rsidRDefault="004B7DBA" w:rsidP="008F57AA">
      <w:pPr>
        <w:pStyle w:val="Textodenotaderodap"/>
        <w:tabs>
          <w:tab w:val="left" w:pos="426"/>
        </w:tabs>
        <w:ind w:left="426" w:right="-1" w:hanging="426"/>
        <w:rPr>
          <w:rFonts w:cstheme="minorHAnsi"/>
          <w:sz w:val="18"/>
          <w:szCs w:val="18"/>
        </w:rPr>
      </w:pPr>
      <w:r w:rsidRPr="004B5630">
        <w:rPr>
          <w:rFonts w:cstheme="minorHAnsi"/>
          <w:sz w:val="18"/>
          <w:szCs w:val="18"/>
          <w:vertAlign w:val="superscript"/>
        </w:rPr>
        <w:footnoteRef/>
      </w:r>
      <w:r w:rsidRPr="004B5630">
        <w:rPr>
          <w:rFonts w:cstheme="minorHAnsi"/>
          <w:sz w:val="18"/>
          <w:szCs w:val="18"/>
          <w:vertAlign w:val="superscript"/>
        </w:rPr>
        <w:t xml:space="preserve"> </w:t>
      </w:r>
      <w:r w:rsidRPr="004B5630">
        <w:rPr>
          <w:rFonts w:cstheme="minorHAnsi"/>
          <w:sz w:val="18"/>
          <w:szCs w:val="18"/>
        </w:rPr>
        <w:tab/>
        <w:t xml:space="preserve">CC ANIECA/FECTRANS – BTE 13/2019 e CC ANORECA/FECTRANS – BTE 17/2019 ambos (cl. 59º); CC ANIL (Lanifícios)/COFESINT– BTE 40/2019 (cl.68ª); CC ANTRAM/FECTRANS – BTE 45/2018 (cl.73ª). </w:t>
      </w:r>
    </w:p>
  </w:footnote>
  <w:footnote w:id="99">
    <w:p w14:paraId="0C314BDC" w14:textId="77777777" w:rsidR="004B7DBA" w:rsidRPr="004B5630" w:rsidRDefault="004B7DBA" w:rsidP="008F57AA">
      <w:pPr>
        <w:pStyle w:val="Textodenotaderodap"/>
        <w:tabs>
          <w:tab w:val="left" w:pos="426"/>
        </w:tabs>
        <w:ind w:left="426" w:right="-1" w:hanging="426"/>
        <w:rPr>
          <w:rFonts w:cstheme="minorHAnsi"/>
          <w:sz w:val="18"/>
          <w:szCs w:val="18"/>
        </w:rPr>
      </w:pPr>
      <w:r w:rsidRPr="004B5630">
        <w:rPr>
          <w:rStyle w:val="Refdenotaderodap"/>
          <w:rFonts w:cstheme="minorHAnsi"/>
          <w:sz w:val="18"/>
          <w:szCs w:val="18"/>
        </w:rPr>
        <w:footnoteRef/>
      </w:r>
      <w:r w:rsidRPr="004B5630">
        <w:rPr>
          <w:rFonts w:cstheme="minorHAnsi"/>
          <w:sz w:val="18"/>
          <w:szCs w:val="18"/>
        </w:rPr>
        <w:t xml:space="preserve"> </w:t>
      </w:r>
      <w:r w:rsidRPr="004B5630">
        <w:rPr>
          <w:rFonts w:cstheme="minorHAnsi"/>
          <w:sz w:val="18"/>
          <w:szCs w:val="18"/>
        </w:rPr>
        <w:tab/>
        <w:t xml:space="preserve">Regulada pela Lei n.º 98/2009, de 4 de setembro. Ver, também, </w:t>
      </w:r>
      <w:r w:rsidRPr="004B5630">
        <w:rPr>
          <w:rFonts w:cstheme="minorHAnsi"/>
          <w:i/>
          <w:sz w:val="18"/>
          <w:szCs w:val="18"/>
        </w:rPr>
        <w:t>infra</w:t>
      </w:r>
      <w:r w:rsidRPr="004B5630">
        <w:rPr>
          <w:rFonts w:cstheme="minorHAnsi"/>
          <w:sz w:val="18"/>
          <w:szCs w:val="18"/>
        </w:rPr>
        <w:t xml:space="preserve"> 4.4.1.1.</w:t>
      </w:r>
    </w:p>
  </w:footnote>
  <w:footnote w:id="100">
    <w:p w14:paraId="5A37E500" w14:textId="22AE5CE5" w:rsidR="004B7DBA" w:rsidRPr="004B5630" w:rsidRDefault="004B7DBA" w:rsidP="008F57AA">
      <w:pPr>
        <w:pStyle w:val="Textodenotaderodap"/>
        <w:tabs>
          <w:tab w:val="left" w:pos="426"/>
        </w:tabs>
        <w:ind w:left="426" w:right="-1" w:hanging="426"/>
        <w:rPr>
          <w:rFonts w:cstheme="minorHAnsi"/>
          <w:sz w:val="18"/>
          <w:szCs w:val="18"/>
        </w:rPr>
      </w:pPr>
      <w:r w:rsidRPr="004B5630">
        <w:rPr>
          <w:rStyle w:val="Refdenotaderodap"/>
          <w:rFonts w:cstheme="minorHAnsi"/>
          <w:sz w:val="18"/>
          <w:szCs w:val="18"/>
        </w:rPr>
        <w:footnoteRef/>
      </w:r>
      <w:r w:rsidRPr="004B5630">
        <w:rPr>
          <w:rFonts w:cstheme="minorHAnsi"/>
          <w:sz w:val="18"/>
          <w:szCs w:val="18"/>
        </w:rPr>
        <w:t xml:space="preserve"> </w:t>
      </w:r>
      <w:r w:rsidRPr="004B5630">
        <w:rPr>
          <w:rFonts w:cstheme="minorHAnsi"/>
          <w:sz w:val="18"/>
          <w:szCs w:val="18"/>
        </w:rPr>
        <w:tab/>
        <w:t xml:space="preserve">Nesse sentido, convenções coletivas do setor segurador e o AE UCS/SIMA – BTE 14/2019 (cl. 69ª ) preveem o pagamento dos custos com assistência médica e medicamentos. </w:t>
      </w:r>
    </w:p>
  </w:footnote>
  <w:footnote w:id="101">
    <w:p w14:paraId="2D59260A" w14:textId="23FA2D61" w:rsidR="004B7DBA" w:rsidRPr="004B5630" w:rsidRDefault="004B7DBA" w:rsidP="00A33910">
      <w:pPr>
        <w:pStyle w:val="Textodenotaderodap"/>
        <w:tabs>
          <w:tab w:val="left" w:pos="426"/>
        </w:tabs>
        <w:ind w:left="425" w:hanging="425"/>
        <w:rPr>
          <w:rStyle w:val="Refdenotaderodap"/>
          <w:sz w:val="18"/>
          <w:szCs w:val="18"/>
          <w:vertAlign w:val="baseline"/>
        </w:rPr>
      </w:pPr>
      <w:r w:rsidRPr="004B5630">
        <w:rPr>
          <w:rStyle w:val="Refdenotaderodap"/>
          <w:rFonts w:cstheme="minorHAnsi"/>
          <w:sz w:val="18"/>
          <w:szCs w:val="18"/>
        </w:rPr>
        <w:footnoteRef/>
      </w:r>
      <w:r w:rsidRPr="004B5630">
        <w:rPr>
          <w:rStyle w:val="Refdenotaderodap"/>
          <w:sz w:val="18"/>
          <w:szCs w:val="18"/>
          <w:vertAlign w:val="baseline"/>
        </w:rPr>
        <w:t xml:space="preserve"> </w:t>
      </w:r>
      <w:r w:rsidRPr="004B5630">
        <w:rPr>
          <w:sz w:val="18"/>
          <w:szCs w:val="18"/>
        </w:rPr>
        <w:tab/>
      </w:r>
      <w:r w:rsidRPr="004B5630">
        <w:rPr>
          <w:rStyle w:val="Refdenotaderodap"/>
          <w:sz w:val="18"/>
          <w:szCs w:val="18"/>
          <w:vertAlign w:val="baseline"/>
        </w:rPr>
        <w:t xml:space="preserve">Em regra, estes trabalhadores passam por um processo de determinação de incapacidade permanente parcial para o trabalho habitual (IPATH). </w:t>
      </w:r>
    </w:p>
  </w:footnote>
  <w:footnote w:id="102">
    <w:p w14:paraId="50151CD5" w14:textId="77777777" w:rsidR="004B7DBA" w:rsidRPr="004B5630" w:rsidRDefault="004B7DBA" w:rsidP="00A33910">
      <w:pPr>
        <w:pStyle w:val="Textodenotaderodap"/>
        <w:tabs>
          <w:tab w:val="left" w:pos="426"/>
        </w:tabs>
        <w:ind w:left="425" w:hanging="425"/>
        <w:rPr>
          <w:rStyle w:val="Refdenotaderodap"/>
          <w:sz w:val="18"/>
          <w:szCs w:val="18"/>
          <w:vertAlign w:val="baseline"/>
        </w:rPr>
      </w:pPr>
      <w:r w:rsidRPr="004B5630">
        <w:rPr>
          <w:rStyle w:val="Refdenotaderodap"/>
          <w:rFonts w:cstheme="minorHAnsi"/>
          <w:sz w:val="18"/>
          <w:szCs w:val="18"/>
        </w:rPr>
        <w:footnoteRef/>
      </w:r>
      <w:r w:rsidRPr="004B5630">
        <w:rPr>
          <w:rStyle w:val="Refdenotaderodap"/>
          <w:sz w:val="18"/>
          <w:szCs w:val="18"/>
          <w:vertAlign w:val="baseline"/>
        </w:rPr>
        <w:t xml:space="preserve"> </w:t>
      </w:r>
      <w:r w:rsidRPr="004B5630">
        <w:rPr>
          <w:rStyle w:val="Refdenotaderodap"/>
          <w:sz w:val="18"/>
          <w:szCs w:val="18"/>
          <w:vertAlign w:val="baseline"/>
        </w:rPr>
        <w:tab/>
        <w:t>Ver arts. 154.º e seguintes</w:t>
      </w:r>
      <w:r w:rsidRPr="004B5630">
        <w:rPr>
          <w:sz w:val="18"/>
          <w:szCs w:val="18"/>
        </w:rPr>
        <w:t>,</w:t>
      </w:r>
      <w:r w:rsidRPr="004B5630">
        <w:rPr>
          <w:rStyle w:val="Refdenotaderodap"/>
          <w:sz w:val="18"/>
          <w:szCs w:val="18"/>
          <w:vertAlign w:val="baseline"/>
        </w:rPr>
        <w:t xml:space="preserve"> da Lei n.º 98/2009.</w:t>
      </w:r>
    </w:p>
  </w:footnote>
  <w:footnote w:id="103">
    <w:p w14:paraId="54FFF0FE" w14:textId="77777777" w:rsidR="004B7DBA" w:rsidRPr="004B5630" w:rsidRDefault="004B7DBA" w:rsidP="00A33910">
      <w:pPr>
        <w:pStyle w:val="Textodenotaderodap"/>
        <w:tabs>
          <w:tab w:val="left" w:pos="426"/>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sz w:val="18"/>
          <w:szCs w:val="18"/>
        </w:rPr>
        <w:t xml:space="preserve"> </w:t>
      </w:r>
      <w:r w:rsidRPr="004B5630">
        <w:rPr>
          <w:rStyle w:val="Refdenotaderodap"/>
          <w:sz w:val="18"/>
          <w:szCs w:val="18"/>
          <w:vertAlign w:val="baseline"/>
        </w:rPr>
        <w:tab/>
        <w:t xml:space="preserve">Ver, por exemplo, AE Europa&amp;C/FIEQUIMETAL – BTE 8/2019 (cl. 6ª); CC APEC/FECTRANS– BTE 9/2019 (cl.57ª); </w:t>
      </w:r>
      <w:r w:rsidRPr="004B5630">
        <w:rPr>
          <w:rStyle w:val="Refdenotaderodap"/>
          <w:rFonts w:cstheme="minorHAnsi"/>
          <w:sz w:val="18"/>
          <w:szCs w:val="18"/>
          <w:vertAlign w:val="baseline"/>
        </w:rPr>
        <w:t>AE A. ENSINO   BENTO J. CARAÇA/FENPROF – BTE 12/2019 (cl.64ª); CC ADCP/SETAAB – BTE 15/2019 (cl. 66ª); AC COOPTOCHA/SETAAB – BTE 18/2019 (cl.32ª); CC GROQUIFAR-Farmacêuticos/ FIEQUIMETAL - BTE 19/2019 (cl. 77ª.); AC Indorama Portugal/COFESINT – BTE 31/2019 (cl. 11ª.); AE SCOTTURB/SITRA -– BTE 35/2019 (cl. 66ª); CC CNIS/FEPCES – BTE 41/2019 (cl.79ª).</w:t>
      </w:r>
    </w:p>
  </w:footnote>
  <w:footnote w:id="104">
    <w:p w14:paraId="79CD2366" w14:textId="77777777" w:rsidR="004B7DBA" w:rsidRPr="004B5630" w:rsidRDefault="004B7DBA" w:rsidP="00A33910">
      <w:pPr>
        <w:pStyle w:val="Textodenotaderodap"/>
        <w:tabs>
          <w:tab w:val="left" w:pos="426"/>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rPr>
        <w:t xml:space="preserve"> </w:t>
      </w:r>
      <w:r w:rsidRPr="004B5630">
        <w:rPr>
          <w:rStyle w:val="Refdenotaderodap"/>
          <w:rFonts w:cstheme="minorHAnsi"/>
          <w:sz w:val="18"/>
          <w:szCs w:val="18"/>
          <w:vertAlign w:val="baseline"/>
        </w:rPr>
        <w:tab/>
        <w:t>Em caso de Incapacidade temporária</w:t>
      </w:r>
      <w:r w:rsidRPr="004B5630">
        <w:rPr>
          <w:rFonts w:cstheme="minorHAnsi"/>
          <w:sz w:val="18"/>
          <w:szCs w:val="18"/>
        </w:rPr>
        <w:t xml:space="preserve">, e </w:t>
      </w:r>
      <w:r w:rsidRPr="004B5630">
        <w:rPr>
          <w:rStyle w:val="Refdenotaderodap"/>
          <w:rFonts w:cstheme="minorHAnsi"/>
          <w:sz w:val="18"/>
          <w:szCs w:val="18"/>
          <w:vertAlign w:val="baseline"/>
        </w:rPr>
        <w:t xml:space="preserve">além de indemnização por acidente de trabalho, o empregador </w:t>
      </w:r>
      <w:r w:rsidRPr="004B5630">
        <w:rPr>
          <w:rFonts w:cstheme="minorHAnsi"/>
          <w:sz w:val="18"/>
          <w:szCs w:val="18"/>
        </w:rPr>
        <w:t xml:space="preserve">pode </w:t>
      </w:r>
      <w:r w:rsidRPr="004B5630">
        <w:rPr>
          <w:rStyle w:val="Refdenotaderodap"/>
          <w:rFonts w:cstheme="minorHAnsi"/>
          <w:sz w:val="18"/>
          <w:szCs w:val="18"/>
          <w:vertAlign w:val="baseline"/>
        </w:rPr>
        <w:t>complementar a diferença de vencimento</w:t>
      </w:r>
      <w:r w:rsidRPr="004B5630">
        <w:rPr>
          <w:rFonts w:cstheme="minorHAnsi"/>
          <w:sz w:val="18"/>
          <w:szCs w:val="18"/>
        </w:rPr>
        <w:t xml:space="preserve"> do trabalhador</w:t>
      </w:r>
      <w:r w:rsidRPr="004B5630">
        <w:rPr>
          <w:rStyle w:val="Refdenotaderodap"/>
          <w:rFonts w:cstheme="minorHAnsi"/>
          <w:sz w:val="18"/>
          <w:szCs w:val="18"/>
          <w:vertAlign w:val="baseline"/>
        </w:rPr>
        <w:t>, ver AE INATEL/SITESE – BTE 6/2019 (cl. 84.º)</w:t>
      </w:r>
      <w:r w:rsidRPr="004B5630">
        <w:rPr>
          <w:rFonts w:cstheme="minorHAnsi"/>
          <w:sz w:val="18"/>
          <w:szCs w:val="18"/>
        </w:rPr>
        <w:t>,</w:t>
      </w:r>
      <w:r w:rsidRPr="004B5630">
        <w:rPr>
          <w:rStyle w:val="Refdenotaderodap"/>
          <w:rFonts w:cstheme="minorHAnsi"/>
          <w:sz w:val="18"/>
          <w:szCs w:val="18"/>
          <w:vertAlign w:val="baseline"/>
        </w:rPr>
        <w:t xml:space="preserve"> e paralelos.</w:t>
      </w:r>
      <w:r w:rsidRPr="004B5630">
        <w:rPr>
          <w:rFonts w:cstheme="minorHAnsi"/>
          <w:sz w:val="18"/>
          <w:szCs w:val="18"/>
        </w:rPr>
        <w:t xml:space="preserve"> </w:t>
      </w:r>
      <w:r w:rsidRPr="004B5630">
        <w:rPr>
          <w:rStyle w:val="Refdenotaderodap"/>
          <w:rFonts w:cstheme="minorHAnsi"/>
          <w:sz w:val="18"/>
          <w:szCs w:val="18"/>
          <w:vertAlign w:val="baseline"/>
        </w:rPr>
        <w:t xml:space="preserve">Em caso </w:t>
      </w:r>
      <w:r w:rsidRPr="004B5630">
        <w:rPr>
          <w:rFonts w:cstheme="minorHAnsi"/>
          <w:sz w:val="18"/>
          <w:szCs w:val="18"/>
        </w:rPr>
        <w:t xml:space="preserve">de Incapacidade permanente  para o trabalho habitual (IPATH), </w:t>
      </w:r>
      <w:r w:rsidRPr="004B5630">
        <w:rPr>
          <w:rStyle w:val="Refdenotaderodap"/>
          <w:rFonts w:cstheme="minorHAnsi"/>
          <w:sz w:val="18"/>
          <w:szCs w:val="18"/>
          <w:vertAlign w:val="baseline"/>
        </w:rPr>
        <w:t xml:space="preserve">o empregador, para além de assegurar o reenquadramento do trabalhador em função compatível, não lhe pode diminuir a remuneração, </w:t>
      </w:r>
      <w:r w:rsidRPr="004B5630">
        <w:rPr>
          <w:rFonts w:cstheme="minorHAnsi"/>
          <w:sz w:val="18"/>
          <w:szCs w:val="18"/>
        </w:rPr>
        <w:t xml:space="preserve">ver </w:t>
      </w:r>
      <w:r w:rsidRPr="004B5630">
        <w:rPr>
          <w:rStyle w:val="Refdenotaderodap"/>
          <w:rFonts w:cstheme="minorHAnsi"/>
          <w:sz w:val="18"/>
          <w:szCs w:val="18"/>
          <w:vertAlign w:val="baseline"/>
        </w:rPr>
        <w:t>AE Europa&amp;C/FIEQUIMETAL – BTE 8/2019 (cl. 6ª); CC ACISTDS/CESP – BTE 13/2019 (cl. 68ª); CC ANORECA/FECTRANS – BTE 17/2019 (cl. 61ª) e AC BRISA/SETACCOP – BTE 36/2019 (cl.74ª) (ver 4.4.8.).</w:t>
      </w:r>
    </w:p>
  </w:footnote>
  <w:footnote w:id="105">
    <w:p w14:paraId="4DD40C2C" w14:textId="77777777" w:rsidR="004B7DBA" w:rsidRPr="004B5630" w:rsidRDefault="004B7DBA" w:rsidP="00A33910">
      <w:pPr>
        <w:pStyle w:val="Textodenotaderodap"/>
        <w:tabs>
          <w:tab w:val="left" w:pos="426"/>
        </w:tabs>
        <w:ind w:left="425" w:hanging="425"/>
        <w:rPr>
          <w:rFonts w:cstheme="minorHAnsi"/>
          <w:sz w:val="18"/>
          <w:szCs w:val="18"/>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Style w:val="Refdenotaderodap"/>
          <w:rFonts w:cstheme="minorHAnsi"/>
          <w:sz w:val="18"/>
          <w:szCs w:val="18"/>
          <w:vertAlign w:val="baseline"/>
        </w:rPr>
        <w:tab/>
        <w:t>Ver</w:t>
      </w:r>
      <w:r w:rsidRPr="004B5630">
        <w:rPr>
          <w:rStyle w:val="Refdenotaderodap"/>
          <w:sz w:val="18"/>
          <w:szCs w:val="18"/>
          <w:vertAlign w:val="baseline"/>
        </w:rPr>
        <w:t>. supra -  Contexto Normativo (2.2.)</w:t>
      </w:r>
      <w:r w:rsidRPr="004B5630">
        <w:rPr>
          <w:rStyle w:val="Refdenotaderodap"/>
          <w:rFonts w:cstheme="minorHAnsi"/>
          <w:sz w:val="18"/>
          <w:szCs w:val="18"/>
          <w:vertAlign w:val="baseline"/>
        </w:rPr>
        <w:t xml:space="preserve"> </w:t>
      </w:r>
    </w:p>
  </w:footnote>
  <w:footnote w:id="106">
    <w:p w14:paraId="5AE3C13C" w14:textId="77777777" w:rsidR="004B7DBA" w:rsidRPr="004B5630" w:rsidRDefault="004B7DBA" w:rsidP="00A33910">
      <w:pPr>
        <w:pStyle w:val="Textodenotaderodap"/>
        <w:tabs>
          <w:tab w:val="left" w:pos="426"/>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Style w:val="Refdenotaderodap"/>
          <w:rFonts w:cstheme="minorHAnsi"/>
          <w:sz w:val="18"/>
          <w:szCs w:val="18"/>
          <w:vertAlign w:val="baseline"/>
        </w:rPr>
        <w:tab/>
        <w:t xml:space="preserve">Quanto à admissão de trabalho a tempo parcial ver o caso dos </w:t>
      </w:r>
      <w:r w:rsidRPr="004B5630">
        <w:rPr>
          <w:rFonts w:cstheme="minorHAnsi"/>
          <w:sz w:val="18"/>
          <w:szCs w:val="18"/>
        </w:rPr>
        <w:t xml:space="preserve">AE </w:t>
      </w:r>
      <w:r w:rsidRPr="004B5630">
        <w:rPr>
          <w:rStyle w:val="Refdenotaderodap"/>
          <w:rFonts w:cstheme="minorHAnsi"/>
          <w:sz w:val="18"/>
          <w:szCs w:val="18"/>
          <w:vertAlign w:val="baseline"/>
        </w:rPr>
        <w:t xml:space="preserve">INATEL/SITESE – todos BTE 6/2019 (cl.4ª) e paralelos, nas situações de parentalidade  e de familiares a seu cargo portadoras de incapacidade. Também o </w:t>
      </w:r>
      <w:r w:rsidRPr="004B5630">
        <w:rPr>
          <w:rStyle w:val="Refdenotaderodap"/>
          <w:sz w:val="18"/>
          <w:szCs w:val="18"/>
          <w:vertAlign w:val="baseline"/>
        </w:rPr>
        <w:t xml:space="preserve">AE Parques de Sintra/SINTAP – BTE 35/2019 (cl. 62ª) </w:t>
      </w:r>
      <w:r w:rsidRPr="004B5630">
        <w:rPr>
          <w:rStyle w:val="Refdenotaderodap"/>
          <w:rFonts w:cstheme="minorHAnsi"/>
          <w:sz w:val="18"/>
          <w:szCs w:val="18"/>
          <w:vertAlign w:val="baseline"/>
        </w:rPr>
        <w:t>dá preferência a concessão de tempo parcial a trabalhadores com responsabilidades familiares</w:t>
      </w:r>
      <w:r w:rsidRPr="004B5630">
        <w:rPr>
          <w:rStyle w:val="Refdenotaderodap"/>
          <w:sz w:val="18"/>
          <w:szCs w:val="18"/>
          <w:vertAlign w:val="baseline"/>
        </w:rPr>
        <w:t>.</w:t>
      </w:r>
    </w:p>
  </w:footnote>
  <w:footnote w:id="107">
    <w:p w14:paraId="6E78FF0C" w14:textId="77777777" w:rsidR="004B7DBA" w:rsidRPr="004B5630" w:rsidRDefault="004B7DBA" w:rsidP="00A33910">
      <w:pPr>
        <w:pStyle w:val="Textodenotaderodap"/>
        <w:tabs>
          <w:tab w:val="left" w:pos="426"/>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Style w:val="Refdenotaderodap"/>
          <w:rFonts w:cstheme="minorHAnsi"/>
          <w:sz w:val="18"/>
          <w:szCs w:val="18"/>
          <w:vertAlign w:val="baseline"/>
        </w:rPr>
        <w:tab/>
        <w:t>Por exemplo, no acesso ao emprego, os</w:t>
      </w:r>
      <w:r w:rsidRPr="004B5630">
        <w:rPr>
          <w:rFonts w:cstheme="minorHAnsi"/>
          <w:sz w:val="18"/>
          <w:szCs w:val="18"/>
        </w:rPr>
        <w:t xml:space="preserve"> AE</w:t>
      </w:r>
      <w:r w:rsidRPr="004B5630">
        <w:rPr>
          <w:rStyle w:val="Refdenotaderodap"/>
          <w:rFonts w:cstheme="minorHAnsi"/>
          <w:sz w:val="18"/>
          <w:szCs w:val="18"/>
          <w:vertAlign w:val="baseline"/>
        </w:rPr>
        <w:t xml:space="preserve"> INATEL/SITESE – BTE 6/2019 (cl.17ª)</w:t>
      </w:r>
      <w:r w:rsidRPr="004B5630">
        <w:rPr>
          <w:rFonts w:cstheme="minorHAnsi"/>
          <w:sz w:val="18"/>
          <w:szCs w:val="18"/>
        </w:rPr>
        <w:t>e paralelos</w:t>
      </w:r>
      <w:r w:rsidRPr="004B5630">
        <w:rPr>
          <w:rStyle w:val="Refdenotaderodap"/>
          <w:rFonts w:cstheme="minorHAnsi"/>
          <w:sz w:val="18"/>
          <w:szCs w:val="18"/>
          <w:vertAlign w:val="baseline"/>
        </w:rPr>
        <w:t xml:space="preserve"> e </w:t>
      </w:r>
      <w:r w:rsidRPr="004B5630">
        <w:rPr>
          <w:rStyle w:val="Refdenotaderodap"/>
          <w:sz w:val="18"/>
          <w:szCs w:val="18"/>
          <w:vertAlign w:val="baseline"/>
        </w:rPr>
        <w:t xml:space="preserve">AE Parques de Sintra/SINTAP – BTE 35/2019 (cl.6ª) </w:t>
      </w:r>
      <w:r w:rsidRPr="004B5630">
        <w:rPr>
          <w:sz w:val="18"/>
          <w:szCs w:val="18"/>
        </w:rPr>
        <w:t>.</w:t>
      </w:r>
    </w:p>
  </w:footnote>
  <w:footnote w:id="108">
    <w:p w14:paraId="32DD70E9" w14:textId="77777777" w:rsidR="004B7DBA" w:rsidRPr="004B5630" w:rsidRDefault="004B7DBA" w:rsidP="00A33910">
      <w:pPr>
        <w:pStyle w:val="Textodenotaderodap"/>
        <w:tabs>
          <w:tab w:val="left" w:pos="426"/>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Style w:val="Refdenotaderodap"/>
          <w:rFonts w:cstheme="minorHAnsi"/>
          <w:sz w:val="18"/>
          <w:szCs w:val="18"/>
          <w:vertAlign w:val="baseline"/>
        </w:rPr>
        <w:tab/>
        <w:t xml:space="preserve">Exemplo, CC AEVP/SINTICABA – BTE 6/2019 (cl. 6.ª, g) e 43ª) [(=) CC AEVP/FESAHT – BTE 29/2018 (cl. 7.ª, g) e 43ª)]. </w:t>
      </w:r>
    </w:p>
  </w:footnote>
  <w:footnote w:id="109">
    <w:p w14:paraId="744176BB" w14:textId="77777777" w:rsidR="004B7DBA" w:rsidRPr="004B5630" w:rsidRDefault="004B7DBA" w:rsidP="00A33910">
      <w:pPr>
        <w:pStyle w:val="Textodenotaderodap"/>
        <w:tabs>
          <w:tab w:val="left" w:pos="426"/>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Style w:val="Refdenotaderodap"/>
          <w:rFonts w:cstheme="minorHAnsi"/>
          <w:sz w:val="18"/>
          <w:szCs w:val="18"/>
          <w:vertAlign w:val="baseline"/>
        </w:rPr>
        <w:tab/>
        <w:t>Ver 4.4.7.2.</w:t>
      </w:r>
    </w:p>
  </w:footnote>
  <w:footnote w:id="110">
    <w:p w14:paraId="0E74C6D8" w14:textId="77777777" w:rsidR="004B7DBA" w:rsidRPr="004B5630" w:rsidRDefault="004B7DBA" w:rsidP="00A33910">
      <w:pPr>
        <w:pStyle w:val="Textodenotaderodap"/>
        <w:tabs>
          <w:tab w:val="left" w:pos="426"/>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Style w:val="Refdenotaderodap"/>
          <w:rFonts w:cstheme="minorHAnsi"/>
          <w:sz w:val="18"/>
          <w:szCs w:val="18"/>
          <w:vertAlign w:val="baseline"/>
        </w:rPr>
        <w:tab/>
        <w:t xml:space="preserve">É o caso do  AE A. ENSINO BENTO J. CARAÇA/FENPROF – BTE 12/2019 (cl69.ª);  e  </w:t>
      </w:r>
      <w:r w:rsidRPr="004B5630">
        <w:rPr>
          <w:rStyle w:val="Refdenotaderodap"/>
          <w:sz w:val="18"/>
          <w:szCs w:val="18"/>
          <w:vertAlign w:val="baseline"/>
        </w:rPr>
        <w:t xml:space="preserve">CC ANIECA/FECTRANS – BTE 13/2019  </w:t>
      </w:r>
      <w:r w:rsidRPr="004B5630">
        <w:rPr>
          <w:rStyle w:val="Refdenotaderodap"/>
          <w:rFonts w:cstheme="minorHAnsi"/>
          <w:sz w:val="18"/>
          <w:szCs w:val="18"/>
          <w:vertAlign w:val="baseline"/>
        </w:rPr>
        <w:t>(cl20ª); AE AIG EUROPE/STAS – BTE 17/2019 (cl.59.º,1)</w:t>
      </w:r>
    </w:p>
  </w:footnote>
  <w:footnote w:id="111">
    <w:p w14:paraId="30FCF6F4" w14:textId="530684D0" w:rsidR="004B7DBA" w:rsidRPr="004B5630" w:rsidRDefault="004B7DBA" w:rsidP="00A33910">
      <w:pPr>
        <w:pStyle w:val="Textodenotaderodap"/>
        <w:tabs>
          <w:tab w:val="left" w:pos="426"/>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Fonts w:cstheme="minorHAnsi"/>
          <w:sz w:val="18"/>
          <w:szCs w:val="18"/>
        </w:rPr>
        <w:tab/>
      </w:r>
      <w:r w:rsidRPr="004B5630">
        <w:rPr>
          <w:rStyle w:val="Refdenotaderodap"/>
          <w:rFonts w:cstheme="minorHAnsi"/>
          <w:sz w:val="18"/>
          <w:szCs w:val="18"/>
          <w:vertAlign w:val="baseline"/>
        </w:rPr>
        <w:t>Encontra-se, pela primeira vez, a referencia ao  direito à proteção de trabalhador vítima de violência doméstica, no AC Infraestruturas de Portugal SNTSF - BTE 22/2019 (cl.15ª) (conteúdo novo, BTE 2/2011)</w:t>
      </w:r>
    </w:p>
  </w:footnote>
  <w:footnote w:id="112">
    <w:p w14:paraId="739AC81A" w14:textId="77777777" w:rsidR="004B7DBA" w:rsidRPr="004B5630" w:rsidRDefault="004B7DBA" w:rsidP="00A33910">
      <w:pPr>
        <w:pStyle w:val="Textodenotaderodap"/>
        <w:tabs>
          <w:tab w:val="left" w:pos="426"/>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Style w:val="Refdenotaderodap"/>
          <w:rFonts w:cstheme="minorHAnsi"/>
          <w:sz w:val="18"/>
          <w:szCs w:val="18"/>
          <w:vertAlign w:val="baseline"/>
        </w:rPr>
        <w:tab/>
        <w:t>Por exemplo, AC COOPTOCHA/SETAAB - BTE18/2019 (cl.32ª)</w:t>
      </w:r>
    </w:p>
  </w:footnote>
  <w:footnote w:id="113">
    <w:p w14:paraId="13FB8901" w14:textId="77777777" w:rsidR="004B7DBA" w:rsidRPr="004B5630" w:rsidRDefault="004B7DBA" w:rsidP="00A33910">
      <w:pPr>
        <w:pStyle w:val="Textodenotaderodap"/>
        <w:tabs>
          <w:tab w:val="left" w:pos="426"/>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Style w:val="Refdenotaderodap"/>
          <w:rFonts w:cstheme="minorHAnsi"/>
          <w:sz w:val="18"/>
          <w:szCs w:val="18"/>
          <w:vertAlign w:val="baseline"/>
        </w:rPr>
        <w:tab/>
        <w:t>Por exemplo, AE LOURES PARQUE/STAL – BTE 7/2019 (cl.19.º), e  CC ADCP/SETAAB – BTE 15/2019 (cl. 54ª).</w:t>
      </w:r>
    </w:p>
  </w:footnote>
  <w:footnote w:id="114">
    <w:p w14:paraId="33C3B312" w14:textId="77777777" w:rsidR="004B7DBA" w:rsidRPr="004B5630" w:rsidRDefault="004B7DBA" w:rsidP="00A33910">
      <w:pPr>
        <w:pStyle w:val="Textodenotaderodap"/>
        <w:tabs>
          <w:tab w:val="left" w:pos="426"/>
        </w:tabs>
        <w:ind w:left="425" w:hanging="425"/>
        <w:rPr>
          <w:rStyle w:val="Refdenotaderodap"/>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Style w:val="Refdenotaderodap"/>
          <w:rFonts w:cstheme="minorHAnsi"/>
          <w:sz w:val="18"/>
          <w:szCs w:val="18"/>
          <w:vertAlign w:val="baseline"/>
        </w:rPr>
        <w:tab/>
        <w:t>Relativamente à competência da CITE, cfr. arts. 63.º, 479.º e 381.º, do CT. De modo diferente, a perspetiva do art. 492.º, 2, d) do CT, e analisada pelo CRL, é a de identificar “medidas que visem a efetiva aplicação do princípio da igualdade e não discriminação”</w:t>
      </w:r>
      <w:r w:rsidRPr="004B5630">
        <w:rPr>
          <w:rStyle w:val="Refdenotaderodap"/>
          <w:sz w:val="18"/>
          <w:szCs w:val="18"/>
          <w:vertAlign w:val="baseline"/>
        </w:rPr>
        <w:t xml:space="preserve"> (supra I. Nota Prévia).</w:t>
      </w:r>
    </w:p>
  </w:footnote>
  <w:footnote w:id="115">
    <w:p w14:paraId="75B98CDB" w14:textId="77777777" w:rsidR="004B7DBA" w:rsidRPr="004B5630" w:rsidRDefault="004B7DBA" w:rsidP="00A33910">
      <w:pPr>
        <w:pStyle w:val="Textodenotaderodap"/>
        <w:tabs>
          <w:tab w:val="left" w:pos="426"/>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Style w:val="Refdenotaderodap"/>
          <w:rFonts w:cstheme="minorHAnsi"/>
          <w:sz w:val="18"/>
          <w:szCs w:val="18"/>
          <w:vertAlign w:val="baseline"/>
        </w:rPr>
        <w:tab/>
        <w:t xml:space="preserve">Em 2018 tinham sido identificadas </w:t>
      </w:r>
      <w:r w:rsidRPr="004B5630">
        <w:rPr>
          <w:rStyle w:val="Refdenotaderodap"/>
          <w:sz w:val="18"/>
          <w:szCs w:val="18"/>
          <w:vertAlign w:val="baseline"/>
        </w:rPr>
        <w:t>58 cláusulas ilegais/discriminatórias e a 75 normas desconformes/ discriminatórias</w:t>
      </w:r>
    </w:p>
  </w:footnote>
  <w:footnote w:id="116">
    <w:p w14:paraId="6A5DAD29" w14:textId="77777777" w:rsidR="004B7DBA" w:rsidRPr="004B5630" w:rsidRDefault="004B7DBA" w:rsidP="00A33910">
      <w:pPr>
        <w:pStyle w:val="Textodenotaderodap"/>
        <w:tabs>
          <w:tab w:val="left" w:pos="426"/>
        </w:tabs>
        <w:ind w:left="425" w:hanging="425"/>
        <w:rPr>
          <w:rFonts w:cstheme="minorHAnsi"/>
          <w:sz w:val="18"/>
          <w:szCs w:val="18"/>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Style w:val="Refdenotaderodap"/>
          <w:rFonts w:cstheme="minorHAnsi"/>
          <w:sz w:val="18"/>
          <w:szCs w:val="18"/>
          <w:vertAlign w:val="baseline"/>
        </w:rPr>
        <w:tab/>
        <w:t xml:space="preserve">Para o efeito, a CITE apreciou todas as convenções coletivas publicadas em BTE (em 2019), num total 316, o que inclui as retificações de IRCT e as publicações sobre a integração em níveis de qualificação. </w:t>
      </w:r>
      <w:r w:rsidRPr="004B5630">
        <w:rPr>
          <w:rStyle w:val="Refdenotaderodap"/>
          <w:sz w:val="18"/>
          <w:szCs w:val="18"/>
          <w:vertAlign w:val="baseline"/>
        </w:rPr>
        <w:t xml:space="preserve">Por outro lado, </w:t>
      </w:r>
      <w:r w:rsidRPr="004B5630">
        <w:rPr>
          <w:rStyle w:val="Refdenotaderodap"/>
          <w:rFonts w:cstheme="minorHAnsi"/>
          <w:sz w:val="18"/>
          <w:szCs w:val="18"/>
          <w:vertAlign w:val="baseline"/>
        </w:rPr>
        <w:t>a CITE não tem conhecimento de jurisprudência que tenha declarado a nulidade de cláusulas convencionais por violação do direito à igualdade e não discriminação no trabalho, nos termos do artigo 479.º do Código do Trabalho, no ano de 2019.</w:t>
      </w:r>
    </w:p>
  </w:footnote>
  <w:footnote w:id="117">
    <w:p w14:paraId="26C8E4A0" w14:textId="496D383B" w:rsidR="004B7DBA" w:rsidRPr="004B5630" w:rsidRDefault="004B7DBA" w:rsidP="00A33910">
      <w:pPr>
        <w:pStyle w:val="Textodenotaderodap"/>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Desenvolvido em 4.4.8.</w:t>
      </w:r>
    </w:p>
  </w:footnote>
  <w:footnote w:id="118">
    <w:p w14:paraId="03F782BB" w14:textId="77777777" w:rsidR="004B7DBA" w:rsidRPr="004B5630" w:rsidRDefault="004B7DBA" w:rsidP="00A33910">
      <w:pPr>
        <w:pStyle w:val="Textodenotaderodap"/>
        <w:tabs>
          <w:tab w:val="left" w:pos="426"/>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Style w:val="Refdenotaderodap"/>
          <w:rFonts w:cstheme="minorHAnsi"/>
          <w:sz w:val="18"/>
          <w:szCs w:val="18"/>
          <w:vertAlign w:val="baseline"/>
        </w:rPr>
        <w:tab/>
        <w:t xml:space="preserve">Sobre a reserva e confidencialidade de mensagens, ver AE PEFACO/FESAHT – BTE 6/2019 (cl.16º e 17ª) e </w:t>
      </w:r>
      <w:r w:rsidRPr="004B5630">
        <w:rPr>
          <w:rStyle w:val="Refdenotaderodap"/>
          <w:sz w:val="18"/>
          <w:szCs w:val="18"/>
          <w:vertAlign w:val="baseline"/>
        </w:rPr>
        <w:t>AE Risto Rail Portugal/FESAHT - BTE 26/2019 (cl. 20ª, 4, e),</w:t>
      </w:r>
      <w:r w:rsidRPr="004B5630">
        <w:rPr>
          <w:rStyle w:val="Refdenotaderodap"/>
          <w:rFonts w:cstheme="minorHAnsi"/>
          <w:sz w:val="18"/>
          <w:szCs w:val="18"/>
          <w:vertAlign w:val="baseline"/>
        </w:rPr>
        <w:t xml:space="preserve"> que regulamentam, igualmente, a reserva da intimidade da vida privada, mas, em contrapartida, o empregador </w:t>
      </w:r>
      <w:r w:rsidRPr="004B5630">
        <w:rPr>
          <w:rFonts w:cstheme="minorHAnsi"/>
          <w:sz w:val="18"/>
          <w:szCs w:val="18"/>
        </w:rPr>
        <w:t xml:space="preserve">pode </w:t>
      </w:r>
      <w:r w:rsidRPr="004B5630">
        <w:rPr>
          <w:rStyle w:val="Refdenotaderodap"/>
          <w:rFonts w:cstheme="minorHAnsi"/>
          <w:sz w:val="18"/>
          <w:szCs w:val="18"/>
          <w:vertAlign w:val="baseline"/>
        </w:rPr>
        <w:t xml:space="preserve">estabelecer regras para uso do correio eletrónico. </w:t>
      </w:r>
    </w:p>
  </w:footnote>
  <w:footnote w:id="119">
    <w:p w14:paraId="495EE0AD" w14:textId="77777777" w:rsidR="004B7DBA" w:rsidRPr="004B5630" w:rsidRDefault="004B7DBA" w:rsidP="00A33910">
      <w:pPr>
        <w:pStyle w:val="Textodenotaderodap"/>
        <w:tabs>
          <w:tab w:val="left" w:pos="426"/>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rPr>
        <w:t xml:space="preserve"> </w:t>
      </w:r>
      <w:r w:rsidRPr="004B5630">
        <w:rPr>
          <w:rStyle w:val="Refdenotaderodap"/>
          <w:rFonts w:cstheme="minorHAnsi"/>
          <w:sz w:val="18"/>
          <w:szCs w:val="18"/>
          <w:vertAlign w:val="baseline"/>
        </w:rPr>
        <w:tab/>
        <w:t>Por exemplo, AE AHBV – ALGÉS/SNBP – BTE 36/2019 (cl.21ª,4 e 5).</w:t>
      </w:r>
    </w:p>
  </w:footnote>
  <w:footnote w:id="120">
    <w:p w14:paraId="57DE3526" w14:textId="77777777" w:rsidR="004B7DBA" w:rsidRPr="004B5630" w:rsidRDefault="004B7DBA" w:rsidP="00A33910">
      <w:pPr>
        <w:pStyle w:val="Textodenotaderodap"/>
        <w:tabs>
          <w:tab w:val="left" w:pos="426"/>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rPr>
        <w:t xml:space="preserve"> </w:t>
      </w:r>
      <w:r w:rsidRPr="004B5630">
        <w:rPr>
          <w:rFonts w:cstheme="minorHAnsi"/>
          <w:sz w:val="18"/>
          <w:szCs w:val="18"/>
        </w:rPr>
        <w:tab/>
      </w:r>
      <w:r w:rsidRPr="004B5630">
        <w:rPr>
          <w:rStyle w:val="Refdenotaderodap"/>
          <w:rFonts w:cstheme="minorHAnsi"/>
          <w:sz w:val="18"/>
          <w:szCs w:val="18"/>
          <w:vertAlign w:val="baseline"/>
        </w:rPr>
        <w:t xml:space="preserve"> Por exemplo, </w:t>
      </w:r>
      <w:r w:rsidRPr="004B5630">
        <w:rPr>
          <w:rStyle w:val="Refdenotaderodap"/>
          <w:sz w:val="18"/>
          <w:szCs w:val="18"/>
          <w:vertAlign w:val="baseline"/>
        </w:rPr>
        <w:t xml:space="preserve">AE Parques de Sintra/SINTAP – BTE 35/2019 (cl. 16ª); </w:t>
      </w:r>
      <w:r w:rsidRPr="004B5630">
        <w:rPr>
          <w:rStyle w:val="Refdenotaderodap"/>
          <w:rFonts w:cstheme="minorHAnsi"/>
          <w:sz w:val="18"/>
          <w:szCs w:val="18"/>
          <w:vertAlign w:val="baseline"/>
        </w:rPr>
        <w:t xml:space="preserve"> </w:t>
      </w:r>
    </w:p>
  </w:footnote>
  <w:footnote w:id="121">
    <w:p w14:paraId="02A9C6A7" w14:textId="77777777" w:rsidR="004B7DBA" w:rsidRPr="004B5630" w:rsidRDefault="004B7DBA" w:rsidP="00A33910">
      <w:pPr>
        <w:pStyle w:val="Textodenotaderodap"/>
        <w:tabs>
          <w:tab w:val="left" w:pos="426"/>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Style w:val="Refdenotaderodap"/>
          <w:rFonts w:cstheme="minorHAnsi"/>
          <w:sz w:val="18"/>
          <w:szCs w:val="18"/>
          <w:vertAlign w:val="baseline"/>
        </w:rPr>
        <w:tab/>
        <w:t>Por exemplo, os CC CNEF/SEPLEU e CNEF/ SIPE – ambos BTE 5/2019 (cl.69.º) remete para as formas de comunicação eletrónica, incluindo para a realização de reuniões, desde que observadas as regras do RGPD</w:t>
      </w:r>
      <w:r w:rsidRPr="004B5630">
        <w:rPr>
          <w:rFonts w:cstheme="minorHAnsi"/>
          <w:sz w:val="18"/>
          <w:szCs w:val="18"/>
        </w:rPr>
        <w:t>.</w:t>
      </w:r>
    </w:p>
  </w:footnote>
  <w:footnote w:id="122">
    <w:p w14:paraId="4636B1F6" w14:textId="77777777" w:rsidR="004B7DBA" w:rsidRPr="004B5630" w:rsidRDefault="004B7DBA" w:rsidP="00A33910">
      <w:pPr>
        <w:pStyle w:val="Textodenotaderodap"/>
        <w:tabs>
          <w:tab w:val="left" w:pos="426"/>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rPr>
        <w:t xml:space="preserve"> </w:t>
      </w:r>
      <w:r w:rsidRPr="004B5630">
        <w:rPr>
          <w:rFonts w:cstheme="minorHAnsi"/>
          <w:sz w:val="18"/>
          <w:szCs w:val="18"/>
        </w:rPr>
        <w:tab/>
      </w:r>
      <w:r w:rsidRPr="004B5630">
        <w:rPr>
          <w:rStyle w:val="Refdenotaderodap"/>
          <w:sz w:val="18"/>
          <w:szCs w:val="18"/>
          <w:vertAlign w:val="baseline"/>
        </w:rPr>
        <w:t>Em 2019 encontramos 2 situações</w:t>
      </w:r>
      <w:r w:rsidRPr="004B5630">
        <w:rPr>
          <w:rStyle w:val="Refdenotaderodap"/>
          <w:rFonts w:cstheme="minorHAnsi"/>
          <w:sz w:val="18"/>
          <w:szCs w:val="18"/>
          <w:vertAlign w:val="baseline"/>
        </w:rPr>
        <w:t>:</w:t>
      </w:r>
      <w:r w:rsidRPr="004B5630">
        <w:rPr>
          <w:rFonts w:cstheme="minorHAnsi"/>
          <w:sz w:val="18"/>
          <w:szCs w:val="18"/>
        </w:rPr>
        <w:t xml:space="preserve"> </w:t>
      </w:r>
      <w:r w:rsidRPr="004B5630">
        <w:rPr>
          <w:rStyle w:val="Refdenotaderodap"/>
          <w:rFonts w:cstheme="minorHAnsi"/>
          <w:sz w:val="18"/>
          <w:szCs w:val="18"/>
          <w:vertAlign w:val="baseline"/>
        </w:rPr>
        <w:t xml:space="preserve">CC ANTRAM/FECTRANS – BTE 45/2019 (cl.72.º) </w:t>
      </w:r>
      <w:r w:rsidRPr="004B5630">
        <w:rPr>
          <w:rStyle w:val="Refdenotaderodap"/>
          <w:sz w:val="18"/>
          <w:szCs w:val="18"/>
          <w:vertAlign w:val="baseline"/>
        </w:rPr>
        <w:t xml:space="preserve">[(=)BTE 34/2018 (cl.65ª)] </w:t>
      </w:r>
      <w:r w:rsidRPr="004B5630">
        <w:rPr>
          <w:sz w:val="18"/>
          <w:szCs w:val="18"/>
        </w:rPr>
        <w:t xml:space="preserve"> e </w:t>
      </w:r>
      <w:r w:rsidRPr="004B5630">
        <w:rPr>
          <w:rStyle w:val="Refdenotaderodap"/>
          <w:rFonts w:cstheme="minorHAnsi"/>
          <w:sz w:val="18"/>
          <w:szCs w:val="18"/>
          <w:vertAlign w:val="baseline"/>
        </w:rPr>
        <w:t>AE AHBV – ALGÉS/SNBP – BTE 36/2019 (cl.21ª,4 e 5).</w:t>
      </w:r>
    </w:p>
  </w:footnote>
  <w:footnote w:id="123">
    <w:p w14:paraId="3B55F42D" w14:textId="77777777" w:rsidR="004B7DBA" w:rsidRPr="004B5630" w:rsidRDefault="004B7DBA" w:rsidP="00A33910">
      <w:pPr>
        <w:pStyle w:val="Textodenotaderodap"/>
        <w:tabs>
          <w:tab w:val="left" w:pos="426"/>
        </w:tabs>
        <w:ind w:left="425" w:hanging="425"/>
        <w:rPr>
          <w:sz w:val="18"/>
          <w:szCs w:val="18"/>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Fonts w:cstheme="minorHAnsi"/>
          <w:sz w:val="18"/>
          <w:szCs w:val="18"/>
        </w:rPr>
        <w:tab/>
      </w:r>
      <w:r w:rsidRPr="004B5630">
        <w:rPr>
          <w:rStyle w:val="Refdenotaderodap"/>
          <w:rFonts w:cstheme="minorHAnsi"/>
          <w:sz w:val="18"/>
          <w:szCs w:val="18"/>
          <w:vertAlign w:val="baseline"/>
        </w:rPr>
        <w:t>AE PEFACO/FESAHT – BTE 6/2019 (cls.15ª,16ª e 17ª); e AE AHBV – ALGÉS/SNBP – BTE 36/2019 (cl.21ª,4 e 5)</w:t>
      </w:r>
    </w:p>
  </w:footnote>
  <w:footnote w:id="124">
    <w:p w14:paraId="6B85299A" w14:textId="77777777" w:rsidR="004B7DBA" w:rsidRPr="004B5630" w:rsidRDefault="004B7DBA" w:rsidP="00A33910">
      <w:pPr>
        <w:pStyle w:val="Textodenotaderodap"/>
        <w:tabs>
          <w:tab w:val="left" w:pos="426"/>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Style w:val="Refdenotaderodap"/>
          <w:rFonts w:cstheme="minorHAnsi"/>
          <w:sz w:val="18"/>
          <w:szCs w:val="18"/>
          <w:vertAlign w:val="baseline"/>
        </w:rPr>
        <w:tab/>
        <w:t>AE INATEL/FESAHT - BTE 6/2019 (cl.102,2ª)</w:t>
      </w:r>
      <w:r w:rsidRPr="004B5630">
        <w:rPr>
          <w:rFonts w:cstheme="minorHAnsi"/>
          <w:sz w:val="18"/>
          <w:szCs w:val="18"/>
        </w:rPr>
        <w:t xml:space="preserve"> e paralelos</w:t>
      </w:r>
    </w:p>
  </w:footnote>
  <w:footnote w:id="125">
    <w:p w14:paraId="6E99EF2E" w14:textId="4896A012" w:rsidR="004B7DBA" w:rsidRPr="004B5630" w:rsidRDefault="004B7DBA" w:rsidP="00A33910">
      <w:pPr>
        <w:pStyle w:val="Textodenotaderodap"/>
        <w:tabs>
          <w:tab w:val="left" w:pos="426"/>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Style w:val="Refdenotaderodap"/>
          <w:rFonts w:cstheme="minorHAnsi"/>
          <w:sz w:val="18"/>
          <w:szCs w:val="18"/>
          <w:vertAlign w:val="baseline"/>
        </w:rPr>
        <w:tab/>
        <w:t xml:space="preserve">Por exemplo, AC COOPTOCHA/SETAAB   e  LACTICOOP/SETAAB –  ambos BTE 18/2019 (cl. cl.75ª  e 58ª, respetivamente ), para conciliação dos diferendos entre empregador e trabalhador [(=)23/2018]. O CC APEC/FECTRANS– BTE 9/2019 </w:t>
      </w:r>
      <w:r w:rsidRPr="004B5630">
        <w:rPr>
          <w:rStyle w:val="Refdenotaderodap"/>
          <w:sz w:val="18"/>
          <w:szCs w:val="18"/>
          <w:vertAlign w:val="baseline"/>
        </w:rPr>
        <w:t>(cl.60ª 51ª)</w:t>
      </w:r>
      <w:r w:rsidRPr="004B5630">
        <w:rPr>
          <w:sz w:val="18"/>
          <w:szCs w:val="18"/>
        </w:rPr>
        <w:t xml:space="preserve">  </w:t>
      </w:r>
      <w:r w:rsidRPr="004B5630">
        <w:rPr>
          <w:rStyle w:val="Refdenotaderodap"/>
          <w:rFonts w:cstheme="minorHAnsi"/>
          <w:sz w:val="18"/>
          <w:szCs w:val="18"/>
          <w:vertAlign w:val="baseline"/>
        </w:rPr>
        <w:t>[(=)</w:t>
      </w:r>
      <w:r w:rsidRPr="004B5630">
        <w:rPr>
          <w:rStyle w:val="Refdenotaderodap"/>
          <w:sz w:val="18"/>
          <w:szCs w:val="18"/>
          <w:vertAlign w:val="baseline"/>
        </w:rPr>
        <w:t>BTE 12/2018], para a</w:t>
      </w:r>
      <w:r w:rsidRPr="004B5630">
        <w:rPr>
          <w:sz w:val="18"/>
          <w:szCs w:val="18"/>
        </w:rPr>
        <w:t xml:space="preserve">s </w:t>
      </w:r>
      <w:r w:rsidRPr="004B5630">
        <w:rPr>
          <w:rStyle w:val="Refdenotaderodap"/>
          <w:sz w:val="18"/>
          <w:szCs w:val="18"/>
          <w:vertAlign w:val="baseline"/>
        </w:rPr>
        <w:t>questões de</w:t>
      </w:r>
      <w:r w:rsidRPr="004B5630">
        <w:rPr>
          <w:rStyle w:val="Refdenotaderodap"/>
          <w:rFonts w:cstheme="minorHAnsi"/>
          <w:sz w:val="18"/>
          <w:szCs w:val="18"/>
          <w:vertAlign w:val="baseline"/>
        </w:rPr>
        <w:t xml:space="preserve">  organização do  tempo trabalho e  carreiras profissionais</w:t>
      </w:r>
      <w:r w:rsidRPr="004B5630">
        <w:rPr>
          <w:rFonts w:cstheme="minorHAnsi"/>
          <w:sz w:val="18"/>
          <w:szCs w:val="18"/>
        </w:rPr>
        <w:t>.</w:t>
      </w:r>
      <w:r w:rsidRPr="004B5630">
        <w:rPr>
          <w:rStyle w:val="Refdenotaderodap"/>
          <w:rFonts w:cstheme="minorHAnsi"/>
          <w:sz w:val="18"/>
          <w:szCs w:val="18"/>
          <w:vertAlign w:val="baseline"/>
        </w:rPr>
        <w:t xml:space="preserve"> </w:t>
      </w:r>
    </w:p>
  </w:footnote>
  <w:footnote w:id="126">
    <w:p w14:paraId="2279A9D4" w14:textId="3A93C4DE" w:rsidR="004B7DBA" w:rsidRPr="004B5630" w:rsidRDefault="004B7DBA" w:rsidP="00A33910">
      <w:pPr>
        <w:pStyle w:val="Textodenotaderodap"/>
        <w:tabs>
          <w:tab w:val="left" w:pos="426"/>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Style w:val="Refdenotaderodap"/>
          <w:rFonts w:cstheme="minorHAnsi"/>
          <w:sz w:val="18"/>
          <w:szCs w:val="18"/>
          <w:vertAlign w:val="baseline"/>
        </w:rPr>
        <w:tab/>
      </w:r>
      <w:r w:rsidRPr="004B5630">
        <w:rPr>
          <w:rFonts w:cstheme="minorHAnsi"/>
          <w:sz w:val="18"/>
          <w:szCs w:val="18"/>
        </w:rPr>
        <w:t xml:space="preserve">Os </w:t>
      </w:r>
      <w:r w:rsidRPr="004B5630">
        <w:rPr>
          <w:rStyle w:val="Refdenotaderodap"/>
          <w:rFonts w:cstheme="minorHAnsi"/>
          <w:sz w:val="18"/>
          <w:szCs w:val="18"/>
          <w:vertAlign w:val="baseline"/>
        </w:rPr>
        <w:t>AC COOPTOCHA/SETAAB e LACTICOOP/SETAAB – ambos BTE 18/2019 (cls. 76ª e 58ª, respetivamente) [(=) BTE 29/2018 e BTE 23/2018</w:t>
      </w:r>
      <w:r w:rsidRPr="004B5630">
        <w:rPr>
          <w:rFonts w:cstheme="minorHAnsi"/>
          <w:sz w:val="18"/>
          <w:szCs w:val="18"/>
        </w:rPr>
        <w:t xml:space="preserve">, respetivamente </w:t>
      </w:r>
      <w:r w:rsidRPr="004B5630">
        <w:rPr>
          <w:rStyle w:val="Refdenotaderodap"/>
          <w:rFonts w:cstheme="minorHAnsi"/>
          <w:sz w:val="18"/>
          <w:szCs w:val="18"/>
          <w:vertAlign w:val="baseline"/>
        </w:rPr>
        <w:t>] e CC ADCP/SETAAB – BTE 15/2019 (cl. 62ª)  [(=)BTE 27/2018].</w:t>
      </w:r>
    </w:p>
  </w:footnote>
  <w:footnote w:id="127">
    <w:p w14:paraId="3074F612" w14:textId="78A83021" w:rsidR="004B7DBA" w:rsidRPr="004B5630" w:rsidRDefault="004B7DBA" w:rsidP="00A33910">
      <w:pPr>
        <w:pStyle w:val="Textodenotaderodap"/>
        <w:tabs>
          <w:tab w:val="left" w:pos="426"/>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Fonts w:cstheme="minorHAnsi"/>
          <w:sz w:val="18"/>
          <w:szCs w:val="18"/>
        </w:rPr>
        <w:tab/>
      </w:r>
      <w:r w:rsidRPr="004B5630">
        <w:rPr>
          <w:rStyle w:val="Refdenotaderodap"/>
          <w:rFonts w:cstheme="minorHAnsi"/>
          <w:sz w:val="18"/>
          <w:szCs w:val="18"/>
          <w:vertAlign w:val="baseline"/>
        </w:rPr>
        <w:t>CC CNEF/SEPLEU e CNEF/ SIPE – BTE 5/2019 (Anexo.I, art. 9º). De modo ligeiramente diferente, AE AAC/CESP - BTE 26/2019 (cl.5ª,4) [</w:t>
      </w:r>
      <w:r w:rsidRPr="004B5630">
        <w:rPr>
          <w:rStyle w:val="Refdenotaderodap"/>
          <w:sz w:val="18"/>
          <w:szCs w:val="18"/>
          <w:vertAlign w:val="baseline"/>
        </w:rPr>
        <w:t>(=) BTE 22/2010], admite o recurso para inst</w:t>
      </w:r>
      <w:r w:rsidRPr="004B5630">
        <w:rPr>
          <w:sz w:val="18"/>
          <w:szCs w:val="18"/>
        </w:rPr>
        <w:t>â</w:t>
      </w:r>
      <w:r w:rsidRPr="004B5630">
        <w:rPr>
          <w:rStyle w:val="Refdenotaderodap"/>
          <w:sz w:val="18"/>
          <w:szCs w:val="18"/>
          <w:vertAlign w:val="baseline"/>
        </w:rPr>
        <w:t xml:space="preserve">ncia arbitral sobre </w:t>
      </w:r>
      <w:r w:rsidRPr="004B5630">
        <w:rPr>
          <w:sz w:val="18"/>
          <w:szCs w:val="18"/>
        </w:rPr>
        <w:t xml:space="preserve">a </w:t>
      </w:r>
      <w:r w:rsidRPr="004B5630">
        <w:rPr>
          <w:rStyle w:val="Refdenotaderodap"/>
          <w:sz w:val="18"/>
          <w:szCs w:val="18"/>
          <w:vertAlign w:val="baseline"/>
        </w:rPr>
        <w:t>oposição, escrita e fundamentada, do empregador quanto a promoção  do trabalhador por avaliação.</w:t>
      </w:r>
    </w:p>
  </w:footnote>
  <w:footnote w:id="128">
    <w:p w14:paraId="1210D208" w14:textId="2B0BC94A" w:rsidR="004B7DBA" w:rsidRPr="004B5630" w:rsidRDefault="004B7DBA" w:rsidP="00A33910">
      <w:pPr>
        <w:pStyle w:val="Textodenotaderodap"/>
        <w:tabs>
          <w:tab w:val="left" w:pos="426"/>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Fonts w:cstheme="minorHAnsi"/>
          <w:sz w:val="18"/>
          <w:szCs w:val="18"/>
        </w:rPr>
        <w:tab/>
      </w:r>
      <w:r w:rsidRPr="004B5630">
        <w:rPr>
          <w:rStyle w:val="Refdenotaderodap"/>
          <w:rFonts w:cstheme="minorHAnsi"/>
          <w:sz w:val="18"/>
          <w:szCs w:val="18"/>
          <w:vertAlign w:val="baseline"/>
        </w:rPr>
        <w:t>AE   INATEL/SINTAP   –   BTE 6/2019 (cl.100ª)</w:t>
      </w:r>
      <w:r w:rsidRPr="004B5630">
        <w:rPr>
          <w:rFonts w:cstheme="minorHAnsi"/>
          <w:sz w:val="18"/>
          <w:szCs w:val="18"/>
        </w:rPr>
        <w:t xml:space="preserve"> e paralelos.</w:t>
      </w:r>
    </w:p>
  </w:footnote>
  <w:footnote w:id="129">
    <w:p w14:paraId="2A5626F1" w14:textId="760588E8" w:rsidR="004B7DBA" w:rsidRPr="004B5630" w:rsidRDefault="004B7DBA" w:rsidP="00670176">
      <w:pPr>
        <w:pStyle w:val="Textodenotaderodap"/>
        <w:ind w:left="426" w:hanging="426"/>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Fonts w:cstheme="minorHAnsi"/>
          <w:sz w:val="18"/>
          <w:szCs w:val="18"/>
        </w:rPr>
        <w:tab/>
      </w:r>
      <w:r w:rsidRPr="004B5630">
        <w:rPr>
          <w:rStyle w:val="Refdenotaderodap"/>
          <w:rFonts w:cstheme="minorHAnsi"/>
          <w:sz w:val="18"/>
          <w:szCs w:val="18"/>
          <w:vertAlign w:val="baseline"/>
        </w:rPr>
        <w:t>CC CNEF/SEPLEU – BTE 5/2019 e CNEF/ SIPE – ambos BTE 5/2019 (cl.64ª) AE A. ENSINO BENTO J. CARAÇA/FENPROF – BTE 12/2019 (cl.75ª)</w:t>
      </w:r>
    </w:p>
  </w:footnote>
  <w:footnote w:id="130">
    <w:p w14:paraId="4620C192" w14:textId="77777777" w:rsidR="004B7DBA" w:rsidRPr="004B5630" w:rsidRDefault="004B7DBA" w:rsidP="00670176">
      <w:pPr>
        <w:pStyle w:val="Textodenotaderodap"/>
        <w:ind w:left="426" w:hanging="426"/>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Style w:val="Refdenotaderodap"/>
          <w:rFonts w:cstheme="minorHAnsi"/>
          <w:sz w:val="18"/>
          <w:szCs w:val="18"/>
          <w:vertAlign w:val="baseline"/>
        </w:rPr>
        <w:tab/>
        <w:t xml:space="preserve">Esta formulação é também dominante em anos anteriores. Algumas convenções acrescentam a proibição do lock-out, por exemplo, AE CARRISTUR/SITRA – BTE 47/2019 (cl.15ª). Já os AE The Navigator Company/COFESINT – BTE 17/2019; e paralelos (todos cl. 26ª), reconhecem o direito à greve, a par do direito ao trabalho dos não aderentes.  </w:t>
      </w:r>
    </w:p>
  </w:footnote>
  <w:footnote w:id="131">
    <w:p w14:paraId="71AEC598" w14:textId="27A4577D" w:rsidR="004B7DBA" w:rsidRPr="004B5630" w:rsidRDefault="004B7DBA" w:rsidP="00670176">
      <w:pPr>
        <w:pStyle w:val="Textodenotaderodap"/>
        <w:tabs>
          <w:tab w:val="left" w:pos="426"/>
        </w:tabs>
        <w:ind w:left="850" w:hanging="850"/>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Style w:val="Refdenotaderodap"/>
          <w:rFonts w:cstheme="minorHAnsi"/>
          <w:sz w:val="18"/>
          <w:szCs w:val="18"/>
          <w:vertAlign w:val="baseline"/>
        </w:rPr>
        <w:tab/>
        <w:t>AE SUCH/FESAHT - BTE 21/2019 (cl.154ª) ver toda a cláusula AE SUCH/FESAHT - BTE 31/2016 (Cl. 154.ª)</w:t>
      </w:r>
      <w:r w:rsidRPr="004B5630">
        <w:rPr>
          <w:rFonts w:cstheme="minorHAnsi"/>
          <w:sz w:val="18"/>
          <w:szCs w:val="18"/>
        </w:rPr>
        <w:t>.</w:t>
      </w:r>
    </w:p>
  </w:footnote>
  <w:footnote w:id="132">
    <w:p w14:paraId="58DF43F7" w14:textId="0CDF43E0" w:rsidR="004B7DBA" w:rsidRPr="004B5630" w:rsidRDefault="004B7DBA" w:rsidP="00670176">
      <w:pPr>
        <w:pStyle w:val="Textodenotaderodap"/>
        <w:ind w:left="426" w:hanging="426"/>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Style w:val="Refdenotaderodap"/>
          <w:rFonts w:cstheme="minorHAnsi"/>
          <w:sz w:val="18"/>
          <w:szCs w:val="18"/>
          <w:vertAlign w:val="baseline"/>
        </w:rPr>
        <w:tab/>
        <w:t>AE Easyjet Airline Company/SNPVAC - BTE 28/2019 (cl.16ª), fixa parâmetros</w:t>
      </w:r>
      <w:r w:rsidRPr="004B5630">
        <w:rPr>
          <w:rFonts w:cstheme="minorHAnsi"/>
          <w:sz w:val="18"/>
          <w:szCs w:val="18"/>
        </w:rPr>
        <w:t xml:space="preserve">, </w:t>
      </w:r>
      <w:r w:rsidRPr="004B5630">
        <w:rPr>
          <w:rStyle w:val="Refdenotaderodap"/>
          <w:rFonts w:cstheme="minorHAnsi"/>
          <w:sz w:val="18"/>
          <w:szCs w:val="18"/>
          <w:vertAlign w:val="baseline"/>
        </w:rPr>
        <w:t>na definição de serviços mínimos: duração da greve - número de voos afetados e respetivos destinos, época do ano</w:t>
      </w:r>
      <w:r w:rsidRPr="004B5630">
        <w:rPr>
          <w:rFonts w:cstheme="minorHAnsi"/>
          <w:sz w:val="18"/>
          <w:szCs w:val="18"/>
        </w:rPr>
        <w:t xml:space="preserve"> - </w:t>
      </w:r>
      <w:r w:rsidRPr="004B5630">
        <w:rPr>
          <w:rStyle w:val="Refdenotaderodap"/>
          <w:rFonts w:cstheme="minorHAnsi"/>
          <w:sz w:val="18"/>
          <w:szCs w:val="18"/>
          <w:vertAlign w:val="baseline"/>
        </w:rPr>
        <w:t xml:space="preserve"> [(=)BTE 6/2016 (n.º 18)].</w:t>
      </w:r>
    </w:p>
  </w:footnote>
  <w:footnote w:id="133">
    <w:p w14:paraId="083F3C5E" w14:textId="06824B1F" w:rsidR="004B7DBA" w:rsidRPr="004B5630" w:rsidRDefault="004B7DBA" w:rsidP="00670176">
      <w:pPr>
        <w:pStyle w:val="Textodenotaderodap"/>
        <w:tabs>
          <w:tab w:val="left" w:pos="426"/>
        </w:tabs>
        <w:ind w:left="850" w:hanging="850"/>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Style w:val="Refdenotaderodap"/>
          <w:rFonts w:cstheme="minorHAnsi"/>
          <w:sz w:val="18"/>
          <w:szCs w:val="18"/>
          <w:vertAlign w:val="baseline"/>
        </w:rPr>
        <w:tab/>
        <w:t>AE AHBV – ALGÉS/SNBP – BTE 36/2019 (cl.29)</w:t>
      </w:r>
      <w:r w:rsidRPr="004B5630">
        <w:rPr>
          <w:rFonts w:cstheme="minorHAnsi"/>
          <w:sz w:val="18"/>
          <w:szCs w:val="18"/>
        </w:rPr>
        <w:t>.</w:t>
      </w:r>
    </w:p>
  </w:footnote>
  <w:footnote w:id="134">
    <w:p w14:paraId="7CFB8942" w14:textId="1A892C51" w:rsidR="004B7DBA" w:rsidRPr="004B5630" w:rsidRDefault="004B7DBA" w:rsidP="00670176">
      <w:pPr>
        <w:pStyle w:val="Textodenotaderodap"/>
        <w:ind w:left="426" w:hanging="426"/>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Fonts w:cstheme="minorHAnsi"/>
          <w:sz w:val="18"/>
          <w:szCs w:val="18"/>
        </w:rPr>
        <w:t xml:space="preserve"> </w:t>
      </w:r>
      <w:r w:rsidRPr="004B5630">
        <w:rPr>
          <w:rFonts w:cstheme="minorHAnsi"/>
          <w:sz w:val="18"/>
          <w:szCs w:val="18"/>
        </w:rPr>
        <w:tab/>
        <w:t xml:space="preserve">No </w:t>
      </w:r>
      <w:r w:rsidRPr="004B5630">
        <w:rPr>
          <w:rStyle w:val="Refdenotaderodap"/>
          <w:rFonts w:cstheme="minorHAnsi"/>
          <w:sz w:val="18"/>
          <w:szCs w:val="18"/>
          <w:vertAlign w:val="baseline"/>
        </w:rPr>
        <w:t>setor portuário, os AE OPERESTIVA/STPSET - BTE26/2019 (cl.108ª) e AC OPERFOZ/SINPORFOZ – BTE 10/2019 (cl.78ª); CC AOP/SINPORSINES – BTE 10/2019 (cl.63º), o sindicato compromete-se a não apresentar pré-aviso de greve sobre as matérias relativas ao AE, salvo incumprimento. Nesse caso, a matéria é previamente apreciada pela comissão paritária (em contrapartida, em caso de greve, o empregador suspende a progressão salarial). Com formulações mais genéricas, da cláusula de paz social,  ver AE ViaPorto/STTAMP – BTE 31/2019 (83ª) e paralelos e AE RYANAIR/SPAC – BTE 48/2019 (3.1.e 10).</w:t>
      </w:r>
    </w:p>
  </w:footnote>
  <w:footnote w:id="135">
    <w:p w14:paraId="2F079ADD" w14:textId="77777777" w:rsidR="004B7DBA" w:rsidRPr="004B5630" w:rsidRDefault="004B7DBA" w:rsidP="00670176">
      <w:pPr>
        <w:pStyle w:val="Textodenotaderodap"/>
        <w:ind w:left="426" w:hanging="426"/>
        <w:rPr>
          <w:rFonts w:cstheme="minorHAnsi"/>
          <w:sz w:val="18"/>
          <w:szCs w:val="18"/>
        </w:rPr>
      </w:pPr>
      <w:r w:rsidRPr="004B5630">
        <w:rPr>
          <w:rStyle w:val="Refdenotaderodap"/>
          <w:rFonts w:cstheme="minorHAnsi"/>
          <w:sz w:val="18"/>
          <w:szCs w:val="18"/>
        </w:rPr>
        <w:t xml:space="preserve"> </w:t>
      </w:r>
      <w:r w:rsidRPr="004B5630">
        <w:rPr>
          <w:rStyle w:val="Refdenotaderodap"/>
          <w:rFonts w:cstheme="minorHAnsi"/>
          <w:sz w:val="18"/>
          <w:szCs w:val="18"/>
        </w:rPr>
        <w:footnoteRef/>
      </w:r>
      <w:r w:rsidRPr="004B5630">
        <w:rPr>
          <w:rFonts w:cstheme="minorHAnsi"/>
          <w:sz w:val="18"/>
          <w:szCs w:val="18"/>
        </w:rPr>
        <w:t xml:space="preserve"> </w:t>
      </w:r>
      <w:r w:rsidRPr="004B5630">
        <w:rPr>
          <w:rFonts w:cstheme="minorHAnsi"/>
          <w:sz w:val="18"/>
          <w:szCs w:val="18"/>
        </w:rPr>
        <w:tab/>
      </w:r>
      <w:r w:rsidRPr="004B5630">
        <w:rPr>
          <w:rStyle w:val="Refdenotaderodap"/>
          <w:rFonts w:cstheme="minorHAnsi"/>
          <w:sz w:val="18"/>
          <w:szCs w:val="18"/>
          <w:vertAlign w:val="baseline"/>
        </w:rPr>
        <w:t xml:space="preserve">Por outro lado, </w:t>
      </w:r>
      <w:r w:rsidRPr="004B5630">
        <w:rPr>
          <w:rFonts w:cstheme="minorHAnsi"/>
          <w:sz w:val="18"/>
          <w:szCs w:val="18"/>
        </w:rPr>
        <w:t>o</w:t>
      </w:r>
      <w:r w:rsidRPr="004B5630">
        <w:rPr>
          <w:rStyle w:val="Refdenotaderodap"/>
          <w:rFonts w:cstheme="minorHAnsi"/>
          <w:sz w:val="18"/>
          <w:szCs w:val="18"/>
          <w:vertAlign w:val="baseline"/>
        </w:rPr>
        <w:t xml:space="preserve"> art. 537º</w:t>
      </w:r>
      <w:r w:rsidRPr="004B5630">
        <w:rPr>
          <w:rFonts w:cstheme="minorHAnsi"/>
          <w:sz w:val="18"/>
          <w:szCs w:val="18"/>
        </w:rPr>
        <w:t xml:space="preserve">,2 e 3, </w:t>
      </w:r>
      <w:r w:rsidRPr="004B5630">
        <w:rPr>
          <w:rStyle w:val="Refdenotaderodap"/>
          <w:rFonts w:cstheme="minorHAnsi"/>
          <w:sz w:val="18"/>
          <w:szCs w:val="18"/>
          <w:vertAlign w:val="baseline"/>
        </w:rPr>
        <w:t>CT</w:t>
      </w:r>
      <w:r w:rsidRPr="004B5630">
        <w:rPr>
          <w:rFonts w:cstheme="minorHAnsi"/>
          <w:sz w:val="18"/>
          <w:szCs w:val="18"/>
        </w:rPr>
        <w:t>,</w:t>
      </w:r>
      <w:r w:rsidRPr="004B5630">
        <w:rPr>
          <w:rStyle w:val="Refdenotaderodap"/>
          <w:rFonts w:cstheme="minorHAnsi"/>
          <w:sz w:val="18"/>
          <w:szCs w:val="18"/>
          <w:vertAlign w:val="baseline"/>
        </w:rPr>
        <w:t xml:space="preserve"> admite a fixaç</w:t>
      </w:r>
      <w:r w:rsidRPr="004B5630">
        <w:rPr>
          <w:rFonts w:cstheme="minorHAnsi"/>
          <w:sz w:val="18"/>
          <w:szCs w:val="18"/>
        </w:rPr>
        <w:t>ão dos</w:t>
      </w:r>
      <w:r w:rsidRPr="004B5630">
        <w:rPr>
          <w:rStyle w:val="Refdenotaderodap"/>
          <w:rFonts w:cstheme="minorHAnsi"/>
          <w:sz w:val="18"/>
          <w:szCs w:val="18"/>
          <w:vertAlign w:val="baseline"/>
        </w:rPr>
        <w:t xml:space="preserve"> serviços mínimos, por acordo entre os representantes dos trabalhadores e empregadores abrangidos pelo respetivo pré-aviso de greve. </w:t>
      </w:r>
      <w:r w:rsidRPr="004B5630">
        <w:rPr>
          <w:rFonts w:cstheme="minorHAnsi"/>
          <w:sz w:val="18"/>
          <w:szCs w:val="18"/>
        </w:rPr>
        <w:t xml:space="preserve">Nesse sentido, </w:t>
      </w:r>
      <w:r w:rsidRPr="004B5630">
        <w:rPr>
          <w:rStyle w:val="Refdenotaderodap"/>
          <w:rFonts w:cstheme="minorHAnsi"/>
          <w:sz w:val="18"/>
          <w:szCs w:val="18"/>
          <w:vertAlign w:val="baseline"/>
        </w:rPr>
        <w:t>segundo dados da DGERT, em 2019, foram promovidos 43 acordos, relativamente a setores identificados nas alíneas a),b)</w:t>
      </w:r>
      <w:r w:rsidRPr="004B5630">
        <w:rPr>
          <w:rFonts w:cstheme="minorHAnsi"/>
          <w:sz w:val="18"/>
          <w:szCs w:val="18"/>
        </w:rPr>
        <w:t>,</w:t>
      </w:r>
      <w:r w:rsidRPr="004B5630">
        <w:rPr>
          <w:rStyle w:val="Refdenotaderodap"/>
          <w:rFonts w:cstheme="minorHAnsi"/>
          <w:sz w:val="18"/>
          <w:szCs w:val="18"/>
          <w:vertAlign w:val="baseline"/>
        </w:rPr>
        <w:t>c) e</w:t>
      </w:r>
      <w:r w:rsidRPr="004B5630">
        <w:rPr>
          <w:rFonts w:cstheme="minorHAnsi"/>
          <w:sz w:val="18"/>
          <w:szCs w:val="18"/>
        </w:rPr>
        <w:t xml:space="preserve"> </w:t>
      </w:r>
      <w:r w:rsidRPr="004B5630">
        <w:rPr>
          <w:rStyle w:val="Refdenotaderodap"/>
          <w:rFonts w:cstheme="minorHAnsi"/>
          <w:sz w:val="18"/>
          <w:szCs w:val="18"/>
          <w:vertAlign w:val="baseline"/>
        </w:rPr>
        <w:t>h), do n.º2, do art. 537.º, CT.</w:t>
      </w:r>
      <w:r w:rsidRPr="004B5630">
        <w:rPr>
          <w:rFonts w:eastAsia="Calibri"/>
          <w:sz w:val="18"/>
          <w:szCs w:val="18"/>
        </w:rPr>
        <w:t xml:space="preserve"> </w:t>
      </w:r>
    </w:p>
    <w:p w14:paraId="51CCE0AF" w14:textId="3663D27D" w:rsidR="004B7DBA" w:rsidRPr="004B5630" w:rsidRDefault="004B7DBA" w:rsidP="00670176">
      <w:pPr>
        <w:pStyle w:val="Textodenotaderodap"/>
        <w:ind w:left="426" w:hanging="426"/>
        <w:rPr>
          <w:sz w:val="18"/>
          <w:szCs w:val="18"/>
        </w:rPr>
      </w:pPr>
      <w:r w:rsidRPr="004B5630">
        <w:rPr>
          <w:rFonts w:cstheme="minorHAnsi"/>
          <w:sz w:val="18"/>
          <w:szCs w:val="18"/>
        </w:rPr>
        <w:tab/>
        <w:t xml:space="preserve">Recorde-se que fixavam </w:t>
      </w:r>
      <w:r w:rsidRPr="004B5630">
        <w:rPr>
          <w:rStyle w:val="Refdenotaderodap"/>
          <w:rFonts w:cstheme="minorHAnsi"/>
          <w:sz w:val="18"/>
          <w:szCs w:val="18"/>
          <w:vertAlign w:val="baseline"/>
        </w:rPr>
        <w:t>o conteúdo de serviços mínimos</w:t>
      </w:r>
      <w:r w:rsidRPr="004B5630">
        <w:rPr>
          <w:rFonts w:cstheme="minorHAnsi"/>
          <w:sz w:val="18"/>
          <w:szCs w:val="18"/>
        </w:rPr>
        <w:t xml:space="preserve">: </w:t>
      </w:r>
      <w:r w:rsidRPr="004B5630">
        <w:rPr>
          <w:rStyle w:val="Refdenotaderodap"/>
          <w:rFonts w:cstheme="minorHAnsi"/>
          <w:sz w:val="18"/>
          <w:szCs w:val="18"/>
          <w:vertAlign w:val="baseline"/>
        </w:rPr>
        <w:t xml:space="preserve"> quatro convenções em 2016</w:t>
      </w:r>
      <w:r w:rsidRPr="004B5630">
        <w:rPr>
          <w:rFonts w:cstheme="minorHAnsi"/>
          <w:sz w:val="18"/>
          <w:szCs w:val="18"/>
        </w:rPr>
        <w:t>,</w:t>
      </w:r>
      <w:r w:rsidRPr="004B5630">
        <w:rPr>
          <w:rStyle w:val="Refdenotaderodap"/>
          <w:rFonts w:cstheme="minorHAnsi"/>
          <w:sz w:val="18"/>
          <w:szCs w:val="18"/>
          <w:vertAlign w:val="baseline"/>
        </w:rPr>
        <w:t xml:space="preserve"> </w:t>
      </w:r>
      <w:r w:rsidRPr="004B5630">
        <w:rPr>
          <w:rFonts w:cstheme="minorHAnsi"/>
          <w:sz w:val="18"/>
          <w:szCs w:val="18"/>
        </w:rPr>
        <w:t xml:space="preserve"> nenhuma </w:t>
      </w:r>
      <w:r w:rsidRPr="004B5630">
        <w:rPr>
          <w:rStyle w:val="Refdenotaderodap"/>
          <w:rFonts w:cstheme="minorHAnsi"/>
          <w:sz w:val="18"/>
          <w:szCs w:val="18"/>
          <w:vertAlign w:val="baseline"/>
        </w:rPr>
        <w:t xml:space="preserve">em 2017 e seis  em 2018. </w:t>
      </w:r>
      <w:r w:rsidRPr="004B5630">
        <w:rPr>
          <w:sz w:val="18"/>
          <w:szCs w:val="18"/>
        </w:rPr>
        <w:t xml:space="preserve">Cfr. CRL, Relatório Anual sobre a Evolução da Negociação Coletiva em 2018, págs. 103 e 104, </w:t>
      </w:r>
      <w:hyperlink r:id="rId14" w:history="1">
        <w:r w:rsidRPr="004B5630">
          <w:rPr>
            <w:rStyle w:val="Hiperligao"/>
            <w:color w:val="0070C0"/>
            <w:sz w:val="18"/>
            <w:szCs w:val="18"/>
          </w:rPr>
          <w:t>https://www.crlaborais.pt</w:t>
        </w:r>
      </w:hyperlink>
      <w:r w:rsidRPr="004B5630">
        <w:rPr>
          <w:color w:val="0070C0"/>
          <w:sz w:val="18"/>
          <w:szCs w:val="18"/>
        </w:rPr>
        <w:t>.</w:t>
      </w:r>
      <w:r w:rsidRPr="004B5630">
        <w:rPr>
          <w:rFonts w:eastAsia="Calibri"/>
          <w:sz w:val="18"/>
          <w:szCs w:val="18"/>
        </w:rPr>
        <w:t xml:space="preserve"> </w:t>
      </w:r>
    </w:p>
  </w:footnote>
  <w:footnote w:id="136">
    <w:p w14:paraId="06AF5625" w14:textId="49C9BC0E" w:rsidR="004B7DBA" w:rsidRPr="004B5630" w:rsidRDefault="004B7DBA" w:rsidP="00670176">
      <w:pPr>
        <w:pStyle w:val="Textodenotaderodap"/>
        <w:tabs>
          <w:tab w:val="left" w:pos="426"/>
        </w:tabs>
        <w:ind w:left="850" w:hanging="850"/>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Fonts w:cstheme="minorHAnsi"/>
          <w:sz w:val="18"/>
          <w:szCs w:val="18"/>
        </w:rPr>
        <w:tab/>
      </w:r>
      <w:r w:rsidRPr="004B5630">
        <w:rPr>
          <w:rStyle w:val="Refdenotaderodap"/>
          <w:rFonts w:cstheme="minorHAnsi"/>
          <w:sz w:val="18"/>
          <w:szCs w:val="18"/>
          <w:vertAlign w:val="baseline"/>
        </w:rPr>
        <w:t>AE SUCH/FESAHT - BTE 21/2019 (cl.154ª) [(=) AE SUCH/FESAHT - BTE 31/2016 ]</w:t>
      </w:r>
      <w:r w:rsidRPr="004B5630">
        <w:rPr>
          <w:rFonts w:cstheme="minorHAnsi"/>
          <w:sz w:val="18"/>
          <w:szCs w:val="18"/>
        </w:rPr>
        <w:t>.</w:t>
      </w:r>
    </w:p>
  </w:footnote>
  <w:footnote w:id="137">
    <w:p w14:paraId="0F887055" w14:textId="4105B7A5" w:rsidR="004B7DBA" w:rsidRPr="004B5630" w:rsidRDefault="004B7DBA" w:rsidP="00670176">
      <w:pPr>
        <w:pStyle w:val="Textodenotaderodap"/>
        <w:tabs>
          <w:tab w:val="left" w:pos="426"/>
        </w:tabs>
        <w:ind w:left="850" w:hanging="850"/>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Fonts w:cstheme="minorHAnsi"/>
          <w:sz w:val="18"/>
          <w:szCs w:val="18"/>
        </w:rPr>
        <w:tab/>
      </w:r>
      <w:r w:rsidRPr="004B5630">
        <w:rPr>
          <w:rStyle w:val="Refdenotaderodap"/>
          <w:rFonts w:cstheme="minorHAnsi"/>
          <w:sz w:val="18"/>
          <w:szCs w:val="18"/>
          <w:vertAlign w:val="baseline"/>
        </w:rPr>
        <w:t>Sobre a análise do regime de caducidade e sobrevigência ver infra ponto 4.4.4.4.</w:t>
      </w:r>
    </w:p>
  </w:footnote>
  <w:footnote w:id="138">
    <w:p w14:paraId="004A2AC6" w14:textId="13631D65" w:rsidR="004B7DBA" w:rsidRPr="004B5630" w:rsidRDefault="004B7DBA" w:rsidP="00670176">
      <w:pPr>
        <w:pStyle w:val="Textodenotaderodap"/>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Fonts w:cstheme="minorHAnsi"/>
          <w:sz w:val="18"/>
          <w:szCs w:val="18"/>
        </w:rPr>
        <w:tab/>
      </w:r>
      <w:r w:rsidRPr="004B5630">
        <w:rPr>
          <w:rStyle w:val="Refdenotaderodap"/>
          <w:rFonts w:cstheme="minorHAnsi"/>
          <w:sz w:val="18"/>
          <w:szCs w:val="18"/>
          <w:vertAlign w:val="baseline"/>
        </w:rPr>
        <w:t>Encontram-se 12 revisões parciais que determinam</w:t>
      </w:r>
      <w:r w:rsidRPr="004B5630">
        <w:rPr>
          <w:rFonts w:cstheme="minorHAnsi"/>
          <w:sz w:val="18"/>
          <w:szCs w:val="18"/>
        </w:rPr>
        <w:t xml:space="preserve">, igualmente, </w:t>
      </w:r>
      <w:r w:rsidRPr="004B5630">
        <w:rPr>
          <w:rStyle w:val="Refdenotaderodap"/>
          <w:rFonts w:cstheme="minorHAnsi"/>
          <w:sz w:val="18"/>
          <w:szCs w:val="18"/>
          <w:vertAlign w:val="baseline"/>
        </w:rPr>
        <w:t>as atribuições de comissões paritárias.</w:t>
      </w:r>
    </w:p>
  </w:footnote>
  <w:footnote w:id="139">
    <w:p w14:paraId="3857A2C1" w14:textId="445B53C7" w:rsidR="004B7DBA" w:rsidRPr="004B5630" w:rsidRDefault="004B7DBA" w:rsidP="00A33910">
      <w:pPr>
        <w:pStyle w:val="Textodenotaderodap"/>
        <w:tabs>
          <w:tab w:val="left" w:pos="426"/>
          <w:tab w:val="left" w:pos="567"/>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Fonts w:cstheme="minorHAnsi"/>
          <w:sz w:val="18"/>
          <w:szCs w:val="18"/>
        </w:rPr>
        <w:tab/>
      </w:r>
      <w:r w:rsidRPr="004B5630">
        <w:rPr>
          <w:rStyle w:val="Refdenotaderodap"/>
          <w:rFonts w:cstheme="minorHAnsi"/>
          <w:sz w:val="18"/>
          <w:szCs w:val="18"/>
          <w:vertAlign w:val="baseline"/>
        </w:rPr>
        <w:t>Por exemplo, IBERLIM AE IBERLIM (l.aeronaves) /STAD e AE IBERLIM (l. hospitais) /STAD – ambos BTE5/2019 (cl10ª)</w:t>
      </w:r>
      <w:r w:rsidRPr="004B5630">
        <w:rPr>
          <w:rFonts w:cstheme="minorHAnsi"/>
          <w:sz w:val="18"/>
          <w:szCs w:val="18"/>
        </w:rPr>
        <w:t>.</w:t>
      </w:r>
      <w:r w:rsidRPr="004B5630">
        <w:rPr>
          <w:rStyle w:val="Refdenotaderodap"/>
          <w:rFonts w:cstheme="minorHAnsi"/>
          <w:sz w:val="18"/>
          <w:szCs w:val="18"/>
          <w:vertAlign w:val="baseline"/>
        </w:rPr>
        <w:t xml:space="preserve"> </w:t>
      </w:r>
    </w:p>
  </w:footnote>
  <w:footnote w:id="140">
    <w:p w14:paraId="150BA221" w14:textId="2CA1DD0C" w:rsidR="004B7DBA" w:rsidRPr="004B5630" w:rsidRDefault="004B7DBA" w:rsidP="00A33910">
      <w:pPr>
        <w:pStyle w:val="Textodenotaderodap"/>
        <w:tabs>
          <w:tab w:val="left" w:pos="284"/>
          <w:tab w:val="left" w:pos="567"/>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Fonts w:cstheme="minorHAnsi"/>
          <w:sz w:val="18"/>
          <w:szCs w:val="18"/>
        </w:rPr>
        <w:tab/>
      </w:r>
      <w:r w:rsidRPr="004B5630">
        <w:rPr>
          <w:rFonts w:cstheme="minorHAnsi"/>
          <w:sz w:val="18"/>
          <w:szCs w:val="18"/>
        </w:rPr>
        <w:tab/>
      </w:r>
      <w:r w:rsidRPr="004B5630">
        <w:rPr>
          <w:rStyle w:val="Refdenotaderodap"/>
          <w:rFonts w:cstheme="minorHAnsi"/>
          <w:sz w:val="18"/>
          <w:szCs w:val="18"/>
          <w:vertAlign w:val="baseline"/>
        </w:rPr>
        <w:t>Exemplo, CARREIRAS: CC ANILACT/SPLAAESTRMMCCM – BTE10/2019 (cl.46.º,2); AE CARRISTUR/SITRA – BTE 47/2019 (cl. (14ª,n; 71ª,4b), prevê competência para aprovar novas classes ou categorias e apreciar duvidas sobre aplicação de regimes Transitório (72ª,3)</w:t>
      </w:r>
      <w:r w:rsidRPr="004B5630">
        <w:rPr>
          <w:rFonts w:cstheme="minorHAnsi"/>
          <w:sz w:val="18"/>
          <w:szCs w:val="18"/>
        </w:rPr>
        <w:t>.</w:t>
      </w:r>
    </w:p>
  </w:footnote>
  <w:footnote w:id="141">
    <w:p w14:paraId="7A578FF2" w14:textId="0FF1F846" w:rsidR="004B7DBA" w:rsidRPr="004B5630" w:rsidRDefault="004B7DBA" w:rsidP="00A33910">
      <w:pPr>
        <w:pStyle w:val="Textodenotaderodap"/>
        <w:tabs>
          <w:tab w:val="left" w:pos="426"/>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Fonts w:cstheme="minorHAnsi"/>
          <w:sz w:val="18"/>
          <w:szCs w:val="18"/>
        </w:rPr>
        <w:tab/>
        <w:t xml:space="preserve">Com competência para </w:t>
      </w:r>
      <w:r w:rsidRPr="004B5630">
        <w:rPr>
          <w:rStyle w:val="Refdenotaderodap"/>
          <w:rFonts w:cstheme="minorHAnsi"/>
          <w:sz w:val="18"/>
          <w:szCs w:val="18"/>
          <w:vertAlign w:val="baseline"/>
        </w:rPr>
        <w:t xml:space="preserve"> propor a criação de novas profissões</w:t>
      </w:r>
      <w:r w:rsidRPr="004B5630">
        <w:rPr>
          <w:rFonts w:cstheme="minorHAnsi"/>
          <w:sz w:val="18"/>
          <w:szCs w:val="18"/>
        </w:rPr>
        <w:t xml:space="preserve">, ver </w:t>
      </w:r>
      <w:r w:rsidRPr="004B5630">
        <w:rPr>
          <w:rStyle w:val="Refdenotaderodap"/>
          <w:rFonts w:cstheme="minorHAnsi"/>
          <w:sz w:val="18"/>
          <w:szCs w:val="18"/>
          <w:vertAlign w:val="baseline"/>
        </w:rPr>
        <w:t>CC AESIRF/ASSP - BTE 26/2019 (cl.83ª,2); AE A. ENSINO BENTO J. CARAÇA/FENPROF – BTE 12/2019 (cl.77ª) e CC AABA/SETAAB – BTE 11/2019 (cl.94ª,1,c)); e, em sentido inverso, para extinguir categorias profissionais o CC ACIBARCELOS/SITSECCVAC - BTE 27/2019 (cl.77ª)</w:t>
      </w:r>
      <w:r w:rsidRPr="004B5630">
        <w:rPr>
          <w:rFonts w:cstheme="minorHAnsi"/>
          <w:sz w:val="18"/>
          <w:szCs w:val="18"/>
        </w:rPr>
        <w:t>.</w:t>
      </w:r>
    </w:p>
  </w:footnote>
  <w:footnote w:id="142">
    <w:p w14:paraId="0C3A2D74" w14:textId="3A812CC0" w:rsidR="004B7DBA" w:rsidRPr="004B5630" w:rsidRDefault="004B7DBA" w:rsidP="00A33910">
      <w:pPr>
        <w:pStyle w:val="Textodenotaderodap"/>
        <w:tabs>
          <w:tab w:val="left" w:pos="426"/>
          <w:tab w:val="left" w:pos="567"/>
        </w:tabs>
        <w:ind w:left="425" w:hanging="425"/>
        <w:rPr>
          <w:rFonts w:cstheme="minorHAnsi"/>
          <w:sz w:val="18"/>
          <w:szCs w:val="18"/>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Fonts w:cstheme="minorHAnsi"/>
          <w:sz w:val="18"/>
          <w:szCs w:val="18"/>
        </w:rPr>
        <w:tab/>
        <w:t>Em geral, ver</w:t>
      </w:r>
      <w:r w:rsidRPr="004B5630">
        <w:rPr>
          <w:rStyle w:val="Refdenotaderodap"/>
          <w:rFonts w:cstheme="minorHAnsi"/>
          <w:sz w:val="18"/>
          <w:szCs w:val="18"/>
          <w:vertAlign w:val="baseline"/>
        </w:rPr>
        <w:t xml:space="preserve"> CC APEC/ FECTRANS - BTE 9/2019 (60ª, 4.c) e 51ª e 52) [(=)BTE 12/2018]; CC ADCP/SETAAB – BTE 15/2019 (cl.</w:t>
      </w:r>
      <w:r w:rsidRPr="004B5630">
        <w:rPr>
          <w:rFonts w:cstheme="minorHAnsi"/>
          <w:sz w:val="18"/>
          <w:szCs w:val="18"/>
        </w:rPr>
        <w:t>60ª-62ª</w:t>
      </w:r>
      <w:r w:rsidRPr="004B5630">
        <w:rPr>
          <w:rStyle w:val="Refdenotaderodap"/>
          <w:rFonts w:cstheme="minorHAnsi"/>
          <w:sz w:val="18"/>
          <w:szCs w:val="18"/>
          <w:vertAlign w:val="baseline"/>
        </w:rPr>
        <w:t>) [(=)BTE 27/2018]. O AE BMO PORTUGAL/SNQTB – BTE 5/2019 (cl134.º,2.), refere-se a apreciação de conflitos relativos a organização e gestão de tempos de trabalho (nomeadamente,</w:t>
      </w:r>
      <w:r w:rsidRPr="004B5630">
        <w:rPr>
          <w:rFonts w:cstheme="minorHAnsi"/>
          <w:sz w:val="18"/>
          <w:szCs w:val="18"/>
        </w:rPr>
        <w:t xml:space="preserve"> sobre </w:t>
      </w:r>
      <w:r w:rsidRPr="004B5630">
        <w:rPr>
          <w:rStyle w:val="Refdenotaderodap"/>
          <w:rFonts w:cstheme="minorHAnsi"/>
          <w:sz w:val="18"/>
          <w:szCs w:val="18"/>
          <w:vertAlign w:val="baseline"/>
        </w:rPr>
        <w:t>compensação de horas</w:t>
      </w:r>
      <w:r w:rsidRPr="004B5630">
        <w:rPr>
          <w:rFonts w:cstheme="minorHAnsi"/>
          <w:sz w:val="18"/>
          <w:szCs w:val="18"/>
        </w:rPr>
        <w:t>)</w:t>
      </w:r>
      <w:r w:rsidRPr="004B5630">
        <w:rPr>
          <w:rStyle w:val="Refdenotaderodap"/>
          <w:rFonts w:cstheme="minorHAnsi"/>
          <w:sz w:val="18"/>
          <w:szCs w:val="18"/>
          <w:vertAlign w:val="baseline"/>
        </w:rPr>
        <w:t xml:space="preserve"> [(=)AE F&amp;C Portugal/SBSI – BTE 9/2018</w:t>
      </w:r>
      <w:r w:rsidRPr="004B5630">
        <w:rPr>
          <w:rStyle w:val="Refdenotaderodap"/>
          <w:sz w:val="18"/>
          <w:szCs w:val="18"/>
          <w:vertAlign w:val="baseline"/>
        </w:rPr>
        <w:t xml:space="preserve"> </w:t>
      </w:r>
      <w:r w:rsidRPr="004B5630">
        <w:rPr>
          <w:rStyle w:val="Refdenotaderodap"/>
          <w:rFonts w:cstheme="minorHAnsi"/>
          <w:sz w:val="18"/>
          <w:szCs w:val="18"/>
          <w:vertAlign w:val="baseline"/>
        </w:rPr>
        <w:t>[cl.135ª,2.a)</w:t>
      </w:r>
      <w:r w:rsidRPr="004B5630">
        <w:rPr>
          <w:rStyle w:val="Refdenotaderodap"/>
          <w:sz w:val="18"/>
          <w:szCs w:val="18"/>
          <w:vertAlign w:val="baseline"/>
        </w:rPr>
        <w:t>]</w:t>
      </w:r>
      <w:r w:rsidRPr="004B5630">
        <w:rPr>
          <w:rStyle w:val="Refdenotaderodap"/>
          <w:rFonts w:cstheme="minorHAnsi"/>
          <w:sz w:val="18"/>
          <w:szCs w:val="18"/>
          <w:vertAlign w:val="baseline"/>
        </w:rPr>
        <w:t xml:space="preserve"> e o AE OPERESTIVA/STPSET - BTE 26/2019 (cl.101ª,2) para an</w:t>
      </w:r>
      <w:r w:rsidRPr="004B5630">
        <w:rPr>
          <w:rFonts w:cstheme="minorHAnsi"/>
          <w:sz w:val="18"/>
          <w:szCs w:val="18"/>
        </w:rPr>
        <w:t>álise</w:t>
      </w:r>
      <w:r w:rsidRPr="004B5630">
        <w:rPr>
          <w:rStyle w:val="Refdenotaderodap"/>
          <w:rFonts w:cstheme="minorHAnsi"/>
          <w:sz w:val="18"/>
          <w:szCs w:val="18"/>
          <w:vertAlign w:val="baseline"/>
        </w:rPr>
        <w:t xml:space="preserve"> das condições em que ocorra a prestação de trabalho. </w:t>
      </w:r>
    </w:p>
  </w:footnote>
  <w:footnote w:id="143">
    <w:p w14:paraId="2EEE7C68" w14:textId="77777777" w:rsidR="004B7DBA" w:rsidRPr="004B5630" w:rsidRDefault="004B7DBA" w:rsidP="00A33910">
      <w:pPr>
        <w:pStyle w:val="Textodenotaderodap"/>
        <w:tabs>
          <w:tab w:val="left" w:pos="426"/>
          <w:tab w:val="left" w:pos="567"/>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Fonts w:cstheme="minorHAnsi"/>
          <w:sz w:val="18"/>
          <w:szCs w:val="18"/>
        </w:rPr>
        <w:tab/>
      </w:r>
      <w:r w:rsidRPr="004B5630">
        <w:rPr>
          <w:rStyle w:val="Refdenotaderodap"/>
          <w:rFonts w:cstheme="minorHAnsi"/>
          <w:sz w:val="18"/>
          <w:szCs w:val="18"/>
          <w:vertAlign w:val="baseline"/>
        </w:rPr>
        <w:t xml:space="preserve">AC OPERFOZ/SINPORFOZ – BTE 10/2019 (cl.78º) e AE OPERESTIVA/STPSET - BTE 26/2019 (cl.108ª). </w:t>
      </w:r>
    </w:p>
  </w:footnote>
  <w:footnote w:id="144">
    <w:p w14:paraId="0E275D47" w14:textId="5B3857E5" w:rsidR="004B7DBA" w:rsidRPr="004B5630" w:rsidRDefault="004B7DBA" w:rsidP="00A33910">
      <w:pPr>
        <w:pStyle w:val="Textodenotaderodap"/>
        <w:tabs>
          <w:tab w:val="left" w:pos="426"/>
          <w:tab w:val="left" w:pos="567"/>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Fonts w:cstheme="minorHAnsi"/>
          <w:sz w:val="18"/>
          <w:szCs w:val="18"/>
        </w:rPr>
        <w:tab/>
      </w:r>
      <w:r w:rsidRPr="004B5630">
        <w:rPr>
          <w:rStyle w:val="Refdenotaderodap"/>
          <w:rFonts w:cstheme="minorHAnsi"/>
          <w:sz w:val="18"/>
          <w:szCs w:val="18"/>
          <w:vertAlign w:val="baseline"/>
        </w:rPr>
        <w:t>Quanto a dúvidas de aplicação do acordo: AC Indorama Portugal/COFESINT – BTE 31/2019 (cl.114º E 115º); AE ALMAMUSICA/SPGL – BTE 4/2019 (cl. 68ª) e CC CNEF/SEPLEU e CNEF/ SIPE – ambos BTE 5/2019 (cl.66ª)</w:t>
      </w:r>
      <w:r w:rsidRPr="004B5630">
        <w:rPr>
          <w:rFonts w:cstheme="minorHAnsi"/>
          <w:sz w:val="18"/>
          <w:szCs w:val="18"/>
        </w:rPr>
        <w:t>.</w:t>
      </w:r>
    </w:p>
  </w:footnote>
  <w:footnote w:id="145">
    <w:p w14:paraId="173228D0" w14:textId="586C6A1E" w:rsidR="004B7DBA" w:rsidRPr="004B5630" w:rsidRDefault="004B7DBA" w:rsidP="00A33910">
      <w:pPr>
        <w:pStyle w:val="Textodenotaderodap"/>
        <w:tabs>
          <w:tab w:val="left" w:pos="426"/>
          <w:tab w:val="left" w:pos="567"/>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Fonts w:cstheme="minorHAnsi"/>
          <w:sz w:val="18"/>
          <w:szCs w:val="18"/>
        </w:rPr>
        <w:tab/>
      </w:r>
      <w:r w:rsidRPr="004B5630">
        <w:rPr>
          <w:rStyle w:val="Refdenotaderodap"/>
          <w:rFonts w:cstheme="minorHAnsi"/>
          <w:sz w:val="18"/>
          <w:szCs w:val="18"/>
          <w:vertAlign w:val="baseline"/>
        </w:rPr>
        <w:t xml:space="preserve">Nesse sentido, </w:t>
      </w:r>
      <w:r w:rsidRPr="004B5630">
        <w:rPr>
          <w:rFonts w:cstheme="minorHAnsi"/>
          <w:sz w:val="18"/>
          <w:szCs w:val="18"/>
        </w:rPr>
        <w:t xml:space="preserve">os </w:t>
      </w:r>
      <w:r w:rsidRPr="004B5630">
        <w:rPr>
          <w:rStyle w:val="Refdenotaderodap"/>
          <w:rFonts w:cstheme="minorHAnsi"/>
          <w:sz w:val="18"/>
          <w:szCs w:val="18"/>
          <w:vertAlign w:val="baseline"/>
        </w:rPr>
        <w:t>CC ANTROP/SNM, CC ANTROP/STRUP e ANTROP/STTAMP –  todos BTE 35/2019 (respetivamente, cls.73ª e 74ª; e 76ª e 77ª) [(=) ANTROP/SNM - BTE 21/2016 CC ANTROP/SITRA - BTE 17/2016]. Com âmbito centrado no esclarecimento de dúvidas sobre manutenção de regalias anteriores, ver o CC ANTRAM/FECTRANS – BTE 45/2019 (cl.89ª,2) [(=) BTE 34/2018]</w:t>
      </w:r>
      <w:r w:rsidRPr="004B5630">
        <w:rPr>
          <w:rFonts w:cstheme="minorHAnsi"/>
          <w:sz w:val="18"/>
          <w:szCs w:val="18"/>
        </w:rPr>
        <w:t>.</w:t>
      </w:r>
    </w:p>
  </w:footnote>
  <w:footnote w:id="146">
    <w:p w14:paraId="7A5479FE" w14:textId="77777777" w:rsidR="004B7DBA" w:rsidRPr="004B5630" w:rsidRDefault="004B7DBA" w:rsidP="00A33910">
      <w:pPr>
        <w:pStyle w:val="Textodenotaderodap"/>
        <w:tabs>
          <w:tab w:val="left" w:pos="426"/>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rPr>
        <w:t xml:space="preserve"> </w:t>
      </w:r>
      <w:r w:rsidRPr="004B5630">
        <w:rPr>
          <w:rStyle w:val="Refdenotaderodap"/>
          <w:rFonts w:cstheme="minorHAnsi"/>
          <w:sz w:val="18"/>
          <w:szCs w:val="18"/>
          <w:vertAlign w:val="baseline"/>
        </w:rPr>
        <w:tab/>
        <w:t>A partir de 2015 (coberto pelos Relatórios anteriores) apenas foram publicadas uma deliberação em 2016 e cinco em 2018 (ver Relatório anual sobre a evolução da negociação coletiva em 2017 e 2018, págs. 99 e 107, respetivamente).</w:t>
      </w:r>
    </w:p>
  </w:footnote>
  <w:footnote w:id="147">
    <w:p w14:paraId="15D8FB97" w14:textId="29CDFF20" w:rsidR="004B7DBA" w:rsidRPr="004B5630" w:rsidRDefault="004B7DBA" w:rsidP="00A33910">
      <w:pPr>
        <w:pStyle w:val="Textodenotaderodap"/>
        <w:tabs>
          <w:tab w:val="left" w:pos="426"/>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Fonts w:cstheme="minorHAnsi"/>
          <w:sz w:val="18"/>
          <w:szCs w:val="18"/>
        </w:rPr>
        <w:tab/>
      </w:r>
      <w:r w:rsidRPr="004B5630">
        <w:rPr>
          <w:rStyle w:val="Refdenotaderodap"/>
          <w:rFonts w:cstheme="minorHAnsi"/>
          <w:sz w:val="18"/>
          <w:szCs w:val="18"/>
          <w:vertAlign w:val="baseline"/>
        </w:rPr>
        <w:t>Deliberações das comissões paritárias do: AE Carris/ASPTC -BTE 28/2019 (ultima publicação completa - BTE 35/2018); AE Carris/SITRA -BTE 28/2019 (ultima publicação completa - BTE 27/2018); AE Carris/SITESE -BTE 28/2019 (ultima publicação completa - BTE 30/2018); AE Carris/SNM -BTE 28/2019 (ultima publicação completa - BTE 27/2018).</w:t>
      </w:r>
    </w:p>
  </w:footnote>
  <w:footnote w:id="148">
    <w:p w14:paraId="40387C23" w14:textId="5EC14145" w:rsidR="004B7DBA" w:rsidRPr="004B5630" w:rsidRDefault="004B7DBA" w:rsidP="00A33910">
      <w:pPr>
        <w:pStyle w:val="Textodenotaderodap"/>
        <w:tabs>
          <w:tab w:val="left" w:pos="426"/>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Fonts w:cstheme="minorHAnsi"/>
          <w:sz w:val="18"/>
          <w:szCs w:val="18"/>
        </w:rPr>
        <w:tab/>
      </w:r>
      <w:r w:rsidRPr="004B5630">
        <w:rPr>
          <w:rStyle w:val="Refdenotaderodap"/>
          <w:rFonts w:cstheme="minorHAnsi"/>
          <w:sz w:val="18"/>
          <w:szCs w:val="18"/>
          <w:vertAlign w:val="baseline"/>
        </w:rPr>
        <w:t>Deliberações das comissões paritárias</w:t>
      </w:r>
      <w:r w:rsidRPr="004B5630">
        <w:rPr>
          <w:rFonts w:cstheme="minorHAnsi"/>
          <w:sz w:val="18"/>
          <w:szCs w:val="18"/>
        </w:rPr>
        <w:t xml:space="preserve"> indicadas na nota anterior quanto </w:t>
      </w:r>
      <w:r w:rsidRPr="004B5630">
        <w:rPr>
          <w:rStyle w:val="Refdenotaderodap"/>
          <w:rFonts w:cstheme="minorHAnsi"/>
          <w:sz w:val="18"/>
          <w:szCs w:val="18"/>
          <w:vertAlign w:val="baseline"/>
        </w:rPr>
        <w:t>aos AE Carris das quatro</w:t>
      </w:r>
      <w:r w:rsidRPr="004B5630">
        <w:rPr>
          <w:rFonts w:cstheme="minorHAnsi"/>
          <w:sz w:val="18"/>
          <w:szCs w:val="18"/>
        </w:rPr>
        <w:t xml:space="preserve"> convenções paralelas. </w:t>
      </w:r>
    </w:p>
  </w:footnote>
  <w:footnote w:id="149">
    <w:p w14:paraId="51FF31F7" w14:textId="36F1DB52" w:rsidR="004B7DBA" w:rsidRPr="004B5630" w:rsidRDefault="004B7DBA" w:rsidP="00A33910">
      <w:pPr>
        <w:pStyle w:val="Textodenotaderodap"/>
        <w:tabs>
          <w:tab w:val="left" w:pos="426"/>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Style w:val="Refdenotaderodap"/>
          <w:rFonts w:cstheme="minorHAnsi"/>
          <w:sz w:val="18"/>
          <w:szCs w:val="18"/>
          <w:vertAlign w:val="baseline"/>
        </w:rPr>
        <w:tab/>
        <w:t>Deliberações das comissões paritárias</w:t>
      </w:r>
      <w:r w:rsidRPr="004B5630">
        <w:rPr>
          <w:rFonts w:cstheme="minorHAnsi"/>
          <w:sz w:val="18"/>
          <w:szCs w:val="18"/>
        </w:rPr>
        <w:t xml:space="preserve"> doo </w:t>
      </w:r>
      <w:r w:rsidRPr="004B5630">
        <w:rPr>
          <w:rStyle w:val="Refdenotaderodap"/>
          <w:rFonts w:cstheme="minorHAnsi"/>
          <w:sz w:val="18"/>
          <w:szCs w:val="18"/>
          <w:vertAlign w:val="baseline"/>
        </w:rPr>
        <w:t>CC APHORT/ FESAHT - BTE Nº 3/2019</w:t>
      </w:r>
      <w:r w:rsidRPr="004B5630">
        <w:rPr>
          <w:rFonts w:cstheme="minorHAnsi"/>
          <w:sz w:val="18"/>
          <w:szCs w:val="18"/>
        </w:rPr>
        <w:t xml:space="preserve"> e </w:t>
      </w:r>
      <w:r w:rsidRPr="004B5630">
        <w:rPr>
          <w:rStyle w:val="Refdenotaderodap"/>
          <w:rFonts w:cstheme="minorHAnsi"/>
          <w:sz w:val="18"/>
          <w:szCs w:val="18"/>
          <w:vertAlign w:val="baseline"/>
        </w:rPr>
        <w:t>AHRESP/ FESAHT - BTE Nº 37/2019  (última publicação completa</w:t>
      </w:r>
      <w:r w:rsidRPr="004B5630">
        <w:rPr>
          <w:rFonts w:cstheme="minorHAnsi"/>
          <w:sz w:val="18"/>
          <w:szCs w:val="18"/>
        </w:rPr>
        <w:t>, respetivamente</w:t>
      </w:r>
      <w:r w:rsidRPr="004B5630">
        <w:rPr>
          <w:rStyle w:val="Refdenotaderodap"/>
          <w:rFonts w:cstheme="minorHAnsi"/>
          <w:sz w:val="18"/>
          <w:szCs w:val="18"/>
          <w:vertAlign w:val="baseline"/>
        </w:rPr>
        <w:t xml:space="preserve"> - BTE 23/2018</w:t>
      </w:r>
      <w:r w:rsidRPr="004B5630">
        <w:rPr>
          <w:rFonts w:cstheme="minorHAnsi"/>
          <w:sz w:val="18"/>
          <w:szCs w:val="18"/>
        </w:rPr>
        <w:t xml:space="preserve">  </w:t>
      </w:r>
      <w:r w:rsidRPr="004B5630">
        <w:rPr>
          <w:rStyle w:val="Refdenotaderodap"/>
          <w:rFonts w:cstheme="minorHAnsi"/>
          <w:sz w:val="18"/>
          <w:szCs w:val="18"/>
          <w:vertAlign w:val="baseline"/>
        </w:rPr>
        <w:t xml:space="preserve">e  BTE  35/2018). </w:t>
      </w:r>
    </w:p>
  </w:footnote>
  <w:footnote w:id="150">
    <w:p w14:paraId="462CB61C" w14:textId="3657956D" w:rsidR="004B7DBA" w:rsidRPr="004B5630" w:rsidRDefault="004B7DBA" w:rsidP="00A33910">
      <w:pPr>
        <w:pStyle w:val="Textodenotaderodap"/>
        <w:tabs>
          <w:tab w:val="left" w:pos="426"/>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Fonts w:cstheme="minorHAnsi"/>
          <w:sz w:val="18"/>
          <w:szCs w:val="18"/>
        </w:rPr>
        <w:tab/>
      </w:r>
      <w:r w:rsidRPr="004B5630">
        <w:rPr>
          <w:rStyle w:val="Refdenotaderodap"/>
          <w:rFonts w:cstheme="minorHAnsi"/>
          <w:sz w:val="18"/>
          <w:szCs w:val="18"/>
          <w:vertAlign w:val="baseline"/>
        </w:rPr>
        <w:t>AE TINITA/SITEMAQ - BTE 29/2019; CC ANTROP/SNM – BTE 35/2019; CC ANTROP/STRUP – BTE 35/2019; CC ANTRAM/FECTRANS – BTE 45/2019 ; CC RENA/SITAVA – BTE 37/2019 .</w:t>
      </w:r>
    </w:p>
  </w:footnote>
  <w:footnote w:id="151">
    <w:p w14:paraId="3C5320CC" w14:textId="590C5827" w:rsidR="004B7DBA" w:rsidRPr="004B5630" w:rsidRDefault="004B7DBA" w:rsidP="00A33910">
      <w:pPr>
        <w:pStyle w:val="Textodenotaderodap"/>
        <w:tabs>
          <w:tab w:val="left" w:pos="426"/>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Fonts w:cstheme="minorHAnsi"/>
          <w:sz w:val="18"/>
          <w:szCs w:val="18"/>
        </w:rPr>
        <w:tab/>
      </w:r>
      <w:r w:rsidRPr="004B5630">
        <w:rPr>
          <w:rStyle w:val="Refdenotaderodap"/>
          <w:rFonts w:cstheme="minorHAnsi"/>
          <w:sz w:val="18"/>
          <w:szCs w:val="18"/>
          <w:vertAlign w:val="baseline"/>
        </w:rPr>
        <w:t>Os CC AIMMAP/FESAHT - BTE 23/2019 e AIMMAP/SINDEL - BTE 20/2019; CC ABIMOTA/SINDEL – BTE 45/2019.</w:t>
      </w:r>
    </w:p>
  </w:footnote>
  <w:footnote w:id="152">
    <w:p w14:paraId="5C1DF6AB" w14:textId="0B39B1E3" w:rsidR="004B7DBA" w:rsidRPr="004B5630" w:rsidRDefault="004B7DBA" w:rsidP="00A33910">
      <w:pPr>
        <w:pStyle w:val="Textodenotaderodap"/>
        <w:tabs>
          <w:tab w:val="left" w:pos="426"/>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Fonts w:cstheme="minorHAnsi"/>
          <w:sz w:val="18"/>
          <w:szCs w:val="18"/>
        </w:rPr>
        <w:tab/>
      </w:r>
      <w:r w:rsidRPr="004B5630">
        <w:rPr>
          <w:rStyle w:val="Refdenotaderodap"/>
          <w:rFonts w:cstheme="minorHAnsi"/>
          <w:sz w:val="18"/>
          <w:szCs w:val="18"/>
          <w:vertAlign w:val="baseline"/>
        </w:rPr>
        <w:t>AE BMO PORTUGAL/SNQTB – BTE 5/2019.</w:t>
      </w:r>
    </w:p>
  </w:footnote>
  <w:footnote w:id="153">
    <w:p w14:paraId="048CDFAF" w14:textId="2DF7D1C2" w:rsidR="004B7DBA" w:rsidRPr="004B5630" w:rsidRDefault="004B7DBA" w:rsidP="00A33910">
      <w:pPr>
        <w:pStyle w:val="Textodenotaderodap"/>
        <w:tabs>
          <w:tab w:val="left" w:pos="426"/>
        </w:tabs>
        <w:ind w:left="425" w:hanging="425"/>
        <w:rPr>
          <w:sz w:val="18"/>
          <w:szCs w:val="18"/>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Style w:val="Refdenotaderodap"/>
          <w:sz w:val="18"/>
          <w:szCs w:val="18"/>
          <w:vertAlign w:val="baseline"/>
        </w:rPr>
        <w:t xml:space="preserve">   </w:t>
      </w:r>
      <w:r w:rsidRPr="004B5630">
        <w:rPr>
          <w:rStyle w:val="Refdenotaderodap"/>
          <w:sz w:val="18"/>
          <w:szCs w:val="18"/>
          <w:vertAlign w:val="baseline"/>
        </w:rPr>
        <w:tab/>
        <w:t>Ver</w:t>
      </w:r>
      <w:r w:rsidRPr="004B5630">
        <w:rPr>
          <w:sz w:val="18"/>
          <w:szCs w:val="18"/>
        </w:rPr>
        <w:t xml:space="preserve"> </w:t>
      </w:r>
      <w:r w:rsidRPr="004B5630">
        <w:rPr>
          <w:rStyle w:val="Refdenotaderodap"/>
          <w:sz w:val="18"/>
          <w:szCs w:val="18"/>
          <w:vertAlign w:val="baseline"/>
        </w:rPr>
        <w:t xml:space="preserve"> supra -  Contexto Normativo (2.2.)</w:t>
      </w:r>
      <w:r w:rsidRPr="004B5630">
        <w:rPr>
          <w:sz w:val="18"/>
          <w:szCs w:val="18"/>
        </w:rPr>
        <w:t>.</w:t>
      </w:r>
    </w:p>
  </w:footnote>
  <w:footnote w:id="154">
    <w:p w14:paraId="2B6DDCB8" w14:textId="199F2E4C" w:rsidR="004B7DBA" w:rsidRPr="004B5630" w:rsidRDefault="004B7DBA" w:rsidP="00A33910">
      <w:pPr>
        <w:pStyle w:val="Textodenotaderodap"/>
        <w:tabs>
          <w:tab w:val="left" w:pos="426"/>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Style w:val="Refdenotaderodap"/>
          <w:rFonts w:cstheme="minorHAnsi"/>
          <w:sz w:val="18"/>
          <w:szCs w:val="18"/>
          <w:vertAlign w:val="baseline"/>
        </w:rPr>
        <w:tab/>
        <w:t>CC CNEF/SEPLEU e CNEF/ SIPE – ambos BTE 5/2019 (cl.1ª- A</w:t>
      </w:r>
      <w:r w:rsidRPr="004B5630">
        <w:rPr>
          <w:rFonts w:cstheme="minorHAnsi"/>
          <w:sz w:val="18"/>
          <w:szCs w:val="18"/>
        </w:rPr>
        <w:t>).</w:t>
      </w:r>
    </w:p>
  </w:footnote>
  <w:footnote w:id="155">
    <w:p w14:paraId="30B955C3" w14:textId="1FC0EFD5" w:rsidR="004B7DBA" w:rsidRPr="004B5630" w:rsidRDefault="004B7DBA" w:rsidP="00A33910">
      <w:pPr>
        <w:pStyle w:val="Textodenotaderodap"/>
        <w:tabs>
          <w:tab w:val="left" w:pos="426"/>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Style w:val="Refdenotaderodap"/>
          <w:rFonts w:cstheme="minorHAnsi"/>
          <w:sz w:val="18"/>
          <w:szCs w:val="18"/>
          <w:vertAlign w:val="baseline"/>
        </w:rPr>
        <w:tab/>
        <w:t>AC Indorama Portugal/COFESINT – BTE 31/2019.</w:t>
      </w:r>
    </w:p>
  </w:footnote>
  <w:footnote w:id="156">
    <w:p w14:paraId="511BE84A" w14:textId="1A12B444" w:rsidR="004B7DBA" w:rsidRPr="004B5630" w:rsidRDefault="004B7DBA" w:rsidP="00A33910">
      <w:pPr>
        <w:pStyle w:val="Textodenotaderodap"/>
        <w:tabs>
          <w:tab w:val="left" w:pos="426"/>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Fonts w:cstheme="minorHAnsi"/>
          <w:sz w:val="18"/>
          <w:szCs w:val="18"/>
        </w:rPr>
        <w:tab/>
      </w:r>
      <w:r w:rsidRPr="004B5630">
        <w:rPr>
          <w:rStyle w:val="Refdenotaderodap"/>
          <w:rFonts w:cstheme="minorHAnsi"/>
          <w:sz w:val="18"/>
          <w:szCs w:val="18"/>
          <w:vertAlign w:val="baseline"/>
        </w:rPr>
        <w:t>CC AOPPDL/SECTPDL - BTE 20/2019 (cl.103-A); AE OPERESTIVA/STPSET - BTE 26/2019 (cl.107</w:t>
      </w:r>
      <w:r w:rsidRPr="004B5630">
        <w:rPr>
          <w:rFonts w:cstheme="minorHAnsi"/>
          <w:sz w:val="18"/>
          <w:szCs w:val="18"/>
        </w:rPr>
        <w:t>)</w:t>
      </w:r>
      <w:r w:rsidRPr="004B5630">
        <w:rPr>
          <w:rStyle w:val="Refdenotaderodap"/>
          <w:rFonts w:cstheme="minorHAnsi"/>
          <w:sz w:val="18"/>
          <w:szCs w:val="18"/>
          <w:vertAlign w:val="baseline"/>
        </w:rPr>
        <w:t>ª</w:t>
      </w:r>
      <w:r w:rsidRPr="004B5630">
        <w:rPr>
          <w:rFonts w:cstheme="minorHAnsi"/>
          <w:sz w:val="18"/>
          <w:szCs w:val="18"/>
        </w:rPr>
        <w:t>.</w:t>
      </w:r>
    </w:p>
  </w:footnote>
  <w:footnote w:id="157">
    <w:p w14:paraId="36AB3F8B" w14:textId="71858B6B" w:rsidR="004B7DBA" w:rsidRPr="004B5630" w:rsidRDefault="004B7DBA" w:rsidP="00A33910">
      <w:pPr>
        <w:pStyle w:val="Textodenotaderodap"/>
        <w:tabs>
          <w:tab w:val="left" w:pos="426"/>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Style w:val="Refdenotaderodap"/>
          <w:rFonts w:cstheme="minorHAnsi"/>
          <w:sz w:val="18"/>
          <w:szCs w:val="18"/>
          <w:vertAlign w:val="baseline"/>
        </w:rPr>
        <w:tab/>
        <w:t>AE ViaPorto/SMAQ – BTE 31/2019 (cl.84ª),  pagamento de 1 RMMG, com a possibilidade de pagamento faseado.</w:t>
      </w:r>
    </w:p>
  </w:footnote>
  <w:footnote w:id="158">
    <w:p w14:paraId="62B1771C" w14:textId="775C5693" w:rsidR="004B7DBA" w:rsidRPr="004B5630" w:rsidRDefault="004B7DBA" w:rsidP="00A33910">
      <w:pPr>
        <w:pStyle w:val="Textodenotaderodap"/>
        <w:tabs>
          <w:tab w:val="left" w:pos="426"/>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Fonts w:cstheme="minorHAnsi"/>
          <w:sz w:val="18"/>
          <w:szCs w:val="18"/>
        </w:rPr>
        <w:tab/>
      </w:r>
      <w:r w:rsidRPr="004B5630">
        <w:rPr>
          <w:rStyle w:val="Refdenotaderodap"/>
          <w:rFonts w:cstheme="minorHAnsi"/>
          <w:sz w:val="18"/>
          <w:szCs w:val="18"/>
          <w:vertAlign w:val="baseline"/>
        </w:rPr>
        <w:t>AC COOPTOCHA/SETAAB – BTE 18/2019 (cl.16º) [(=) BTE 29/2018].</w:t>
      </w:r>
    </w:p>
  </w:footnote>
  <w:footnote w:id="159">
    <w:p w14:paraId="4D334F2D" w14:textId="7F92B13F" w:rsidR="004B7DBA" w:rsidRPr="004B5630" w:rsidRDefault="004B7DBA" w:rsidP="00A33910">
      <w:pPr>
        <w:pStyle w:val="Textodenotaderodap"/>
        <w:tabs>
          <w:tab w:val="left" w:pos="426"/>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Fonts w:cstheme="minorHAnsi"/>
          <w:sz w:val="18"/>
          <w:szCs w:val="18"/>
        </w:rPr>
        <w:tab/>
      </w:r>
      <w:r w:rsidRPr="004B5630">
        <w:rPr>
          <w:rStyle w:val="Refdenotaderodap"/>
          <w:rFonts w:cstheme="minorHAnsi"/>
          <w:sz w:val="18"/>
          <w:szCs w:val="18"/>
          <w:vertAlign w:val="baseline"/>
        </w:rPr>
        <w:t>Nesse sentido, o CC CNEF/SEPLEU e CNEF/ SIPE – ambos BTE 5/2019 (cl.1ª- A).</w:t>
      </w:r>
    </w:p>
  </w:footnote>
  <w:footnote w:id="160">
    <w:p w14:paraId="447161AA" w14:textId="454A2908" w:rsidR="004B7DBA" w:rsidRPr="004B5630" w:rsidRDefault="004B7DBA" w:rsidP="00A33910">
      <w:pPr>
        <w:pStyle w:val="Textodenotaderodap"/>
        <w:tabs>
          <w:tab w:val="left" w:pos="426"/>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Fonts w:cstheme="minorHAnsi"/>
          <w:sz w:val="18"/>
          <w:szCs w:val="18"/>
        </w:rPr>
        <w:tab/>
      </w:r>
      <w:r w:rsidRPr="004B5630">
        <w:rPr>
          <w:rStyle w:val="Refdenotaderodap"/>
          <w:rFonts w:cstheme="minorHAnsi"/>
          <w:sz w:val="18"/>
          <w:szCs w:val="18"/>
          <w:vertAlign w:val="baseline"/>
        </w:rPr>
        <w:t>AE ALMAMUSICA/SPGL – BTE 4/2019 (cl.1ª,3)</w:t>
      </w:r>
      <w:bookmarkStart w:id="547" w:name="_Hlk33869470"/>
      <w:r w:rsidRPr="004B5630">
        <w:rPr>
          <w:rStyle w:val="Refdenotaderodap"/>
          <w:rFonts w:cstheme="minorHAnsi"/>
          <w:sz w:val="18"/>
          <w:szCs w:val="18"/>
          <w:vertAlign w:val="baseline"/>
        </w:rPr>
        <w:t xml:space="preserve">; AE ViaPorto/SMAQ – BTE 31/2019 (cl.84ª); AE PETROGAL/FIEQUIMETAL – BTE 35/2019 (cl.1ª) e convenções paralelas. Noutros  casos essa comunicação pode ser feita indistintamente  ao empregador ou ao sindicato outorgante, assim,  CC AOPPDL/SECTPDL - BTE 20/2019 (cl.103-A); AE OPERESTIVA/STPSET - BTE 26/2019 (cl.107ª); e os CC CNEF/SEPLEU e CNEF/ SIPE – ambos BTE 5/2019 (cl.1ª- A).   </w:t>
      </w:r>
      <w:bookmarkEnd w:id="547"/>
    </w:p>
  </w:footnote>
  <w:footnote w:id="161">
    <w:p w14:paraId="4CBC9B50" w14:textId="6FC3059D" w:rsidR="004B7DBA" w:rsidRPr="004B5630" w:rsidRDefault="004B7DBA" w:rsidP="00A33910">
      <w:pPr>
        <w:pStyle w:val="Textodenotaderodap"/>
        <w:tabs>
          <w:tab w:val="left" w:pos="426"/>
        </w:tabs>
        <w:ind w:left="425" w:hanging="425"/>
        <w:rPr>
          <w:rStyle w:val="Refdenotaderodap"/>
          <w:rFonts w:cstheme="minorHAnsi"/>
          <w:vertAlign w:val="baseline"/>
        </w:rPr>
      </w:pPr>
      <w:r w:rsidRPr="004B5630">
        <w:rPr>
          <w:rStyle w:val="Refdenotaderodap"/>
          <w:rFonts w:cstheme="minorHAnsi"/>
        </w:rPr>
        <w:footnoteRef/>
      </w:r>
      <w:r w:rsidRPr="004B5630">
        <w:rPr>
          <w:rStyle w:val="Refdenotaderodap"/>
          <w:rFonts w:cstheme="minorHAnsi"/>
          <w:vertAlign w:val="baseline"/>
        </w:rPr>
        <w:t xml:space="preserve">  </w:t>
      </w:r>
      <w:r w:rsidRPr="004B5630">
        <w:rPr>
          <w:rFonts w:cstheme="minorHAnsi"/>
        </w:rPr>
        <w:tab/>
      </w:r>
      <w:r w:rsidRPr="004B5630">
        <w:rPr>
          <w:rStyle w:val="Refdenotaderodap"/>
          <w:rFonts w:cstheme="minorHAnsi"/>
          <w:sz w:val="18"/>
          <w:szCs w:val="18"/>
          <w:vertAlign w:val="baseline"/>
        </w:rPr>
        <w:t>Por exemplo, AC COOPTOCHA/SETAAB – BTE 18/2019 (cl.) - 30 dias</w:t>
      </w:r>
      <w:r w:rsidRPr="004B5630">
        <w:rPr>
          <w:rFonts w:cstheme="minorHAnsi"/>
          <w:sz w:val="18"/>
          <w:szCs w:val="18"/>
        </w:rPr>
        <w:t>.</w:t>
      </w:r>
      <w:r w:rsidRPr="004B5630">
        <w:rPr>
          <w:rStyle w:val="Refdenotaderodap"/>
          <w:rFonts w:cstheme="minorHAnsi"/>
          <w:vertAlign w:val="baseline"/>
        </w:rPr>
        <w:t xml:space="preserve"> </w:t>
      </w:r>
    </w:p>
  </w:footnote>
  <w:footnote w:id="162">
    <w:p w14:paraId="7A9F1CC2" w14:textId="776BC26C" w:rsidR="004B7DBA" w:rsidRPr="004B5630" w:rsidRDefault="004B7DBA" w:rsidP="00A33910">
      <w:pPr>
        <w:pStyle w:val="Textodenotaderodap"/>
        <w:tabs>
          <w:tab w:val="left" w:pos="426"/>
        </w:tabs>
        <w:ind w:left="425" w:hanging="425"/>
        <w:rPr>
          <w:rFonts w:cs="Calibri"/>
          <w:sz w:val="18"/>
          <w:szCs w:val="18"/>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Fonts w:cstheme="minorHAnsi"/>
          <w:sz w:val="18"/>
          <w:szCs w:val="18"/>
        </w:rPr>
        <w:tab/>
      </w:r>
      <w:r w:rsidRPr="004B5630">
        <w:rPr>
          <w:rStyle w:val="Refdenotaderodap"/>
          <w:rFonts w:cstheme="minorHAnsi"/>
          <w:sz w:val="18"/>
          <w:szCs w:val="18"/>
          <w:vertAlign w:val="baseline"/>
        </w:rPr>
        <w:t>CC CNEF/SEPLEU e CNEF/ SIPE – ambos BTE 5/2019 (cl.1ª- A) 90 dias</w:t>
      </w:r>
      <w:r w:rsidRPr="004B5630">
        <w:rPr>
          <w:rFonts w:cstheme="minorHAnsi"/>
          <w:sz w:val="18"/>
          <w:szCs w:val="18"/>
        </w:rPr>
        <w:t>.</w:t>
      </w:r>
      <w:r w:rsidRPr="004B5630">
        <w:rPr>
          <w:rFonts w:cs="Calibri"/>
          <w:sz w:val="18"/>
          <w:szCs w:val="18"/>
        </w:rPr>
        <w:t xml:space="preserve"> </w:t>
      </w:r>
    </w:p>
  </w:footnote>
  <w:footnote w:id="163">
    <w:p w14:paraId="451F305E" w14:textId="0D8E6C7D" w:rsidR="004B7DBA" w:rsidRPr="004B5630" w:rsidRDefault="004B7DBA" w:rsidP="00A33910">
      <w:pPr>
        <w:pStyle w:val="Textodenotaderodap"/>
        <w:tabs>
          <w:tab w:val="left" w:pos="426"/>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Fonts w:cstheme="minorHAnsi"/>
          <w:sz w:val="18"/>
          <w:szCs w:val="18"/>
        </w:rPr>
        <w:t xml:space="preserve"> </w:t>
      </w:r>
      <w:r w:rsidRPr="004B5630">
        <w:rPr>
          <w:rFonts w:cstheme="minorHAnsi"/>
          <w:sz w:val="18"/>
          <w:szCs w:val="18"/>
        </w:rPr>
        <w:tab/>
        <w:t xml:space="preserve">CC </w:t>
      </w:r>
      <w:r w:rsidRPr="004B5630">
        <w:rPr>
          <w:rStyle w:val="Refdenotaderodap"/>
          <w:rFonts w:cstheme="minorHAnsi"/>
          <w:sz w:val="18"/>
          <w:szCs w:val="18"/>
          <w:vertAlign w:val="baseline"/>
        </w:rPr>
        <w:t>AOPPDL/SECTPDL - BTE 20/2019 (cl.103-A); AE OPERESTIVA/STPSET - BTE 26/2019 (cl.107ª, n.9</w:t>
      </w:r>
      <w:r w:rsidRPr="004B5630">
        <w:rPr>
          <w:rFonts w:cstheme="minorHAnsi"/>
          <w:sz w:val="18"/>
          <w:szCs w:val="18"/>
        </w:rPr>
        <w:t>).</w:t>
      </w:r>
    </w:p>
  </w:footnote>
  <w:footnote w:id="164">
    <w:p w14:paraId="588F6395" w14:textId="50416493" w:rsidR="004B7DBA" w:rsidRPr="004B5630" w:rsidRDefault="004B7DBA" w:rsidP="00A33910">
      <w:pPr>
        <w:pStyle w:val="Textodenotaderodap"/>
        <w:tabs>
          <w:tab w:val="left" w:pos="426"/>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Fonts w:cstheme="minorHAnsi"/>
          <w:sz w:val="18"/>
          <w:szCs w:val="18"/>
        </w:rPr>
        <w:tab/>
      </w:r>
      <w:r w:rsidRPr="004B5630">
        <w:rPr>
          <w:rStyle w:val="Refdenotaderodap"/>
          <w:rFonts w:cstheme="minorHAnsi"/>
          <w:sz w:val="18"/>
          <w:szCs w:val="18"/>
          <w:vertAlign w:val="baseline"/>
        </w:rPr>
        <w:t>AE PETROGAL/SITESE – BTE 35/2019 (cl.1ª, 2 e 3)</w:t>
      </w:r>
      <w:r w:rsidRPr="004B5630">
        <w:rPr>
          <w:rFonts w:cstheme="minorHAnsi"/>
          <w:sz w:val="18"/>
          <w:szCs w:val="18"/>
        </w:rPr>
        <w:t xml:space="preserve"> e paralelos.</w:t>
      </w:r>
    </w:p>
  </w:footnote>
  <w:footnote w:id="165">
    <w:p w14:paraId="0FEC3861" w14:textId="2F3B4E1F" w:rsidR="004B7DBA" w:rsidRPr="004B5630" w:rsidRDefault="004B7DBA" w:rsidP="00A33910">
      <w:pPr>
        <w:pStyle w:val="Textodenotaderodap"/>
        <w:tabs>
          <w:tab w:val="left" w:pos="426"/>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Fonts w:cstheme="minorHAnsi"/>
          <w:sz w:val="18"/>
          <w:szCs w:val="18"/>
        </w:rPr>
        <w:tab/>
      </w:r>
      <w:r w:rsidRPr="004B5630">
        <w:rPr>
          <w:rStyle w:val="Refdenotaderodap"/>
          <w:rFonts w:cstheme="minorHAnsi"/>
          <w:sz w:val="18"/>
          <w:szCs w:val="18"/>
          <w:vertAlign w:val="baseline"/>
        </w:rPr>
        <w:t xml:space="preserve">Neste grupo, 20 convenções coletivas mantiveram-se em vigor durante 12 meses. </w:t>
      </w:r>
    </w:p>
  </w:footnote>
  <w:footnote w:id="166">
    <w:p w14:paraId="743B8E44" w14:textId="29091830" w:rsidR="004B7DBA" w:rsidRPr="004B5630" w:rsidRDefault="004B7DBA" w:rsidP="00A33910">
      <w:pPr>
        <w:pStyle w:val="Textodenotaderodap"/>
        <w:tabs>
          <w:tab w:val="left" w:pos="426"/>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Fonts w:cstheme="minorHAnsi"/>
          <w:sz w:val="18"/>
          <w:szCs w:val="18"/>
        </w:rPr>
        <w:t xml:space="preserve"> </w:t>
      </w:r>
      <w:r w:rsidRPr="004B5630">
        <w:rPr>
          <w:rFonts w:cstheme="minorHAnsi"/>
          <w:sz w:val="18"/>
          <w:szCs w:val="18"/>
        </w:rPr>
        <w:tab/>
        <w:t>Cfr. 4.1. e 4.4.2</w:t>
      </w:r>
    </w:p>
  </w:footnote>
  <w:footnote w:id="167">
    <w:p w14:paraId="2BCDCD47" w14:textId="64F6FC3A" w:rsidR="004B7DBA" w:rsidRPr="004B5630" w:rsidRDefault="004B7DBA" w:rsidP="007D5BD7">
      <w:pPr>
        <w:pStyle w:val="Textodenotaderodap"/>
        <w:tabs>
          <w:tab w:val="left" w:pos="426"/>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Fonts w:cstheme="minorHAnsi"/>
          <w:sz w:val="18"/>
          <w:szCs w:val="18"/>
        </w:rPr>
        <w:tab/>
      </w:r>
      <w:r w:rsidRPr="004B5630">
        <w:rPr>
          <w:rStyle w:val="Refdenotaderodap"/>
          <w:rFonts w:cstheme="minorHAnsi"/>
          <w:sz w:val="18"/>
          <w:szCs w:val="18"/>
          <w:vertAlign w:val="baseline"/>
        </w:rPr>
        <w:t>AE SCOTTURB/SITRA – BTE 35/2019 (anterior BTE 13/2002), há 17 anos.</w:t>
      </w:r>
    </w:p>
  </w:footnote>
  <w:footnote w:id="168">
    <w:p w14:paraId="1148D8F7" w14:textId="73620DAD" w:rsidR="004B7DBA" w:rsidRPr="004B5630" w:rsidRDefault="004B7DBA" w:rsidP="007D5BD7">
      <w:pPr>
        <w:pStyle w:val="Textodenotaderodap"/>
        <w:tabs>
          <w:tab w:val="left" w:pos="426"/>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Fonts w:cstheme="minorHAnsi"/>
          <w:sz w:val="18"/>
          <w:szCs w:val="18"/>
        </w:rPr>
        <w:tab/>
      </w:r>
      <w:r w:rsidRPr="004B5630">
        <w:rPr>
          <w:rStyle w:val="Refdenotaderodap"/>
          <w:rFonts w:cstheme="minorHAnsi"/>
          <w:sz w:val="18"/>
          <w:szCs w:val="18"/>
          <w:vertAlign w:val="baseline"/>
        </w:rPr>
        <w:t>AE STCP/SPEUE – BTE 3/2019 (anterior BTE 27/2003), há 16 anos.</w:t>
      </w:r>
    </w:p>
  </w:footnote>
  <w:footnote w:id="169">
    <w:p w14:paraId="32B829BD" w14:textId="2B11AE6B" w:rsidR="004B7DBA" w:rsidRPr="004B5630" w:rsidRDefault="004B7DBA" w:rsidP="007D5BD7">
      <w:pPr>
        <w:pStyle w:val="Textodenotaderodap"/>
        <w:tabs>
          <w:tab w:val="left" w:pos="426"/>
        </w:tabs>
        <w:ind w:left="425" w:hanging="425"/>
        <w:rPr>
          <w:rStyle w:val="Refdenotaderodap"/>
          <w:rFonts w:cstheme="minorHAnsi"/>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Fonts w:cstheme="minorHAnsi"/>
          <w:sz w:val="18"/>
          <w:szCs w:val="18"/>
        </w:rPr>
        <w:tab/>
      </w:r>
      <w:r w:rsidRPr="004B5630">
        <w:rPr>
          <w:rStyle w:val="Refdenotaderodap"/>
          <w:rFonts w:cstheme="minorHAnsi"/>
          <w:sz w:val="18"/>
          <w:szCs w:val="18"/>
          <w:vertAlign w:val="baseline"/>
        </w:rPr>
        <w:t xml:space="preserve"> Revisões parcelares do AE TAP/SNPVAC – BTE 13/2019 (anterior BTE 8/2006), há 13 anos.</w:t>
      </w:r>
    </w:p>
    <w:p w14:paraId="5E25FF5D" w14:textId="77777777" w:rsidR="004B7DBA" w:rsidRPr="004B5630" w:rsidRDefault="004B7DBA" w:rsidP="008F57AA">
      <w:pPr>
        <w:tabs>
          <w:tab w:val="left" w:pos="426"/>
        </w:tabs>
        <w:spacing w:line="240" w:lineRule="auto"/>
        <w:ind w:left="426" w:right="-1" w:hanging="426"/>
        <w:jc w:val="both"/>
        <w:rPr>
          <w:rFonts w:eastAsia="Times New Roman" w:cs="Calibri"/>
          <w:sz w:val="20"/>
          <w:szCs w:val="20"/>
          <w:lang w:eastAsia="pt-PT"/>
        </w:rPr>
      </w:pPr>
    </w:p>
    <w:p w14:paraId="72C28C77" w14:textId="77777777" w:rsidR="004B7DBA" w:rsidRPr="004B5630" w:rsidRDefault="004B7DBA" w:rsidP="008F57AA">
      <w:pPr>
        <w:pStyle w:val="Textodenotaderodap"/>
        <w:tabs>
          <w:tab w:val="left" w:pos="426"/>
        </w:tabs>
        <w:ind w:left="426" w:right="-1" w:hanging="426"/>
      </w:pPr>
    </w:p>
  </w:footnote>
  <w:footnote w:id="170">
    <w:p w14:paraId="2C93B0D6" w14:textId="77777777" w:rsidR="004B7DBA" w:rsidRPr="004B5630" w:rsidRDefault="004B7DBA" w:rsidP="008F57AA">
      <w:pPr>
        <w:pStyle w:val="Textodenotaderodap"/>
        <w:tabs>
          <w:tab w:val="left" w:pos="426"/>
        </w:tabs>
        <w:ind w:left="426" w:right="-1" w:hanging="426"/>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rPr>
        <w:t xml:space="preserve"> </w:t>
      </w:r>
      <w:r w:rsidRPr="004B5630">
        <w:rPr>
          <w:rStyle w:val="Refdenotaderodap"/>
          <w:rFonts w:cstheme="minorHAnsi"/>
          <w:sz w:val="18"/>
          <w:szCs w:val="18"/>
          <w:vertAlign w:val="baseline"/>
        </w:rPr>
        <w:tab/>
        <w:t>Existem mais de 217.000 trabalhadores potencialmente abrangidos por convenções com períodos de eficácia ate 12 meses.</w:t>
      </w:r>
    </w:p>
  </w:footnote>
  <w:footnote w:id="171">
    <w:p w14:paraId="38F3C21B" w14:textId="6B358771" w:rsidR="004B7DBA" w:rsidRPr="004B5630" w:rsidRDefault="004B7DBA" w:rsidP="008F57AA">
      <w:pPr>
        <w:pStyle w:val="Textodenotaderodap"/>
        <w:tabs>
          <w:tab w:val="left" w:pos="426"/>
        </w:tabs>
        <w:ind w:left="426" w:right="-1" w:hanging="426"/>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Fonts w:cstheme="minorHAnsi"/>
          <w:sz w:val="18"/>
          <w:szCs w:val="18"/>
        </w:rPr>
        <w:tab/>
      </w:r>
      <w:r w:rsidRPr="004B5630">
        <w:rPr>
          <w:rStyle w:val="Refdenotaderodap"/>
          <w:rFonts w:cstheme="minorHAnsi"/>
          <w:sz w:val="18"/>
          <w:szCs w:val="18"/>
          <w:vertAlign w:val="baseline"/>
        </w:rPr>
        <w:t>Uma parte deste período corresponde à negociação coletiva celebrada em 2012, 2013, em que, como tem sido referido, houve uma quebra acentuada. Mas o número de trabalhadores potencialmente abrangi</w:t>
      </w:r>
      <w:r>
        <w:rPr>
          <w:rStyle w:val="Refdenotaderodap"/>
          <w:rFonts w:cstheme="minorHAnsi"/>
          <w:sz w:val="18"/>
          <w:szCs w:val="18"/>
          <w:vertAlign w:val="baseline"/>
        </w:rPr>
        <w:t>dos varia muito em função do Se</w:t>
      </w:r>
      <w:r w:rsidRPr="004B5630">
        <w:rPr>
          <w:rStyle w:val="Refdenotaderodap"/>
          <w:rFonts w:cstheme="minorHAnsi"/>
          <w:sz w:val="18"/>
          <w:szCs w:val="18"/>
          <w:vertAlign w:val="baseline"/>
        </w:rPr>
        <w:t>tor de atividade e do ní</w:t>
      </w:r>
      <w:r>
        <w:rPr>
          <w:rStyle w:val="Refdenotaderodap"/>
          <w:rFonts w:cstheme="minorHAnsi"/>
          <w:sz w:val="18"/>
          <w:szCs w:val="18"/>
          <w:vertAlign w:val="baseline"/>
        </w:rPr>
        <w:t>vel da contratação coletiva (se</w:t>
      </w:r>
      <w:r w:rsidRPr="004B5630">
        <w:rPr>
          <w:rStyle w:val="Refdenotaderodap"/>
          <w:rFonts w:cstheme="minorHAnsi"/>
          <w:sz w:val="18"/>
          <w:szCs w:val="18"/>
          <w:vertAlign w:val="baseline"/>
        </w:rPr>
        <w:t xml:space="preserve">torial ou empresa). </w:t>
      </w:r>
    </w:p>
  </w:footnote>
  <w:footnote w:id="172">
    <w:p w14:paraId="7A6A60C5" w14:textId="65BD52E4" w:rsidR="004B7DBA" w:rsidRPr="004B5630" w:rsidRDefault="004B7DBA" w:rsidP="008F57AA">
      <w:pPr>
        <w:pStyle w:val="Textodenotaderodap"/>
        <w:tabs>
          <w:tab w:val="left" w:pos="426"/>
        </w:tabs>
        <w:ind w:left="426" w:right="-1" w:hanging="426"/>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Fonts w:cstheme="minorHAnsi"/>
          <w:sz w:val="18"/>
          <w:szCs w:val="18"/>
        </w:rPr>
        <w:tab/>
      </w:r>
      <w:r w:rsidRPr="004B5630">
        <w:rPr>
          <w:rStyle w:val="Refdenotaderodap"/>
          <w:rFonts w:cstheme="minorHAnsi"/>
          <w:sz w:val="18"/>
          <w:szCs w:val="18"/>
          <w:vertAlign w:val="baseline"/>
        </w:rPr>
        <w:t>Por exemplo: CC ACIFF/CESP - BTE 23/2019 (cl.2.ª).</w:t>
      </w:r>
    </w:p>
  </w:footnote>
  <w:footnote w:id="173">
    <w:p w14:paraId="5E0F5309" w14:textId="43868C7C" w:rsidR="004B7DBA" w:rsidRPr="004B5630" w:rsidRDefault="004B7DBA" w:rsidP="008F57AA">
      <w:pPr>
        <w:pStyle w:val="Textodenotaderodap"/>
        <w:tabs>
          <w:tab w:val="left" w:pos="426"/>
        </w:tabs>
        <w:ind w:left="426" w:right="-1" w:hanging="426"/>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Style w:val="Refdenotaderodap"/>
          <w:rFonts w:cstheme="minorHAnsi"/>
          <w:sz w:val="18"/>
          <w:szCs w:val="18"/>
          <w:vertAlign w:val="baseline"/>
        </w:rPr>
        <w:tab/>
        <w:t>Por exemplo: CC ANORECA/FECTRANS – BTE 17/2019 (cl. 2.ª) [(=)BTE 13/2018]</w:t>
      </w:r>
      <w:r w:rsidRPr="004B5630">
        <w:rPr>
          <w:rFonts w:cstheme="minorHAnsi"/>
          <w:sz w:val="18"/>
          <w:szCs w:val="18"/>
        </w:rPr>
        <w:t>.</w:t>
      </w:r>
      <w:r w:rsidRPr="004B5630">
        <w:rPr>
          <w:rStyle w:val="Refdenotaderodap"/>
          <w:rFonts w:cstheme="minorHAnsi"/>
          <w:sz w:val="18"/>
          <w:szCs w:val="18"/>
          <w:vertAlign w:val="baseline"/>
        </w:rPr>
        <w:t xml:space="preserve"> </w:t>
      </w:r>
    </w:p>
  </w:footnote>
  <w:footnote w:id="174">
    <w:p w14:paraId="0CF168A6" w14:textId="160AB0E6" w:rsidR="004B7DBA" w:rsidRPr="004B5630" w:rsidRDefault="004B7DBA" w:rsidP="008F57AA">
      <w:pPr>
        <w:pStyle w:val="Textodenotaderodap"/>
        <w:tabs>
          <w:tab w:val="left" w:pos="426"/>
        </w:tabs>
        <w:ind w:left="426" w:right="-1" w:hanging="426"/>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Fonts w:cstheme="minorHAnsi"/>
          <w:sz w:val="18"/>
          <w:szCs w:val="18"/>
        </w:rPr>
        <w:tab/>
      </w:r>
      <w:r w:rsidRPr="004B5630">
        <w:rPr>
          <w:rStyle w:val="Refdenotaderodap"/>
          <w:rFonts w:cstheme="minorHAnsi"/>
          <w:sz w:val="18"/>
          <w:szCs w:val="18"/>
          <w:vertAlign w:val="baseline"/>
        </w:rPr>
        <w:t>Sobre a tabela salarial de duração inferior a 12 meses ver, por exemplo, CC ANIL (Lanifícios)/COFESINT– BTE 40/2019</w:t>
      </w:r>
      <w:r w:rsidRPr="004B5630">
        <w:rPr>
          <w:rFonts w:cstheme="minorHAnsi"/>
          <w:sz w:val="18"/>
          <w:szCs w:val="18"/>
        </w:rPr>
        <w:t>.</w:t>
      </w:r>
      <w:r w:rsidRPr="004B5630">
        <w:rPr>
          <w:rStyle w:val="Refdenotaderodap"/>
          <w:rFonts w:cstheme="minorHAnsi"/>
          <w:sz w:val="18"/>
          <w:szCs w:val="18"/>
          <w:vertAlign w:val="baseline"/>
        </w:rPr>
        <w:t xml:space="preserve">  (cl.2.ª); CC AHRESP/FESAHT - BTE 23/2019 (cl.2ª); CC AHRESP/SITESE - BTE 21/2019 (cl.2ª); e CC ADCP/SETAAB – BTE 15/2019 (cl.2ª)</w:t>
      </w:r>
      <w:r w:rsidRPr="004B5630">
        <w:rPr>
          <w:rFonts w:cstheme="minorHAnsi"/>
          <w:sz w:val="18"/>
          <w:szCs w:val="18"/>
        </w:rPr>
        <w:t>.</w:t>
      </w:r>
    </w:p>
  </w:footnote>
  <w:footnote w:id="175">
    <w:p w14:paraId="24485CC2" w14:textId="628D1990" w:rsidR="004B7DBA" w:rsidRPr="004B5630" w:rsidRDefault="004B7DBA" w:rsidP="008F57AA">
      <w:pPr>
        <w:pStyle w:val="Textodenotaderodap"/>
        <w:tabs>
          <w:tab w:val="left" w:pos="426"/>
        </w:tabs>
        <w:ind w:left="426" w:right="-1" w:hanging="426"/>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Fonts w:cstheme="minorHAnsi"/>
          <w:sz w:val="18"/>
          <w:szCs w:val="18"/>
        </w:rPr>
        <w:tab/>
      </w:r>
      <w:r w:rsidRPr="004B5630">
        <w:rPr>
          <w:rStyle w:val="Refdenotaderodap"/>
          <w:rFonts w:cstheme="minorHAnsi"/>
          <w:sz w:val="18"/>
          <w:szCs w:val="18"/>
          <w:vertAlign w:val="baseline"/>
        </w:rPr>
        <w:t>Por exemplo,5 anos/1 AC OPERFOZ/SINPORFOZ – BTE 10/2019 (cl.2ª)</w:t>
      </w:r>
      <w:r w:rsidRPr="004B5630">
        <w:rPr>
          <w:rFonts w:cstheme="minorHAnsi"/>
          <w:sz w:val="18"/>
          <w:szCs w:val="18"/>
        </w:rPr>
        <w:t>.</w:t>
      </w:r>
    </w:p>
  </w:footnote>
  <w:footnote w:id="176">
    <w:p w14:paraId="071B37A7" w14:textId="24C4C1AD" w:rsidR="004B7DBA" w:rsidRPr="004B5630" w:rsidRDefault="004B7DBA" w:rsidP="008F57AA">
      <w:pPr>
        <w:pStyle w:val="Textodenotaderodap"/>
        <w:tabs>
          <w:tab w:val="left" w:pos="426"/>
        </w:tabs>
        <w:ind w:left="426" w:right="-1" w:hanging="426"/>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Fonts w:cstheme="minorHAnsi"/>
          <w:sz w:val="18"/>
          <w:szCs w:val="18"/>
        </w:rPr>
        <w:tab/>
      </w:r>
      <w:r w:rsidRPr="004B5630">
        <w:rPr>
          <w:rStyle w:val="Refdenotaderodap"/>
          <w:rFonts w:cstheme="minorHAnsi"/>
          <w:sz w:val="18"/>
          <w:szCs w:val="18"/>
          <w:vertAlign w:val="baseline"/>
        </w:rPr>
        <w:t>Por exemplo  3 anos/1 AE INATEL/FESAHT – BTE 6/2019 (cl. 3ª) e convenções paralelas.</w:t>
      </w:r>
    </w:p>
  </w:footnote>
  <w:footnote w:id="177">
    <w:p w14:paraId="3A32A57C" w14:textId="182CA86C" w:rsidR="004B7DBA" w:rsidRPr="004B5630" w:rsidRDefault="004B7DBA" w:rsidP="008F57AA">
      <w:pPr>
        <w:pStyle w:val="Textodenotaderodap"/>
        <w:tabs>
          <w:tab w:val="left" w:pos="426"/>
        </w:tabs>
        <w:ind w:left="426" w:right="-1" w:hanging="426"/>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Fonts w:cstheme="minorHAnsi"/>
          <w:sz w:val="18"/>
          <w:szCs w:val="18"/>
        </w:rPr>
        <w:tab/>
      </w:r>
      <w:r w:rsidRPr="004B5630">
        <w:rPr>
          <w:rStyle w:val="Refdenotaderodap"/>
          <w:rFonts w:cstheme="minorHAnsi"/>
          <w:sz w:val="18"/>
          <w:szCs w:val="18"/>
          <w:vertAlign w:val="baseline"/>
        </w:rPr>
        <w:t xml:space="preserve">CC ANTRAM/FECTRANS – BTE 45/2019 </w:t>
      </w:r>
      <w:r w:rsidRPr="004B5630">
        <w:rPr>
          <w:rFonts w:cstheme="minorHAnsi"/>
          <w:sz w:val="18"/>
          <w:szCs w:val="18"/>
        </w:rPr>
        <w:t xml:space="preserve">(cl.4ª) </w:t>
      </w:r>
      <w:r w:rsidRPr="004B5630">
        <w:rPr>
          <w:rStyle w:val="Refdenotaderodap"/>
          <w:rFonts w:cstheme="minorHAnsi"/>
          <w:sz w:val="18"/>
          <w:szCs w:val="18"/>
          <w:vertAlign w:val="baseline"/>
        </w:rPr>
        <w:t>(altera BTE</w:t>
      </w:r>
      <w:r w:rsidRPr="004B5630">
        <w:rPr>
          <w:rFonts w:cstheme="minorHAnsi"/>
          <w:sz w:val="18"/>
          <w:szCs w:val="18"/>
        </w:rPr>
        <w:t xml:space="preserve"> 34/2018, cl.2ªe 3ª</w:t>
      </w:r>
      <w:r w:rsidRPr="004B5630">
        <w:rPr>
          <w:rStyle w:val="Refdenotaderodap"/>
          <w:rFonts w:cstheme="minorHAnsi"/>
          <w:sz w:val="18"/>
          <w:szCs w:val="18"/>
          <w:vertAlign w:val="baseline"/>
        </w:rPr>
        <w:t>).</w:t>
      </w:r>
    </w:p>
  </w:footnote>
  <w:footnote w:id="178">
    <w:p w14:paraId="1414CB08" w14:textId="3C2EBCB8" w:rsidR="004B7DBA" w:rsidRPr="004B5630" w:rsidRDefault="004B7DBA" w:rsidP="00C75ACF">
      <w:pPr>
        <w:pStyle w:val="Textodenotaderodap"/>
        <w:ind w:left="425" w:hanging="425"/>
      </w:pPr>
      <w:r w:rsidRPr="004B5630">
        <w:rPr>
          <w:rStyle w:val="Refdenotaderodap"/>
        </w:rPr>
        <w:footnoteRef/>
      </w:r>
      <w:r w:rsidRPr="004B5630">
        <w:t xml:space="preserve">     </w:t>
      </w:r>
      <w:r w:rsidRPr="004B5630">
        <w:rPr>
          <w:rStyle w:val="Refdenotaderodap"/>
          <w:rFonts w:cstheme="minorHAnsi"/>
          <w:sz w:val="18"/>
          <w:szCs w:val="18"/>
          <w:vertAlign w:val="baseline"/>
        </w:rPr>
        <w:t>Ver. supra -  Contexto Normativo (2.2.).</w:t>
      </w:r>
    </w:p>
  </w:footnote>
  <w:footnote w:id="179">
    <w:p w14:paraId="44035924" w14:textId="34083119" w:rsidR="004B7DBA" w:rsidRPr="004B5630" w:rsidRDefault="004B7DBA" w:rsidP="00C75ACF">
      <w:pPr>
        <w:pStyle w:val="Textodenotaderodap"/>
        <w:tabs>
          <w:tab w:val="left" w:pos="426"/>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Fonts w:cstheme="minorHAnsi"/>
          <w:sz w:val="18"/>
          <w:szCs w:val="18"/>
        </w:rPr>
        <w:tab/>
      </w:r>
      <w:r w:rsidRPr="004B5630">
        <w:rPr>
          <w:rStyle w:val="Refdenotaderodap"/>
          <w:rFonts w:cstheme="minorHAnsi"/>
          <w:sz w:val="18"/>
          <w:szCs w:val="18"/>
          <w:vertAlign w:val="baseline"/>
        </w:rPr>
        <w:t>Como habitualmente, a diferença de conteúdos sobre a matéria da caducidade conduz a subtotais não coincidentes nos três grupos: sobrevigência, previsão expressa e efeitos da caducidade (Quadro 41).</w:t>
      </w:r>
    </w:p>
  </w:footnote>
  <w:footnote w:id="180">
    <w:p w14:paraId="4F7FA4C7" w14:textId="16234404" w:rsidR="004B7DBA" w:rsidRPr="004B5630" w:rsidRDefault="004B7DBA" w:rsidP="00C75ACF">
      <w:pPr>
        <w:pStyle w:val="Textodenotaderodap"/>
        <w:tabs>
          <w:tab w:val="left" w:pos="426"/>
        </w:tabs>
        <w:ind w:left="425" w:hanging="425"/>
        <w:rPr>
          <w:rStyle w:val="Refdenotaderodap"/>
          <w:rFonts w:cstheme="minorHAnsi"/>
          <w:vertAlign w:val="baseline"/>
        </w:rPr>
      </w:pPr>
      <w:r w:rsidRPr="004B5630">
        <w:rPr>
          <w:rStyle w:val="Refdenotaderodap"/>
          <w:rFonts w:cstheme="minorHAnsi"/>
          <w:sz w:val="18"/>
          <w:szCs w:val="18"/>
        </w:rPr>
        <w:footnoteRef/>
      </w:r>
      <w:r w:rsidRPr="004B5630">
        <w:rPr>
          <w:rStyle w:val="Refdenotaderodap"/>
          <w:rFonts w:cstheme="minorHAnsi"/>
          <w:sz w:val="18"/>
          <w:szCs w:val="18"/>
        </w:rPr>
        <w:t xml:space="preserve"> </w:t>
      </w:r>
      <w:r w:rsidRPr="004B5630">
        <w:rPr>
          <w:rFonts w:cstheme="minorHAnsi"/>
          <w:sz w:val="18"/>
          <w:szCs w:val="18"/>
        </w:rPr>
        <w:tab/>
      </w:r>
      <w:r w:rsidRPr="004B5630">
        <w:rPr>
          <w:rStyle w:val="Refdenotaderodap"/>
          <w:rFonts w:cstheme="minorHAnsi"/>
          <w:sz w:val="18"/>
          <w:szCs w:val="18"/>
          <w:vertAlign w:val="baseline"/>
        </w:rPr>
        <w:t>Ver. supra 2.2.</w:t>
      </w:r>
    </w:p>
  </w:footnote>
  <w:footnote w:id="181">
    <w:p w14:paraId="6EE132F1" w14:textId="7BA8397C" w:rsidR="004B7DBA" w:rsidRPr="004B5630" w:rsidRDefault="004B7DBA" w:rsidP="00C75ACF">
      <w:pPr>
        <w:pStyle w:val="Textodenotaderodap"/>
        <w:tabs>
          <w:tab w:val="left" w:pos="426"/>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Fonts w:cstheme="minorHAnsi"/>
          <w:sz w:val="18"/>
          <w:szCs w:val="18"/>
        </w:rPr>
        <w:tab/>
      </w:r>
      <w:r w:rsidRPr="004B5630">
        <w:rPr>
          <w:rStyle w:val="Refdenotaderodap"/>
          <w:rFonts w:cstheme="minorHAnsi"/>
          <w:sz w:val="18"/>
          <w:szCs w:val="18"/>
          <w:vertAlign w:val="baseline"/>
        </w:rPr>
        <w:t>Existe ainda um pequeno grupo que, em caso de caducidade, distingue os efeitos da convençam que perduram até à entrada em vigor de nova convenção (retribuição e categorias), daqueloutros que podem vigorar até à entrada em vigor de nova convenção ou, pelo menos, 12 meses após a caducidade (seguros de saúde, plano de pensões, duração das férias), é o caso do AC Fidelidade/ SINAPSA – BTE 5/2019 (cl.3ª,5 e 6).</w:t>
      </w:r>
    </w:p>
  </w:footnote>
  <w:footnote w:id="182">
    <w:p w14:paraId="506C40C9" w14:textId="30E93C91" w:rsidR="004B7DBA" w:rsidRPr="004B5630" w:rsidRDefault="004B7DBA" w:rsidP="00C75ACF">
      <w:pPr>
        <w:pStyle w:val="Textodenotaderodap"/>
        <w:tabs>
          <w:tab w:val="left" w:pos="426"/>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Fonts w:cstheme="minorHAnsi"/>
          <w:sz w:val="18"/>
          <w:szCs w:val="18"/>
        </w:rPr>
        <w:tab/>
      </w:r>
      <w:r w:rsidRPr="004B5630">
        <w:rPr>
          <w:rStyle w:val="Refdenotaderodap"/>
          <w:rFonts w:cstheme="minorHAnsi"/>
          <w:sz w:val="18"/>
          <w:szCs w:val="18"/>
          <w:vertAlign w:val="baseline"/>
        </w:rPr>
        <w:t>CC ADIPA (Retalhistas) /SITESE – BTE 14/2019 (cl.2ª,6) apenas retribuição do trabalhador, categoria e duração do tempo de trabalho</w:t>
      </w:r>
    </w:p>
  </w:footnote>
  <w:footnote w:id="183">
    <w:p w14:paraId="63FE34F6" w14:textId="77777777" w:rsidR="004B7DBA" w:rsidRPr="004B5630" w:rsidRDefault="004B7DBA" w:rsidP="008F57AA">
      <w:pPr>
        <w:pStyle w:val="Textodenotaderodap"/>
        <w:tabs>
          <w:tab w:val="left" w:pos="426"/>
        </w:tabs>
        <w:ind w:left="426" w:right="-1" w:hanging="426"/>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ab/>
        <w:t>O  CC CNEF/SEPLEU – BTE 5/2019 (cl.); CC CNEF/ SIPE – BTE 5/2019 (cl.2ª,6,al.), é semelhante à lei, mas densifica  o tópico “regime  e duração dos tempo  de trabalho” quanto a adaptabilidade e Banco de horas e nada refere quanto a reforma.</w:t>
      </w:r>
    </w:p>
  </w:footnote>
  <w:footnote w:id="184">
    <w:p w14:paraId="2A42A852" w14:textId="27400C92" w:rsidR="004B7DBA" w:rsidRPr="004B5630" w:rsidRDefault="004B7DBA" w:rsidP="008F57AA">
      <w:pPr>
        <w:pStyle w:val="Textodenotaderodap"/>
        <w:tabs>
          <w:tab w:val="left" w:pos="426"/>
        </w:tabs>
        <w:ind w:left="426" w:right="-1" w:hanging="426"/>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Fonts w:cstheme="minorHAnsi"/>
          <w:sz w:val="18"/>
          <w:szCs w:val="18"/>
        </w:rPr>
        <w:tab/>
      </w:r>
      <w:r w:rsidRPr="004B5630">
        <w:rPr>
          <w:rStyle w:val="Refdenotaderodap"/>
          <w:rFonts w:cstheme="minorHAnsi"/>
          <w:sz w:val="18"/>
          <w:szCs w:val="18"/>
          <w:vertAlign w:val="baseline"/>
        </w:rPr>
        <w:t>Nesse sentido, todas as convenções no setor segurador, embora com ligeiras distinções. Por exemplo: o AC GENERALI/SINAPSA – BTE 13/2019 (cl.4ª,5)) inclui promoções; progressões salariais; organização dos horários; dispensas; duração das férias; subsídio de refeição; complemento do subsídio por doença; seguros de saúde e de vida; plano individual de reforma; prémio de permanência. Em termos idênticos os AC Fidelidade / SINAPSA e AE Seguradoras Unidas/SINAPSA –ambos BTE 5/2019 ((cls.3ª, respetivamente n.º5 e 8), mas não inclui promoções, nem  progressões salariais.</w:t>
      </w:r>
    </w:p>
  </w:footnote>
  <w:footnote w:id="185">
    <w:p w14:paraId="5A401B4B" w14:textId="30E7BDB8" w:rsidR="004B7DBA" w:rsidRPr="004B5630" w:rsidRDefault="004B7DBA" w:rsidP="008F57AA">
      <w:pPr>
        <w:pStyle w:val="Textodenotaderodap"/>
        <w:tabs>
          <w:tab w:val="left" w:pos="426"/>
        </w:tabs>
        <w:ind w:left="426" w:right="-1" w:hanging="426"/>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Fonts w:cstheme="minorHAnsi"/>
          <w:sz w:val="18"/>
          <w:szCs w:val="18"/>
        </w:rPr>
        <w:tab/>
      </w:r>
      <w:r w:rsidRPr="004B5630">
        <w:rPr>
          <w:rStyle w:val="Refdenotaderodap"/>
          <w:rFonts w:cstheme="minorHAnsi"/>
          <w:sz w:val="18"/>
          <w:szCs w:val="18"/>
          <w:vertAlign w:val="baseline"/>
        </w:rPr>
        <w:t>AE PETROGAL/COFESINT – BTE 35/2019 (cl.130ª e 128ª) e paralelos [altera BTE 30/2017], abrange complementos e  pensões de invalidez, reforma; regime transitório de reforma antecipada de trabalhadores por turnos (cl.129ª)</w:t>
      </w:r>
      <w:r w:rsidRPr="004B5630">
        <w:rPr>
          <w:rFonts w:cstheme="minorHAnsi"/>
          <w:sz w:val="18"/>
          <w:szCs w:val="18"/>
        </w:rPr>
        <w:t>.</w:t>
      </w:r>
    </w:p>
    <w:p w14:paraId="6863ED5A" w14:textId="77777777" w:rsidR="004B7DBA" w:rsidRPr="004B5630" w:rsidRDefault="004B7DBA" w:rsidP="008F57AA">
      <w:pPr>
        <w:pStyle w:val="Textodenotaderodap"/>
        <w:tabs>
          <w:tab w:val="left" w:pos="426"/>
        </w:tabs>
        <w:ind w:left="426" w:right="-1" w:hanging="426"/>
        <w:rPr>
          <w:strike/>
          <w:sz w:val="18"/>
          <w:szCs w:val="18"/>
        </w:rPr>
      </w:pPr>
    </w:p>
  </w:footnote>
  <w:footnote w:id="186">
    <w:p w14:paraId="5C957F1E" w14:textId="101FA238" w:rsidR="004B7DBA" w:rsidRPr="004B5630" w:rsidRDefault="004B7DBA" w:rsidP="00C75ACF">
      <w:pPr>
        <w:pStyle w:val="Textodenotaderodap"/>
        <w:tabs>
          <w:tab w:val="left" w:pos="426"/>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Fonts w:cstheme="minorHAnsi"/>
          <w:sz w:val="18"/>
          <w:szCs w:val="18"/>
        </w:rPr>
        <w:tab/>
      </w:r>
      <w:r w:rsidRPr="004B5630">
        <w:rPr>
          <w:rStyle w:val="Refdenotaderodap"/>
          <w:rFonts w:cstheme="minorHAnsi"/>
          <w:sz w:val="18"/>
          <w:szCs w:val="18"/>
          <w:vertAlign w:val="baseline"/>
        </w:rPr>
        <w:t xml:space="preserve">Cfr. 3.1.5., </w:t>
      </w:r>
    </w:p>
  </w:footnote>
  <w:footnote w:id="187">
    <w:p w14:paraId="6E3A918A" w14:textId="2AFB9213" w:rsidR="004B7DBA" w:rsidRPr="004B5630" w:rsidRDefault="004B7DBA" w:rsidP="00C75ACF">
      <w:pPr>
        <w:pStyle w:val="Textodenotaderodap"/>
        <w:tabs>
          <w:tab w:val="left" w:pos="426"/>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Fonts w:cstheme="minorHAnsi"/>
          <w:sz w:val="18"/>
          <w:szCs w:val="18"/>
        </w:rPr>
        <w:tab/>
      </w:r>
      <w:r w:rsidRPr="004B5630">
        <w:rPr>
          <w:rStyle w:val="Refdenotaderodap"/>
          <w:rFonts w:cstheme="minorHAnsi"/>
          <w:sz w:val="18"/>
          <w:szCs w:val="18"/>
          <w:vertAlign w:val="baseline"/>
        </w:rPr>
        <w:t xml:space="preserve">Avisos sobre a data da cessação da vigência do AE Rodoviária do Alentejo, SA/FETESE e AE Rodoviária do Alentejo, SA/SITRA - ambos publicados no BTE 34/2019.  </w:t>
      </w:r>
    </w:p>
  </w:footnote>
  <w:footnote w:id="188">
    <w:p w14:paraId="57EE4DB2" w14:textId="2D8490C0" w:rsidR="004B7DBA" w:rsidRPr="004B5630" w:rsidRDefault="004B7DBA" w:rsidP="00C75ACF">
      <w:pPr>
        <w:pStyle w:val="Textodenotaderodap"/>
        <w:tabs>
          <w:tab w:val="left" w:pos="426"/>
        </w:tabs>
        <w:ind w:left="425" w:hanging="425"/>
        <w:rPr>
          <w:rStyle w:val="Refdenotaderodap"/>
          <w:vertAlign w:val="baseline"/>
        </w:rPr>
      </w:pPr>
      <w:r w:rsidRPr="004B5630">
        <w:rPr>
          <w:rStyle w:val="Refdenotaderodap"/>
          <w:rFonts w:cstheme="minorHAnsi"/>
          <w:sz w:val="18"/>
          <w:szCs w:val="18"/>
        </w:rPr>
        <w:footnoteRef/>
      </w:r>
      <w:r w:rsidRPr="004B5630">
        <w:rPr>
          <w:rFonts w:cstheme="minorHAnsi"/>
          <w:sz w:val="18"/>
          <w:szCs w:val="18"/>
        </w:rPr>
        <w:t xml:space="preserve"> </w:t>
      </w:r>
      <w:r w:rsidRPr="004B5630">
        <w:rPr>
          <w:rFonts w:cstheme="minorHAnsi"/>
          <w:sz w:val="18"/>
          <w:szCs w:val="18"/>
        </w:rPr>
        <w:tab/>
      </w:r>
      <w:r w:rsidRPr="004B5630">
        <w:rPr>
          <w:rStyle w:val="Refdenotaderodap"/>
          <w:rFonts w:cstheme="minorHAnsi"/>
          <w:sz w:val="18"/>
          <w:szCs w:val="18"/>
          <w:vertAlign w:val="baseline"/>
        </w:rPr>
        <w:t>Trata-se do AE PETROGAL/FIEQUIMETAL – BTE 35/2019 (1ª convenção). No BTE 4/2016, foi publicado o aviso  sobre a data da cessação da vigência  do AE PETROGAL/FIEQUIMETAL e SICOP – BTE 26/2011 (Última alteração). Sobre a sucessão de IRCT e a regulamentação anteriormente aplicável, tem particular interesse a cl 125ª deste AE PETROGAL/FIEQUIMETAL – BTE 35/2019, onde as partes reconhecem a cessação, com efeitos a outubro de 2015, da vigência de dois IRCT e de um conjunto de regulamentos internos da empresa. Por outro lado, este AE (1ªconvençao) PETROGAL/FIEQUIMETAL tem um conteúdo muito idêntico aos AE `(revisão global) PETROGAL/SITESE e PETROGAL/COFESINT – os três BTE 35/2019.</w:t>
      </w:r>
    </w:p>
  </w:footnote>
  <w:footnote w:id="189">
    <w:p w14:paraId="6C279B86" w14:textId="51B1DAFC" w:rsidR="004B7DBA" w:rsidRPr="004B5630" w:rsidRDefault="004B7DBA" w:rsidP="00C75ACF">
      <w:pPr>
        <w:pStyle w:val="Textodenotaderodap"/>
        <w:tabs>
          <w:tab w:val="left" w:pos="426"/>
        </w:tabs>
        <w:ind w:left="425" w:hanging="425"/>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 xml:space="preserve"> </w:t>
      </w:r>
      <w:r w:rsidRPr="004B5630">
        <w:rPr>
          <w:rFonts w:cstheme="minorHAnsi"/>
          <w:sz w:val="18"/>
          <w:szCs w:val="18"/>
        </w:rPr>
        <w:tab/>
      </w:r>
      <w:r w:rsidRPr="004B5630">
        <w:rPr>
          <w:rStyle w:val="Refdenotaderodap"/>
          <w:rFonts w:cstheme="minorHAnsi"/>
          <w:sz w:val="18"/>
          <w:szCs w:val="18"/>
          <w:vertAlign w:val="baseline"/>
        </w:rPr>
        <w:t>Acordo de revogação CTT / SINCOR, assim como o AE CTT / SINDELTECO  e outros  - ambos  BTE  46/2019.</w:t>
      </w:r>
    </w:p>
  </w:footnote>
  <w:footnote w:id="190">
    <w:p w14:paraId="4686592B" w14:textId="77777777" w:rsidR="004B7DBA" w:rsidRPr="004B5630" w:rsidRDefault="004B7DBA" w:rsidP="008F57AA">
      <w:pPr>
        <w:pStyle w:val="Textodenotaderodap"/>
        <w:tabs>
          <w:tab w:val="left" w:pos="426"/>
        </w:tabs>
        <w:ind w:left="426" w:right="-1" w:hanging="426"/>
        <w:rPr>
          <w:rStyle w:val="Refdenotaderodap"/>
          <w:rFonts w:cstheme="minorHAnsi"/>
          <w:sz w:val="18"/>
          <w:szCs w:val="18"/>
          <w:vertAlign w:val="baseline"/>
        </w:rPr>
      </w:pPr>
      <w:r w:rsidRPr="004B5630">
        <w:rPr>
          <w:rStyle w:val="Refdenotaderodap"/>
          <w:rFonts w:cstheme="minorHAnsi"/>
          <w:sz w:val="18"/>
          <w:szCs w:val="18"/>
        </w:rPr>
        <w:footnoteRef/>
      </w:r>
      <w:r w:rsidRPr="004B5630">
        <w:rPr>
          <w:rStyle w:val="Refdenotaderodap"/>
          <w:rFonts w:cstheme="minorHAnsi"/>
          <w:sz w:val="18"/>
          <w:szCs w:val="18"/>
          <w:vertAlign w:val="baseline"/>
        </w:rPr>
        <w:tab/>
        <w:t>Onde, a propósito da concorrência entre instrumentos de regulamentação coletiva, se consagra a possibilidade de as convenções regularem a aplicação de convenções de diferente nível [alínea a)] ou a conjugação de regras provenientes de diversas convenções, remetendo a regulamentação de certas matérias para outras convenções [alínea b)].</w:t>
      </w:r>
    </w:p>
  </w:footnote>
  <w:footnote w:id="191">
    <w:p w14:paraId="2B179945" w14:textId="12DCAC03" w:rsidR="004B7DBA" w:rsidRPr="004B5630" w:rsidRDefault="004B7DBA" w:rsidP="008F57AA">
      <w:pPr>
        <w:tabs>
          <w:tab w:val="left" w:pos="426"/>
        </w:tabs>
        <w:spacing w:line="240" w:lineRule="auto"/>
        <w:ind w:left="426" w:right="-1" w:hanging="426"/>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eastAsia="Times New Roman" w:cs="Calibri"/>
          <w:sz w:val="18"/>
          <w:szCs w:val="18"/>
          <w:lang w:eastAsia="pt-PT"/>
        </w:rPr>
        <w:t>CC ANTROP/SNM – BTE 35/2019 (cl.76ª) e convenções paralelas.</w:t>
      </w:r>
    </w:p>
    <w:p w14:paraId="435FACF4" w14:textId="77777777" w:rsidR="004B7DBA" w:rsidRPr="004B5630" w:rsidRDefault="004B7DBA" w:rsidP="008F57AA">
      <w:pPr>
        <w:pStyle w:val="Textodenotaderodap"/>
        <w:tabs>
          <w:tab w:val="left" w:pos="426"/>
        </w:tabs>
        <w:ind w:left="426" w:right="-1" w:hanging="426"/>
      </w:pPr>
    </w:p>
  </w:footnote>
  <w:footnote w:id="192">
    <w:p w14:paraId="1A36D924" w14:textId="0D8583A0" w:rsidR="004B7DBA" w:rsidRPr="004B5630" w:rsidRDefault="004B7DBA" w:rsidP="00C75ACF">
      <w:pPr>
        <w:spacing w:after="0"/>
        <w:ind w:left="425" w:hanging="425"/>
        <w:jc w:val="both"/>
        <w:rPr>
          <w:rFonts w:eastAsia="Times New Roman" w:cs="Times New Roman"/>
          <w:sz w:val="18"/>
          <w:szCs w:val="18"/>
          <w:lang w:eastAsia="pt-PT"/>
        </w:rPr>
      </w:pPr>
      <w:r w:rsidRPr="004B5630">
        <w:rPr>
          <w:rStyle w:val="Refdenotaderodap"/>
          <w:rFonts w:eastAsia="Times New Roman" w:cs="Times New Roman"/>
          <w:sz w:val="20"/>
          <w:szCs w:val="20"/>
          <w:lang w:eastAsia="pt-PT"/>
        </w:rPr>
        <w:footnoteRef/>
      </w:r>
      <w:r w:rsidRPr="004B5630">
        <w:rPr>
          <w:rStyle w:val="Refdenotaderodap"/>
          <w:rFonts w:eastAsia="Times New Roman" w:cs="Times New Roman"/>
          <w:sz w:val="20"/>
          <w:szCs w:val="20"/>
          <w:lang w:eastAsia="pt-PT"/>
        </w:rPr>
        <w:t xml:space="preserve"> </w:t>
      </w:r>
      <w:r w:rsidRPr="004B5630">
        <w:rPr>
          <w:rFonts w:eastAsia="Times New Roman" w:cs="Times New Roman"/>
          <w:sz w:val="20"/>
          <w:szCs w:val="20"/>
          <w:lang w:eastAsia="pt-PT"/>
        </w:rPr>
        <w:tab/>
      </w:r>
      <w:r w:rsidRPr="004B5630">
        <w:rPr>
          <w:rFonts w:eastAsia="Times New Roman" w:cs="Times New Roman"/>
          <w:sz w:val="18"/>
          <w:szCs w:val="18"/>
          <w:lang w:eastAsia="pt-PT"/>
        </w:rPr>
        <w:t xml:space="preserve">Os CC CNEF/SEPLEU  e  CNEF/ SIPE( ambos primeiras convenções paralelas) e CC CNEF/ ASPL – BTE 5/2019 </w:t>
      </w:r>
      <w:r w:rsidRPr="004B5630">
        <w:rPr>
          <w:rFonts w:ascii="Calibri" w:eastAsia="Times New Roman" w:hAnsi="Calibri" w:cs="Calibri"/>
          <w:sz w:val="18"/>
          <w:szCs w:val="18"/>
        </w:rPr>
        <w:t>CC CNEF</w:t>
      </w:r>
      <w:r w:rsidRPr="004B5630">
        <w:rPr>
          <w:rFonts w:eastAsia="Times New Roman" w:cs="Times New Roman"/>
          <w:sz w:val="18"/>
          <w:szCs w:val="18"/>
          <w:lang w:eastAsia="pt-PT"/>
        </w:rPr>
        <w:t>/ SPLIU ( revisões parciais ) – todos BTE 5/2019 (cl. 4ª,al.u)) [no  CC CNEF/ ASPL e CNEF/ SPLIU é uma nova clausula , ver BTE 47/2017 E 40/2017) .</w:t>
      </w:r>
    </w:p>
  </w:footnote>
  <w:footnote w:id="193">
    <w:p w14:paraId="4534EC48" w14:textId="53E5CC0B" w:rsidR="004B7DBA" w:rsidRPr="004B5630" w:rsidRDefault="004B7DBA" w:rsidP="00C75ACF">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vertAlign w:val="superscript"/>
        </w:rPr>
        <w:tab/>
      </w:r>
      <w:r w:rsidRPr="004B5630">
        <w:rPr>
          <w:rFonts w:cs="Calibri"/>
          <w:sz w:val="18"/>
          <w:szCs w:val="18"/>
        </w:rPr>
        <w:t>AC  Fidelidade / SINAPSA – BTE 5/2019  (Anexo II).</w:t>
      </w:r>
    </w:p>
  </w:footnote>
  <w:footnote w:id="194">
    <w:p w14:paraId="1A595475" w14:textId="74F1E54A" w:rsidR="004B7DBA" w:rsidRPr="004B5630" w:rsidRDefault="004B7DBA" w:rsidP="00C75ACF">
      <w:pPr>
        <w:pStyle w:val="Textodenotaderodap"/>
        <w:ind w:left="425" w:hanging="425"/>
        <w:rPr>
          <w:sz w:val="18"/>
          <w:szCs w:val="18"/>
        </w:rPr>
      </w:pPr>
      <w:r w:rsidRPr="004B5630">
        <w:rPr>
          <w:rStyle w:val="Refdenotaderodap"/>
          <w:sz w:val="18"/>
          <w:szCs w:val="18"/>
        </w:rPr>
        <w:footnoteRef/>
      </w:r>
      <w:r w:rsidRPr="004B5630">
        <w:rPr>
          <w:rStyle w:val="Refdenotaderodap"/>
          <w:sz w:val="18"/>
          <w:szCs w:val="18"/>
        </w:rPr>
        <w:t xml:space="preserve">  </w:t>
      </w:r>
      <w:r w:rsidRPr="004B5630">
        <w:rPr>
          <w:sz w:val="18"/>
          <w:szCs w:val="18"/>
        </w:rPr>
        <w:tab/>
        <w:t xml:space="preserve">Por exemplo, </w:t>
      </w:r>
      <w:r w:rsidRPr="004B5630">
        <w:rPr>
          <w:rFonts w:cs="Calibri"/>
          <w:sz w:val="18"/>
          <w:szCs w:val="18"/>
        </w:rPr>
        <w:t>AE Seguradoras Unidas/SINAPSA – BTE 5/2019 (cl.21ª).</w:t>
      </w:r>
    </w:p>
  </w:footnote>
  <w:footnote w:id="195">
    <w:p w14:paraId="7009DF39" w14:textId="1C7447AC" w:rsidR="004B7DBA" w:rsidRPr="004B5630" w:rsidRDefault="004B7DBA" w:rsidP="00C75ACF">
      <w:pPr>
        <w:pStyle w:val="Textodenotaderodap"/>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cs="Calibri"/>
          <w:sz w:val="18"/>
          <w:szCs w:val="18"/>
        </w:rPr>
        <w:t>AE BMO PORTUGAL/SNQTB – BTE 5/2019 (cl. 23ª).</w:t>
      </w:r>
    </w:p>
  </w:footnote>
  <w:footnote w:id="196">
    <w:p w14:paraId="45C57BED" w14:textId="65EA3859" w:rsidR="004B7DBA" w:rsidRPr="004B5630" w:rsidRDefault="004B7DBA" w:rsidP="00C75ACF">
      <w:pPr>
        <w:spacing w:after="0"/>
        <w:ind w:left="425" w:hanging="425"/>
        <w:jc w:val="both"/>
        <w:rPr>
          <w:rFonts w:ascii="Calibri" w:eastAsia="Times New Roman" w:hAnsi="Calibri" w:cs="Calibri"/>
          <w:sz w:val="18"/>
          <w:szCs w:val="18"/>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ascii="Calibri" w:eastAsia="Times New Roman" w:hAnsi="Calibri" w:cs="Calibri"/>
          <w:sz w:val="18"/>
          <w:szCs w:val="18"/>
        </w:rPr>
        <w:t>É o caso, por exemplo  AE LOURES PARQUE/STAL – BTE 7/2019 (cl.  61ª.).</w:t>
      </w:r>
    </w:p>
  </w:footnote>
  <w:footnote w:id="197">
    <w:p w14:paraId="4430146E" w14:textId="04D36C50" w:rsidR="004B7DBA" w:rsidRPr="004B5630" w:rsidRDefault="004B7DBA" w:rsidP="00C75ACF">
      <w:pPr>
        <w:spacing w:after="0"/>
        <w:ind w:left="425" w:hanging="425"/>
        <w:jc w:val="both"/>
        <w:rPr>
          <w:rFonts w:ascii="Calibri" w:eastAsia="Times New Roman" w:hAnsi="Calibri" w:cs="Calibri"/>
          <w:sz w:val="18"/>
          <w:szCs w:val="18"/>
        </w:rPr>
      </w:pPr>
      <w:r w:rsidRPr="004B5630">
        <w:rPr>
          <w:rFonts w:ascii="Calibri" w:eastAsia="Times New Roman" w:hAnsi="Calibri" w:cs="Calibri"/>
          <w:sz w:val="18"/>
          <w:szCs w:val="18"/>
          <w:vertAlign w:val="superscript"/>
        </w:rPr>
        <w:footnoteRef/>
      </w:r>
      <w:r w:rsidRPr="004B5630">
        <w:rPr>
          <w:rFonts w:ascii="Calibri" w:eastAsia="Times New Roman" w:hAnsi="Calibri" w:cs="Calibri"/>
          <w:sz w:val="18"/>
          <w:szCs w:val="18"/>
        </w:rPr>
        <w:t xml:space="preserve"> </w:t>
      </w:r>
      <w:r w:rsidRPr="004B5630">
        <w:rPr>
          <w:rFonts w:ascii="Calibri" w:eastAsia="Times New Roman" w:hAnsi="Calibri" w:cs="Calibri"/>
          <w:sz w:val="18"/>
          <w:szCs w:val="18"/>
        </w:rPr>
        <w:tab/>
        <w:t>AE IBERLIM (l.aeronaves)/STAD – BTE 5/2019.</w:t>
      </w:r>
    </w:p>
  </w:footnote>
  <w:footnote w:id="198">
    <w:p w14:paraId="038C97EE" w14:textId="3ADDC5CD" w:rsidR="004B7DBA" w:rsidRPr="004B5630" w:rsidRDefault="004B7DBA" w:rsidP="00C75ACF">
      <w:pPr>
        <w:pStyle w:val="Textodenotaderodap"/>
        <w:ind w:left="425" w:hanging="425"/>
        <w:rPr>
          <w:rFonts w:cs="Calibri"/>
          <w:sz w:val="18"/>
          <w:szCs w:val="18"/>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ascii="Calibri" w:hAnsi="Calibri" w:cs="Calibri"/>
          <w:sz w:val="18"/>
          <w:szCs w:val="18"/>
        </w:rPr>
        <w:t>AE IBERLIM (l. hospitais)/STAD – BTE5/2019</w:t>
      </w:r>
      <w:r w:rsidRPr="004B5630">
        <w:rPr>
          <w:sz w:val="18"/>
          <w:szCs w:val="18"/>
        </w:rPr>
        <w:t xml:space="preserve">; </w:t>
      </w:r>
      <w:r w:rsidRPr="004B5630">
        <w:rPr>
          <w:rFonts w:cs="Calibri"/>
          <w:sz w:val="18"/>
          <w:szCs w:val="18"/>
        </w:rPr>
        <w:t>AC Infraestruturas de Portugal SNTSF - BTE 22/2019 (cl. 90-ª); AE SOMINCOR/STIM – BTE 33/2019 (cl. 11ª).</w:t>
      </w:r>
    </w:p>
  </w:footnote>
  <w:footnote w:id="199">
    <w:p w14:paraId="43AD4261" w14:textId="7C529CDF" w:rsidR="004B7DBA" w:rsidRPr="004B5630" w:rsidRDefault="004B7DBA" w:rsidP="00C75ACF">
      <w:pPr>
        <w:pStyle w:val="Textodenotaderodap"/>
        <w:ind w:left="425" w:hanging="425"/>
        <w:rPr>
          <w:sz w:val="18"/>
          <w:szCs w:val="18"/>
        </w:rPr>
      </w:pPr>
      <w:r w:rsidRPr="004B5630">
        <w:rPr>
          <w:rFonts w:cs="Calibri"/>
          <w:sz w:val="18"/>
          <w:szCs w:val="18"/>
          <w:vertAlign w:val="superscript"/>
        </w:rPr>
        <w:footnoteRef/>
      </w:r>
      <w:r w:rsidRPr="004B5630">
        <w:rPr>
          <w:rFonts w:cs="Calibri"/>
          <w:sz w:val="18"/>
          <w:szCs w:val="18"/>
          <w:vertAlign w:val="superscript"/>
        </w:rPr>
        <w:t xml:space="preserve"> </w:t>
      </w:r>
      <w:r w:rsidRPr="004B5630">
        <w:rPr>
          <w:rFonts w:cs="Calibri"/>
          <w:sz w:val="18"/>
          <w:szCs w:val="18"/>
          <w:vertAlign w:val="superscript"/>
        </w:rPr>
        <w:tab/>
      </w:r>
      <w:r w:rsidRPr="004B5630">
        <w:rPr>
          <w:rFonts w:cs="Calibri"/>
          <w:sz w:val="18"/>
          <w:szCs w:val="18"/>
        </w:rPr>
        <w:t>AE PETROGAL/FIEQUIMETAL BTE 35/2019 (Clª 125ª).</w:t>
      </w:r>
    </w:p>
  </w:footnote>
  <w:footnote w:id="200">
    <w:p w14:paraId="68D85090" w14:textId="683E67DB" w:rsidR="004B7DBA" w:rsidRPr="004B5630" w:rsidRDefault="004B7DBA" w:rsidP="00C75ACF">
      <w:pPr>
        <w:pStyle w:val="Textodenotaderodap"/>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cs="Calibri"/>
          <w:sz w:val="18"/>
          <w:szCs w:val="18"/>
        </w:rPr>
        <w:t>AE BMO PORTUGAL/SNQTB – BTE 5/2019 (cl. 23ª).</w:t>
      </w:r>
    </w:p>
  </w:footnote>
  <w:footnote w:id="201">
    <w:p w14:paraId="4D978F89" w14:textId="33C55154" w:rsidR="004B7DBA" w:rsidRPr="004B5630" w:rsidRDefault="004B7DBA" w:rsidP="00C75ACF">
      <w:pPr>
        <w:pStyle w:val="Textodenotaderodap"/>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 xml:space="preserve">AE INATEL/FESAHT, AE INATEL/SINTAP e AE INATEL/SINTESE </w:t>
      </w:r>
      <w:r w:rsidRPr="004B5630">
        <w:rPr>
          <w:rFonts w:cs="Calibri"/>
          <w:sz w:val="18"/>
          <w:szCs w:val="18"/>
        </w:rPr>
        <w:t xml:space="preserve">– todos BTE 6/2019 (cl. 23ª,4ª). </w:t>
      </w:r>
    </w:p>
  </w:footnote>
  <w:footnote w:id="202">
    <w:p w14:paraId="4A6A51D6" w14:textId="4A5CF17D" w:rsidR="004B7DBA" w:rsidRPr="004B5630" w:rsidRDefault="004B7DBA" w:rsidP="00C75ACF">
      <w:pPr>
        <w:pStyle w:val="Textodenotaderodap"/>
        <w:ind w:left="425" w:hanging="425"/>
        <w:rPr>
          <w:sz w:val="18"/>
          <w:szCs w:val="18"/>
          <w:lang w:val="en-US"/>
        </w:rPr>
      </w:pPr>
      <w:r w:rsidRPr="004B5630">
        <w:rPr>
          <w:rStyle w:val="Refdenotaderodap"/>
          <w:sz w:val="18"/>
          <w:szCs w:val="18"/>
        </w:rPr>
        <w:footnoteRef/>
      </w:r>
      <w:r w:rsidRPr="004B5630">
        <w:rPr>
          <w:sz w:val="18"/>
          <w:szCs w:val="18"/>
          <w:lang w:val="en-US"/>
        </w:rPr>
        <w:t xml:space="preserve"> </w:t>
      </w:r>
      <w:r w:rsidRPr="004B5630">
        <w:rPr>
          <w:sz w:val="18"/>
          <w:szCs w:val="18"/>
          <w:lang w:val="en-US"/>
        </w:rPr>
        <w:tab/>
        <w:t xml:space="preserve">AE Easyjet/SNPVAC </w:t>
      </w:r>
      <w:r w:rsidRPr="004B5630">
        <w:rPr>
          <w:rFonts w:cs="Calibri"/>
          <w:sz w:val="18"/>
          <w:szCs w:val="18"/>
          <w:lang w:val="en-US"/>
        </w:rPr>
        <w:t>-</w:t>
      </w:r>
      <w:r w:rsidRPr="004B5630">
        <w:rPr>
          <w:sz w:val="18"/>
          <w:szCs w:val="18"/>
          <w:lang w:val="en-US"/>
        </w:rPr>
        <w:t>BTE28/2019 (cls. 4ª e 5ª).</w:t>
      </w:r>
    </w:p>
  </w:footnote>
  <w:footnote w:id="203">
    <w:p w14:paraId="6BD25B20" w14:textId="4C512236" w:rsidR="004B7DBA" w:rsidRPr="004B5630" w:rsidRDefault="004B7DBA" w:rsidP="00C75ACF">
      <w:pPr>
        <w:pStyle w:val="Textodenotaderodap"/>
        <w:ind w:left="425" w:hanging="425"/>
        <w:rPr>
          <w:sz w:val="18"/>
          <w:szCs w:val="18"/>
          <w:lang w:val="en-US"/>
        </w:rPr>
      </w:pPr>
      <w:r w:rsidRPr="004B5630">
        <w:rPr>
          <w:rStyle w:val="Refdenotaderodap"/>
          <w:sz w:val="18"/>
          <w:szCs w:val="18"/>
        </w:rPr>
        <w:footnoteRef/>
      </w:r>
      <w:r w:rsidRPr="004B5630">
        <w:rPr>
          <w:sz w:val="18"/>
          <w:szCs w:val="18"/>
          <w:lang w:val="en-US"/>
        </w:rPr>
        <w:t xml:space="preserve"> </w:t>
      </w:r>
      <w:r w:rsidRPr="004B5630">
        <w:rPr>
          <w:sz w:val="18"/>
          <w:szCs w:val="18"/>
          <w:lang w:val="en-US"/>
        </w:rPr>
        <w:tab/>
        <w:t>AE Easyjet/SNPVAC</w:t>
      </w:r>
      <w:r w:rsidRPr="004B5630">
        <w:rPr>
          <w:rFonts w:cs="Calibri"/>
          <w:sz w:val="18"/>
          <w:szCs w:val="18"/>
          <w:lang w:val="en-US"/>
        </w:rPr>
        <w:t>-</w:t>
      </w:r>
      <w:r w:rsidRPr="004B5630">
        <w:rPr>
          <w:sz w:val="18"/>
          <w:szCs w:val="18"/>
          <w:lang w:val="en-US"/>
        </w:rPr>
        <w:t xml:space="preserve"> BTE28/2019 (cl. 43ª).</w:t>
      </w:r>
    </w:p>
  </w:footnote>
  <w:footnote w:id="204">
    <w:p w14:paraId="7FFED966" w14:textId="1FE791F5" w:rsidR="004B7DBA" w:rsidRPr="004B5630" w:rsidRDefault="004B7DBA" w:rsidP="009A42A6">
      <w:pPr>
        <w:pStyle w:val="Textodenotaderodap"/>
        <w:ind w:left="284" w:right="-1" w:hanging="284"/>
        <w:rPr>
          <w:sz w:val="18"/>
          <w:szCs w:val="18"/>
          <w:lang w:val="en-US"/>
        </w:rPr>
      </w:pPr>
      <w:r w:rsidRPr="004B5630">
        <w:rPr>
          <w:rStyle w:val="Refdenotaderodap"/>
          <w:sz w:val="18"/>
          <w:szCs w:val="18"/>
        </w:rPr>
        <w:footnoteRef/>
      </w:r>
      <w:r w:rsidRPr="004B5630">
        <w:rPr>
          <w:sz w:val="18"/>
          <w:szCs w:val="18"/>
          <w:lang w:val="en-US"/>
        </w:rPr>
        <w:t xml:space="preserve"> </w:t>
      </w:r>
      <w:r w:rsidRPr="004B5630">
        <w:rPr>
          <w:sz w:val="18"/>
          <w:szCs w:val="18"/>
          <w:lang w:val="en-US"/>
        </w:rPr>
        <w:tab/>
        <w:t xml:space="preserve">   </w:t>
      </w:r>
      <w:r w:rsidRPr="004B5630">
        <w:rPr>
          <w:rFonts w:cs="Calibri"/>
          <w:sz w:val="18"/>
          <w:szCs w:val="18"/>
          <w:lang w:val="en-US"/>
        </w:rPr>
        <w:t>AE SUCH/FESAHT - BTE 21/2019 (Anexo III).</w:t>
      </w:r>
    </w:p>
  </w:footnote>
  <w:footnote w:id="205">
    <w:p w14:paraId="6EE72B24" w14:textId="53A48C70" w:rsidR="004B7DBA" w:rsidRPr="004B5630" w:rsidRDefault="004B7DBA" w:rsidP="00A15F67">
      <w:pPr>
        <w:pStyle w:val="Textodenotaderodap"/>
        <w:ind w:left="425" w:hanging="425"/>
        <w:rPr>
          <w:sz w:val="18"/>
          <w:szCs w:val="18"/>
        </w:rPr>
      </w:pPr>
      <w:r w:rsidRPr="004B5630">
        <w:rPr>
          <w:rStyle w:val="Refdenotaderodap"/>
        </w:rPr>
        <w:footnoteRef/>
      </w:r>
      <w:r w:rsidRPr="004B5630">
        <w:rPr>
          <w:sz w:val="18"/>
          <w:szCs w:val="18"/>
        </w:rPr>
        <w:t xml:space="preserve"> </w:t>
      </w:r>
      <w:r w:rsidRPr="004B5630">
        <w:rPr>
          <w:sz w:val="18"/>
          <w:szCs w:val="18"/>
        </w:rPr>
        <w:tab/>
        <w:t>As convenções com regulamentação mais específica encontram-se identificadas em nota deste segmento do relatório.</w:t>
      </w:r>
    </w:p>
  </w:footnote>
  <w:footnote w:id="206">
    <w:p w14:paraId="7412AD87" w14:textId="4B09C100" w:rsidR="004B7DBA" w:rsidRPr="004B5630" w:rsidRDefault="004B7DBA" w:rsidP="000D7E2E">
      <w:pPr>
        <w:pStyle w:val="Textodenotaderodap"/>
        <w:ind w:left="425" w:right="57"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Apenas no regime de disponibilidade [5.5.5.2. f)] há maior número de ocorrências em 2019, face a 2018.</w:t>
      </w:r>
    </w:p>
  </w:footnote>
  <w:footnote w:id="207">
    <w:p w14:paraId="0B981200" w14:textId="0E94B4FC" w:rsidR="004B7DBA" w:rsidRPr="004B5630" w:rsidRDefault="004B7DBA" w:rsidP="000D7E2E">
      <w:pPr>
        <w:tabs>
          <w:tab w:val="left" w:pos="426"/>
        </w:tabs>
        <w:spacing w:after="0" w:line="240" w:lineRule="auto"/>
        <w:ind w:left="425" w:right="57" w:hanging="425"/>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t xml:space="preserve">Não disciplinam o PNT, por exemplo, </w:t>
      </w:r>
      <w:r w:rsidRPr="004B5630">
        <w:rPr>
          <w:rFonts w:eastAsia="Times New Roman" w:cs="Calibri"/>
          <w:sz w:val="18"/>
          <w:szCs w:val="18"/>
          <w:lang w:eastAsia="pt-PT"/>
        </w:rPr>
        <w:t xml:space="preserve">AE IBERLIM(l. hospitais)/STAD – BTE 5/2019 e AE Fico Cables/SINDEL – BTE 45/2019.  </w:t>
      </w:r>
    </w:p>
  </w:footnote>
  <w:footnote w:id="208">
    <w:p w14:paraId="63F74A83" w14:textId="06143009" w:rsidR="004B7DBA" w:rsidRPr="004B5630" w:rsidRDefault="004B7DBA" w:rsidP="006E6B47">
      <w:pPr>
        <w:pStyle w:val="Textodenotaderodap"/>
        <w:tabs>
          <w:tab w:val="left" w:pos="142"/>
          <w:tab w:val="left" w:pos="426"/>
        </w:tabs>
        <w:ind w:left="426" w:right="-1" w:hanging="426"/>
        <w:rPr>
          <w:rStyle w:val="Refdenotaderodap"/>
          <w:sz w:val="18"/>
          <w:szCs w:val="18"/>
          <w:vertAlign w:val="baseline"/>
        </w:rPr>
      </w:pPr>
      <w:r w:rsidRPr="004B5630">
        <w:rPr>
          <w:rStyle w:val="Refdenotaderodap"/>
          <w:sz w:val="18"/>
          <w:szCs w:val="18"/>
        </w:rPr>
        <w:footnoteRef/>
      </w:r>
      <w:r w:rsidRPr="004B5630">
        <w:rPr>
          <w:rStyle w:val="Refdenotaderodap"/>
          <w:sz w:val="18"/>
          <w:szCs w:val="18"/>
          <w:vertAlign w:val="baseline"/>
        </w:rPr>
        <w:t xml:space="preserve"> </w:t>
      </w:r>
      <w:r w:rsidRPr="004B5630">
        <w:rPr>
          <w:sz w:val="18"/>
          <w:szCs w:val="18"/>
        </w:rPr>
        <w:tab/>
      </w:r>
      <w:r w:rsidRPr="004B5630">
        <w:rPr>
          <w:rStyle w:val="Refdenotaderodap"/>
          <w:sz w:val="18"/>
          <w:szCs w:val="18"/>
          <w:vertAlign w:val="baseline"/>
        </w:rPr>
        <w:t>Por exemplo: os CC CNEF/ SEPLEU e  CC CNEF/ SIPE – ambos BTE 5/2019 (cl. 17ª); AE PEFACO/FESAHT – BTE 6/2019 (cl.34ª); AE AAAC/CESP e outro  - BTE 26/2019 (cl.8ª) [(=) BTE 22/2010]. No mesmo sentido, encontram-se  as convenções do setor dos seguros, assim, AE EUROP ASSISTANCE/SINAPSA – BTE 17/2019 (cl.16ª).</w:t>
      </w:r>
    </w:p>
  </w:footnote>
  <w:footnote w:id="209">
    <w:p w14:paraId="20F26C7E" w14:textId="4F836CC9" w:rsidR="004B7DBA" w:rsidRPr="004B5630" w:rsidRDefault="004B7DBA" w:rsidP="006E6B47">
      <w:pPr>
        <w:pStyle w:val="Textodenotaderodap"/>
        <w:tabs>
          <w:tab w:val="left" w:pos="142"/>
          <w:tab w:val="left" w:pos="426"/>
        </w:tabs>
        <w:ind w:left="426" w:right="-1" w:hanging="426"/>
        <w:rPr>
          <w:rStyle w:val="Refdenotaderodap"/>
          <w:sz w:val="18"/>
          <w:szCs w:val="18"/>
          <w:vertAlign w:val="baseline"/>
        </w:rPr>
      </w:pPr>
      <w:r w:rsidRPr="004B5630">
        <w:rPr>
          <w:rStyle w:val="Refdenotaderodap"/>
          <w:sz w:val="18"/>
          <w:szCs w:val="18"/>
        </w:rPr>
        <w:footnoteRef/>
      </w:r>
      <w:r w:rsidRPr="004B5630">
        <w:rPr>
          <w:rStyle w:val="Refdenotaderodap"/>
          <w:sz w:val="18"/>
          <w:szCs w:val="18"/>
          <w:vertAlign w:val="baseline"/>
        </w:rPr>
        <w:t xml:space="preserve"> </w:t>
      </w:r>
      <w:r w:rsidRPr="004B5630">
        <w:rPr>
          <w:sz w:val="18"/>
          <w:szCs w:val="18"/>
        </w:rPr>
        <w:tab/>
      </w:r>
      <w:r w:rsidRPr="004B5630">
        <w:rPr>
          <w:rStyle w:val="Refdenotaderodap"/>
          <w:sz w:val="18"/>
          <w:szCs w:val="18"/>
          <w:vertAlign w:val="baseline"/>
        </w:rPr>
        <w:t xml:space="preserve">Por exemplo:   AE  PETROGA/FIEQUIMETAL  – BTE 35/2019 e paralelos (cl.5ª) (38H). Nos AE NAVIGATOR/CONFESINT – BTE 17/2019 (cl.27.ª) e paralelos observa-se uma redução do PNT semanal de 40 H para 39H (altera AE PORTUCEL/CONFESINT - BTE 14/2016; PORTUCEL/FIEQUIMETAL e PORTUCEL/FETESE  - ambos BTE 20/2016).   </w:t>
      </w:r>
    </w:p>
  </w:footnote>
  <w:footnote w:id="210">
    <w:p w14:paraId="0F38DCA4" w14:textId="42962C9F" w:rsidR="004B7DBA" w:rsidRPr="004B5630" w:rsidRDefault="004B7DBA" w:rsidP="008F57AA">
      <w:pPr>
        <w:pStyle w:val="Textodenotaderodap"/>
        <w:tabs>
          <w:tab w:val="left" w:pos="142"/>
          <w:tab w:val="left" w:pos="426"/>
        </w:tabs>
        <w:ind w:left="426" w:right="-1" w:hanging="426"/>
        <w:rPr>
          <w:rStyle w:val="Refdenotaderodap"/>
          <w:sz w:val="18"/>
          <w:szCs w:val="18"/>
          <w:vertAlign w:val="baseline"/>
        </w:rPr>
      </w:pPr>
      <w:r w:rsidRPr="004B5630">
        <w:rPr>
          <w:rStyle w:val="Refdenotaderodap"/>
          <w:sz w:val="18"/>
          <w:szCs w:val="18"/>
        </w:rPr>
        <w:footnoteRef/>
      </w:r>
      <w:r w:rsidRPr="004B5630">
        <w:rPr>
          <w:rStyle w:val="Refdenotaderodap"/>
          <w:sz w:val="18"/>
          <w:szCs w:val="18"/>
          <w:vertAlign w:val="baseline"/>
        </w:rPr>
        <w:t xml:space="preserve"> </w:t>
      </w:r>
      <w:r w:rsidRPr="004B5630">
        <w:rPr>
          <w:rStyle w:val="Refdenotaderodap"/>
          <w:sz w:val="18"/>
          <w:szCs w:val="18"/>
          <w:vertAlign w:val="baseline"/>
        </w:rPr>
        <w:tab/>
        <w:t>CC ANIECA/FECTRANS – BTE 13/2019 e CC ANORECA/FECTRANS – BTE 17/2019 (ambos cl.24ª) [(=)  BTE 10/2018 e BTE 13/2018, respetivamente]</w:t>
      </w:r>
      <w:r w:rsidRPr="004B5630">
        <w:rPr>
          <w:sz w:val="18"/>
          <w:szCs w:val="18"/>
        </w:rPr>
        <w:t>.</w:t>
      </w:r>
      <w:r w:rsidRPr="004B5630">
        <w:rPr>
          <w:rStyle w:val="Refdenotaderodap"/>
          <w:sz w:val="18"/>
          <w:szCs w:val="18"/>
          <w:vertAlign w:val="baseline"/>
        </w:rPr>
        <w:t xml:space="preserve">  </w:t>
      </w:r>
    </w:p>
  </w:footnote>
  <w:footnote w:id="211">
    <w:p w14:paraId="13754244" w14:textId="7FF1389A" w:rsidR="004B7DBA" w:rsidRPr="004B5630" w:rsidRDefault="004B7DBA" w:rsidP="008F57AA">
      <w:pPr>
        <w:pStyle w:val="Textodenotaderodap"/>
        <w:tabs>
          <w:tab w:val="left" w:pos="142"/>
          <w:tab w:val="left" w:pos="426"/>
        </w:tabs>
        <w:ind w:left="426" w:right="-1" w:hanging="426"/>
        <w:rPr>
          <w:rStyle w:val="Refdenotaderodap"/>
          <w:sz w:val="18"/>
          <w:szCs w:val="18"/>
          <w:vertAlign w:val="baseline"/>
        </w:rPr>
      </w:pPr>
      <w:r w:rsidRPr="004B5630">
        <w:rPr>
          <w:rStyle w:val="Refdenotaderodap"/>
          <w:sz w:val="18"/>
          <w:szCs w:val="18"/>
        </w:rPr>
        <w:footnoteRef/>
      </w:r>
      <w:r w:rsidRPr="004B5630">
        <w:rPr>
          <w:rStyle w:val="Refdenotaderodap"/>
          <w:sz w:val="18"/>
          <w:szCs w:val="18"/>
          <w:vertAlign w:val="baseline"/>
        </w:rPr>
        <w:t xml:space="preserve">  </w:t>
      </w:r>
      <w:r w:rsidRPr="004B5630">
        <w:rPr>
          <w:sz w:val="18"/>
          <w:szCs w:val="18"/>
        </w:rPr>
        <w:tab/>
      </w:r>
      <w:r w:rsidRPr="004B5630">
        <w:rPr>
          <w:rStyle w:val="Refdenotaderodap"/>
          <w:sz w:val="18"/>
          <w:szCs w:val="18"/>
          <w:vertAlign w:val="baseline"/>
        </w:rPr>
        <w:t>CC ACRL/CESP – BTE 16/2019 e CC ACRL/SITESE – BTE 24/2019 (cls. 21ª,3) [(=)BTE  25/2016].</w:t>
      </w:r>
    </w:p>
  </w:footnote>
  <w:footnote w:id="212">
    <w:p w14:paraId="147BF782" w14:textId="64156720" w:rsidR="004B7DBA" w:rsidRPr="004B5630" w:rsidRDefault="004B7DBA" w:rsidP="008F57AA">
      <w:pPr>
        <w:pStyle w:val="Textodenotaderodap"/>
        <w:tabs>
          <w:tab w:val="left" w:pos="142"/>
          <w:tab w:val="left" w:pos="426"/>
        </w:tabs>
        <w:ind w:left="426" w:right="-1" w:hanging="426"/>
        <w:rPr>
          <w:rStyle w:val="Refdenotaderodap"/>
          <w:sz w:val="18"/>
          <w:szCs w:val="18"/>
          <w:vertAlign w:val="baseline"/>
        </w:rPr>
      </w:pPr>
      <w:r w:rsidRPr="004B5630">
        <w:rPr>
          <w:rStyle w:val="Refdenotaderodap"/>
          <w:sz w:val="18"/>
          <w:szCs w:val="18"/>
        </w:rPr>
        <w:footnoteRef/>
      </w:r>
      <w:r w:rsidRPr="004B5630">
        <w:rPr>
          <w:rStyle w:val="Refdenotaderodap"/>
          <w:sz w:val="18"/>
          <w:szCs w:val="18"/>
          <w:vertAlign w:val="baseline"/>
        </w:rPr>
        <w:t xml:space="preserve"> </w:t>
      </w:r>
      <w:r w:rsidRPr="004B5630">
        <w:rPr>
          <w:sz w:val="18"/>
          <w:szCs w:val="18"/>
        </w:rPr>
        <w:tab/>
      </w:r>
      <w:r w:rsidRPr="004B5630">
        <w:rPr>
          <w:rStyle w:val="Refdenotaderodap"/>
          <w:sz w:val="18"/>
          <w:szCs w:val="18"/>
          <w:vertAlign w:val="baseline"/>
        </w:rPr>
        <w:t>CC CNIS/FEPCES – BTE 41/2019 (cl.25º).</w:t>
      </w:r>
    </w:p>
  </w:footnote>
  <w:footnote w:id="213">
    <w:p w14:paraId="72D2F0AB" w14:textId="0DBE1E6F" w:rsidR="004B7DBA" w:rsidRPr="004B5630" w:rsidRDefault="004B7DBA" w:rsidP="006E6B47">
      <w:pPr>
        <w:pStyle w:val="Textodenotaderodap"/>
        <w:tabs>
          <w:tab w:val="left" w:pos="142"/>
          <w:tab w:val="left" w:pos="426"/>
        </w:tabs>
        <w:ind w:left="426" w:right="-1" w:hanging="426"/>
        <w:rPr>
          <w:rStyle w:val="Refdenotaderodap"/>
          <w:sz w:val="18"/>
          <w:szCs w:val="18"/>
          <w:vertAlign w:val="baseline"/>
        </w:rPr>
      </w:pPr>
      <w:r w:rsidRPr="004B5630">
        <w:rPr>
          <w:rStyle w:val="Refdenotaderodap"/>
          <w:sz w:val="18"/>
          <w:szCs w:val="18"/>
        </w:rPr>
        <w:footnoteRef/>
      </w:r>
      <w:r w:rsidRPr="004B5630">
        <w:rPr>
          <w:rStyle w:val="Refdenotaderodap"/>
          <w:sz w:val="18"/>
          <w:szCs w:val="18"/>
        </w:rPr>
        <w:t xml:space="preserve"> </w:t>
      </w:r>
      <w:r w:rsidRPr="004B5630">
        <w:rPr>
          <w:rStyle w:val="Refdenotaderodap"/>
          <w:sz w:val="18"/>
          <w:szCs w:val="18"/>
          <w:vertAlign w:val="baseline"/>
        </w:rPr>
        <w:t xml:space="preserve"> </w:t>
      </w:r>
      <w:r w:rsidRPr="004B5630">
        <w:rPr>
          <w:sz w:val="18"/>
          <w:szCs w:val="18"/>
        </w:rPr>
        <w:tab/>
      </w:r>
      <w:r w:rsidRPr="004B5630">
        <w:rPr>
          <w:rStyle w:val="Refdenotaderodap"/>
          <w:sz w:val="18"/>
          <w:szCs w:val="18"/>
          <w:vertAlign w:val="baseline"/>
        </w:rPr>
        <w:t>Por exemplo, AE PEFACO/FESAHT– BTE 6/2019 (cl.34.º), que distingue os trabalhadores do Bingo, (com carga horária mais reduzida), dos restantes trabalhadores da empresa</w:t>
      </w:r>
      <w:r w:rsidRPr="004B5630">
        <w:rPr>
          <w:sz w:val="18"/>
          <w:szCs w:val="18"/>
        </w:rPr>
        <w:t>.</w:t>
      </w:r>
      <w:r w:rsidRPr="004B5630">
        <w:rPr>
          <w:rStyle w:val="Refdenotaderodap"/>
          <w:sz w:val="18"/>
          <w:szCs w:val="18"/>
          <w:vertAlign w:val="baseline"/>
        </w:rPr>
        <w:t xml:space="preserve"> </w:t>
      </w:r>
    </w:p>
  </w:footnote>
  <w:footnote w:id="214">
    <w:p w14:paraId="2167C40A" w14:textId="3A238947" w:rsidR="004B7DBA" w:rsidRPr="004B5630" w:rsidRDefault="004B7DBA" w:rsidP="008F57AA">
      <w:pPr>
        <w:pStyle w:val="Textodenotaderodap"/>
        <w:tabs>
          <w:tab w:val="left" w:pos="142"/>
          <w:tab w:val="left" w:pos="426"/>
        </w:tabs>
        <w:ind w:left="426" w:right="-1" w:hanging="426"/>
        <w:rPr>
          <w:rStyle w:val="Refdenotaderodap"/>
          <w:sz w:val="18"/>
          <w:szCs w:val="18"/>
          <w:vertAlign w:val="baseline"/>
        </w:rPr>
      </w:pPr>
      <w:r w:rsidRPr="004B5630">
        <w:rPr>
          <w:rStyle w:val="Refdenotaderodap"/>
          <w:sz w:val="18"/>
          <w:szCs w:val="18"/>
        </w:rPr>
        <w:footnoteRef/>
      </w:r>
      <w:r w:rsidRPr="004B5630">
        <w:rPr>
          <w:rStyle w:val="Refdenotaderodap"/>
          <w:sz w:val="18"/>
          <w:szCs w:val="18"/>
          <w:vertAlign w:val="baseline"/>
        </w:rPr>
        <w:t xml:space="preserve"> </w:t>
      </w:r>
      <w:r w:rsidRPr="004B5630">
        <w:rPr>
          <w:sz w:val="18"/>
          <w:szCs w:val="18"/>
        </w:rPr>
        <w:tab/>
      </w:r>
      <w:r w:rsidRPr="004B5630">
        <w:rPr>
          <w:rStyle w:val="Refdenotaderodap"/>
          <w:sz w:val="18"/>
          <w:szCs w:val="18"/>
          <w:vertAlign w:val="baseline"/>
        </w:rPr>
        <w:t>Por exemplo, todos os do setor da banca e seguros (k)</w:t>
      </w:r>
      <w:r w:rsidRPr="004B5630">
        <w:rPr>
          <w:sz w:val="18"/>
          <w:szCs w:val="18"/>
        </w:rPr>
        <w:t>.</w:t>
      </w:r>
    </w:p>
  </w:footnote>
  <w:footnote w:id="215">
    <w:p w14:paraId="24D8671C" w14:textId="345E7A32" w:rsidR="004B7DBA" w:rsidRPr="004B5630" w:rsidRDefault="004B7DBA" w:rsidP="00655D33">
      <w:pPr>
        <w:pStyle w:val="Textodenotaderodap"/>
        <w:tabs>
          <w:tab w:val="left" w:pos="142"/>
          <w:tab w:val="left" w:pos="426"/>
        </w:tabs>
        <w:ind w:left="426" w:right="-1" w:hanging="426"/>
        <w:rPr>
          <w:rStyle w:val="Refdenotaderodap"/>
          <w:sz w:val="18"/>
          <w:szCs w:val="18"/>
          <w:vertAlign w:val="baseline"/>
        </w:rPr>
      </w:pPr>
      <w:r w:rsidRPr="004B5630">
        <w:rPr>
          <w:rStyle w:val="Refdenotaderodap"/>
          <w:sz w:val="18"/>
          <w:szCs w:val="18"/>
        </w:rPr>
        <w:footnoteRef/>
      </w:r>
      <w:r w:rsidRPr="004B5630">
        <w:rPr>
          <w:rStyle w:val="Refdenotaderodap"/>
          <w:sz w:val="18"/>
          <w:szCs w:val="18"/>
          <w:vertAlign w:val="baseline"/>
        </w:rPr>
        <w:t xml:space="preserve"> </w:t>
      </w:r>
      <w:r w:rsidRPr="004B5630">
        <w:rPr>
          <w:sz w:val="18"/>
          <w:szCs w:val="18"/>
        </w:rPr>
        <w:tab/>
      </w:r>
      <w:r w:rsidRPr="004B5630">
        <w:rPr>
          <w:rStyle w:val="Refdenotaderodap"/>
          <w:sz w:val="18"/>
          <w:szCs w:val="18"/>
          <w:vertAlign w:val="baseline"/>
        </w:rPr>
        <w:t>AC OPERFOZ/SINPORFOZ – BTE 10/2019 (cl. 23ª,3).</w:t>
      </w:r>
    </w:p>
  </w:footnote>
  <w:footnote w:id="216">
    <w:p w14:paraId="1CF86ED9" w14:textId="72902D80" w:rsidR="004B7DBA" w:rsidRPr="004B5630" w:rsidRDefault="004B7DBA" w:rsidP="000D7E2E">
      <w:pPr>
        <w:pStyle w:val="Textodenotaderodap"/>
        <w:tabs>
          <w:tab w:val="left" w:pos="142"/>
          <w:tab w:val="left" w:pos="426"/>
        </w:tabs>
        <w:ind w:left="426" w:right="-1" w:hanging="426"/>
        <w:rPr>
          <w:rStyle w:val="Refdenotaderodap"/>
          <w:sz w:val="18"/>
          <w:szCs w:val="18"/>
          <w:vertAlign w:val="baseline"/>
        </w:rPr>
      </w:pPr>
      <w:r w:rsidRPr="004B5630">
        <w:rPr>
          <w:rStyle w:val="Refdenotaderodap"/>
          <w:sz w:val="18"/>
          <w:szCs w:val="18"/>
        </w:rPr>
        <w:footnoteRef/>
      </w:r>
      <w:r w:rsidRPr="004B5630">
        <w:rPr>
          <w:rStyle w:val="Refdenotaderodap"/>
          <w:sz w:val="18"/>
          <w:szCs w:val="18"/>
          <w:vertAlign w:val="baseline"/>
        </w:rPr>
        <w:t xml:space="preserve"> </w:t>
      </w:r>
      <w:r w:rsidRPr="004B5630">
        <w:rPr>
          <w:sz w:val="18"/>
          <w:szCs w:val="18"/>
        </w:rPr>
        <w:tab/>
      </w:r>
      <w:r w:rsidRPr="004B5630">
        <w:rPr>
          <w:rStyle w:val="Refdenotaderodap"/>
          <w:sz w:val="18"/>
          <w:szCs w:val="18"/>
          <w:vertAlign w:val="baseline"/>
        </w:rPr>
        <w:t>Ver infra 4.4.9.</w:t>
      </w:r>
    </w:p>
  </w:footnote>
  <w:footnote w:id="217">
    <w:p w14:paraId="01C12DDD" w14:textId="6D0A6ED2" w:rsidR="004B7DBA" w:rsidRPr="004B5630" w:rsidRDefault="004B7DBA" w:rsidP="000D7E2E">
      <w:pPr>
        <w:pStyle w:val="Textodenotaderodap"/>
        <w:tabs>
          <w:tab w:val="left" w:pos="142"/>
          <w:tab w:val="left" w:pos="426"/>
        </w:tabs>
        <w:ind w:left="425" w:hanging="425"/>
        <w:rPr>
          <w:rStyle w:val="Refdenotaderodap"/>
          <w:sz w:val="18"/>
          <w:szCs w:val="18"/>
          <w:vertAlign w:val="baseline"/>
        </w:rPr>
      </w:pPr>
      <w:r w:rsidRPr="004B5630">
        <w:rPr>
          <w:rStyle w:val="Refdenotaderodap"/>
          <w:sz w:val="18"/>
          <w:szCs w:val="18"/>
        </w:rPr>
        <w:footnoteRef/>
      </w:r>
      <w:r w:rsidRPr="004B5630">
        <w:rPr>
          <w:rStyle w:val="Refdenotaderodap"/>
          <w:sz w:val="18"/>
          <w:szCs w:val="18"/>
        </w:rPr>
        <w:t xml:space="preserve"> </w:t>
      </w:r>
      <w:r w:rsidRPr="004B5630">
        <w:rPr>
          <w:sz w:val="18"/>
          <w:szCs w:val="18"/>
        </w:rPr>
        <w:tab/>
      </w:r>
      <w:r w:rsidRPr="004B5630">
        <w:rPr>
          <w:rStyle w:val="Refdenotaderodap"/>
          <w:sz w:val="18"/>
          <w:szCs w:val="18"/>
          <w:vertAlign w:val="baseline"/>
        </w:rPr>
        <w:t xml:space="preserve">Recorde-se que o CT/2003 consagrou um regime de majoração das férias em função da assiduidade, que permitia o acréscimo de um, dois ou três dias de férias, consoante o número de faltas justificadas dadas pelo trabalhador no ano a que as férias se reportam (art. 213.º, 3 e 4). A solução transitou para o CT/2009 (art. 238.º, 3 e 4) e foi eliminada pela Lei n.º 23/2012, de 23 de junho. </w:t>
      </w:r>
    </w:p>
  </w:footnote>
  <w:footnote w:id="218">
    <w:p w14:paraId="6B091F25" w14:textId="1381A1B1" w:rsidR="004B7DBA" w:rsidRPr="004B5630" w:rsidRDefault="004B7DBA" w:rsidP="00D023A8">
      <w:pPr>
        <w:pStyle w:val="Textodenotaderodap"/>
        <w:tabs>
          <w:tab w:val="left" w:pos="142"/>
          <w:tab w:val="left" w:pos="426"/>
        </w:tabs>
        <w:ind w:left="426" w:right="-1" w:hanging="426"/>
        <w:rPr>
          <w:rStyle w:val="Refdenotaderodap"/>
          <w:sz w:val="18"/>
          <w:szCs w:val="18"/>
          <w:vertAlign w:val="baseline"/>
        </w:rPr>
      </w:pPr>
      <w:r w:rsidRPr="004B5630">
        <w:rPr>
          <w:rStyle w:val="Refdenotaderodap"/>
          <w:sz w:val="18"/>
          <w:szCs w:val="18"/>
        </w:rPr>
        <w:footnoteRef/>
      </w:r>
      <w:r w:rsidRPr="004B5630">
        <w:rPr>
          <w:rStyle w:val="Refdenotaderodap"/>
          <w:sz w:val="18"/>
          <w:szCs w:val="18"/>
        </w:rPr>
        <w:t xml:space="preserve">  </w:t>
      </w:r>
      <w:r w:rsidRPr="004B5630">
        <w:rPr>
          <w:sz w:val="18"/>
          <w:szCs w:val="18"/>
        </w:rPr>
        <w:tab/>
      </w:r>
      <w:r w:rsidRPr="004B5630">
        <w:rPr>
          <w:rStyle w:val="Refdenotaderodap"/>
          <w:sz w:val="18"/>
          <w:szCs w:val="18"/>
          <w:vertAlign w:val="baseline"/>
        </w:rPr>
        <w:t>Por exemplo, CC ADIPA (Retalhistas)/SITESE – BTE 14/2019 (cl.30.º); CC ANTROP/SNM–   BTE 35/2019 (cl.30ª) e paralelos; CC ACIBARCELOS/SITSECCVAC - BTE 27/2019 (cl.26ª); AE ViaPorto/SINFB – BTE 35/2019 (cl.41ª).</w:t>
      </w:r>
    </w:p>
  </w:footnote>
  <w:footnote w:id="219">
    <w:p w14:paraId="57FCC08F" w14:textId="216EF941" w:rsidR="004B7DBA" w:rsidRPr="004B5630" w:rsidRDefault="004B7DBA" w:rsidP="00D023A8">
      <w:pPr>
        <w:pStyle w:val="Textodenotaderodap"/>
        <w:tabs>
          <w:tab w:val="left" w:pos="142"/>
          <w:tab w:val="left" w:pos="426"/>
        </w:tabs>
        <w:ind w:left="426" w:right="-1" w:hanging="426"/>
        <w:rPr>
          <w:rStyle w:val="Refdenotaderodap"/>
          <w:sz w:val="18"/>
          <w:szCs w:val="18"/>
        </w:rPr>
      </w:pPr>
      <w:r w:rsidRPr="004B5630">
        <w:rPr>
          <w:rStyle w:val="Refdenotaderodap"/>
          <w:sz w:val="18"/>
          <w:szCs w:val="18"/>
        </w:rPr>
        <w:footnoteRef/>
      </w:r>
      <w:r w:rsidRPr="004B5630">
        <w:rPr>
          <w:rStyle w:val="Refdenotaderodap"/>
          <w:sz w:val="18"/>
          <w:szCs w:val="18"/>
        </w:rPr>
        <w:t xml:space="preserve"> </w:t>
      </w:r>
      <w:r w:rsidRPr="004B5630">
        <w:rPr>
          <w:sz w:val="18"/>
          <w:szCs w:val="18"/>
        </w:rPr>
        <w:tab/>
      </w:r>
      <w:r w:rsidRPr="004B5630">
        <w:rPr>
          <w:rStyle w:val="Refdenotaderodap"/>
          <w:sz w:val="18"/>
          <w:szCs w:val="18"/>
          <w:vertAlign w:val="baseline"/>
        </w:rPr>
        <w:t>AC SUPER BOCK/FESAHT – BTE 7/2019 (cl.43º); AE CAIMA/SITESE - BTE 24/2019 (cl. 27ª), [(=) AE CAIMA/ FIEQUIMETAL - BTE 17/2018; e AC BRISA/SETACCOP E OUTROS – BTE 36/2019 (cl.45ª)</w:t>
      </w:r>
      <w:r w:rsidRPr="004B5630">
        <w:rPr>
          <w:sz w:val="18"/>
          <w:szCs w:val="18"/>
        </w:rPr>
        <w:t>,</w:t>
      </w:r>
    </w:p>
  </w:footnote>
  <w:footnote w:id="220">
    <w:p w14:paraId="167410EF" w14:textId="6C397402" w:rsidR="004B7DBA" w:rsidRPr="004B5630" w:rsidRDefault="004B7DBA" w:rsidP="00D023A8">
      <w:pPr>
        <w:pStyle w:val="Textodenotaderodap"/>
        <w:tabs>
          <w:tab w:val="left" w:pos="142"/>
          <w:tab w:val="left" w:pos="426"/>
        </w:tabs>
        <w:ind w:left="426" w:right="-1" w:hanging="426"/>
        <w:rPr>
          <w:rStyle w:val="Refdenotaderodap"/>
          <w:sz w:val="18"/>
          <w:szCs w:val="18"/>
          <w:vertAlign w:val="baseline"/>
        </w:rPr>
      </w:pPr>
      <w:r w:rsidRPr="004B5630">
        <w:rPr>
          <w:rStyle w:val="Refdenotaderodap"/>
          <w:sz w:val="18"/>
          <w:szCs w:val="18"/>
        </w:rPr>
        <w:footnoteRef/>
      </w:r>
      <w:r w:rsidRPr="004B5630">
        <w:rPr>
          <w:rStyle w:val="Refdenotaderodap"/>
          <w:sz w:val="18"/>
          <w:szCs w:val="18"/>
        </w:rPr>
        <w:t xml:space="preserve"> </w:t>
      </w:r>
      <w:r w:rsidRPr="004B5630">
        <w:rPr>
          <w:rStyle w:val="Refdenotaderodap"/>
          <w:sz w:val="18"/>
          <w:szCs w:val="18"/>
        </w:rPr>
        <w:tab/>
      </w:r>
      <w:r w:rsidRPr="004B5630">
        <w:rPr>
          <w:rStyle w:val="Refdenotaderodap"/>
          <w:sz w:val="18"/>
          <w:szCs w:val="18"/>
          <w:vertAlign w:val="baseline"/>
        </w:rPr>
        <w:t>AE Parmalat Portugal/SETAAB - BTE 29/2019 (cl.47ª) [(=) BTE 19/2018]; AE CARRISBUS/FECTRANS - BTE 29/2019 (cl.22ª)</w:t>
      </w:r>
      <w:r w:rsidRPr="004B5630">
        <w:rPr>
          <w:sz w:val="18"/>
          <w:szCs w:val="18"/>
        </w:rPr>
        <w:t>.</w:t>
      </w:r>
    </w:p>
  </w:footnote>
  <w:footnote w:id="221">
    <w:p w14:paraId="7DBA5246" w14:textId="4BDD84C3" w:rsidR="004B7DBA" w:rsidRPr="004B5630" w:rsidRDefault="004B7DBA" w:rsidP="00D023A8">
      <w:pPr>
        <w:pStyle w:val="Textodenotaderodap"/>
        <w:tabs>
          <w:tab w:val="left" w:pos="142"/>
          <w:tab w:val="left" w:pos="426"/>
        </w:tabs>
        <w:ind w:left="426" w:right="-1" w:hanging="426"/>
        <w:rPr>
          <w:rStyle w:val="Refdenotaderodap"/>
          <w:sz w:val="18"/>
          <w:szCs w:val="18"/>
          <w:vertAlign w:val="baseline"/>
        </w:rPr>
      </w:pPr>
      <w:r w:rsidRPr="004B5630">
        <w:rPr>
          <w:rStyle w:val="Refdenotaderodap"/>
          <w:sz w:val="18"/>
          <w:szCs w:val="18"/>
        </w:rPr>
        <w:footnoteRef/>
      </w:r>
      <w:r w:rsidRPr="004B5630">
        <w:rPr>
          <w:rStyle w:val="Refdenotaderodap"/>
          <w:sz w:val="18"/>
          <w:szCs w:val="18"/>
        </w:rPr>
        <w:t xml:space="preserve"> </w:t>
      </w:r>
      <w:r w:rsidRPr="004B5630">
        <w:rPr>
          <w:sz w:val="18"/>
          <w:szCs w:val="18"/>
        </w:rPr>
        <w:tab/>
      </w:r>
      <w:r w:rsidRPr="004B5630">
        <w:rPr>
          <w:rStyle w:val="Refdenotaderodap"/>
          <w:sz w:val="18"/>
          <w:szCs w:val="18"/>
          <w:vertAlign w:val="baseline"/>
        </w:rPr>
        <w:t>Por exemplo: convenções da Banca e Seguros; PETROGAL/SITESE  –  BTE 35/2019 (cl.19ª) e paralelos;  AE NAVIGATOR/CONFESINT – BTE 17/2019 (cl.42.ª) e   paralelos; AC Infraestruturas de Portugal SNTSF - BTE 22/2019 (cl.63ª)</w:t>
      </w:r>
      <w:r w:rsidRPr="004B5630">
        <w:rPr>
          <w:sz w:val="18"/>
          <w:szCs w:val="18"/>
        </w:rPr>
        <w:t>.</w:t>
      </w:r>
    </w:p>
  </w:footnote>
  <w:footnote w:id="222">
    <w:p w14:paraId="6FF34322" w14:textId="41624D0C" w:rsidR="004B7DBA" w:rsidRPr="004B5630" w:rsidRDefault="004B7DBA" w:rsidP="00D023A8">
      <w:pPr>
        <w:pStyle w:val="Textodenotaderodap"/>
        <w:tabs>
          <w:tab w:val="left" w:pos="142"/>
          <w:tab w:val="left" w:pos="426"/>
        </w:tabs>
        <w:ind w:left="426" w:right="-1" w:hanging="426"/>
        <w:rPr>
          <w:rStyle w:val="Refdenotaderodap"/>
          <w:sz w:val="18"/>
          <w:szCs w:val="18"/>
          <w:vertAlign w:val="baseline"/>
        </w:rPr>
      </w:pPr>
      <w:r w:rsidRPr="004B5630">
        <w:rPr>
          <w:rStyle w:val="Refdenotaderodap"/>
          <w:sz w:val="18"/>
          <w:szCs w:val="18"/>
        </w:rPr>
        <w:footnoteRef/>
      </w:r>
      <w:r w:rsidRPr="004B5630">
        <w:rPr>
          <w:rStyle w:val="Refdenotaderodap"/>
          <w:sz w:val="18"/>
          <w:szCs w:val="18"/>
        </w:rPr>
        <w:t xml:space="preserve"> </w:t>
      </w:r>
      <w:r w:rsidRPr="004B5630">
        <w:rPr>
          <w:sz w:val="18"/>
          <w:szCs w:val="18"/>
        </w:rPr>
        <w:tab/>
      </w:r>
      <w:r w:rsidRPr="004B5630">
        <w:rPr>
          <w:rStyle w:val="Refdenotaderodap"/>
          <w:sz w:val="18"/>
          <w:szCs w:val="18"/>
          <w:vertAlign w:val="baseline"/>
        </w:rPr>
        <w:t>AE UCS/SIMA – BTE 14/2019.</w:t>
      </w:r>
    </w:p>
  </w:footnote>
  <w:footnote w:id="223">
    <w:p w14:paraId="62636B5B" w14:textId="0360A7FC" w:rsidR="004B7DBA" w:rsidRPr="004B5630" w:rsidRDefault="004B7DBA" w:rsidP="00D023A8">
      <w:pPr>
        <w:pStyle w:val="Textodenotaderodap"/>
        <w:tabs>
          <w:tab w:val="left" w:pos="142"/>
          <w:tab w:val="left" w:pos="426"/>
        </w:tabs>
        <w:ind w:left="426" w:right="-1" w:hanging="426"/>
        <w:rPr>
          <w:rStyle w:val="Refdenotaderodap"/>
          <w:sz w:val="18"/>
          <w:szCs w:val="18"/>
        </w:rPr>
      </w:pPr>
      <w:r w:rsidRPr="004B5630">
        <w:rPr>
          <w:rStyle w:val="Refdenotaderodap"/>
          <w:sz w:val="18"/>
          <w:szCs w:val="18"/>
        </w:rPr>
        <w:footnoteRef/>
      </w:r>
      <w:r w:rsidRPr="004B5630">
        <w:rPr>
          <w:rStyle w:val="Refdenotaderodap"/>
          <w:sz w:val="18"/>
          <w:szCs w:val="18"/>
        </w:rPr>
        <w:t xml:space="preserve"> </w:t>
      </w:r>
      <w:r w:rsidRPr="004B5630">
        <w:rPr>
          <w:sz w:val="18"/>
          <w:szCs w:val="18"/>
        </w:rPr>
        <w:tab/>
      </w:r>
      <w:r w:rsidRPr="004B5630">
        <w:rPr>
          <w:rStyle w:val="Refdenotaderodap"/>
          <w:sz w:val="18"/>
          <w:szCs w:val="18"/>
          <w:vertAlign w:val="baseline"/>
        </w:rPr>
        <w:t>AC CHU - Coimbra/FNAM – BTE 15/2019 (cl.29ª-A);  e AC CH – Montijo/FESAP – BTE 42/2019 (cl.7</w:t>
      </w:r>
      <w:r w:rsidRPr="004B5630">
        <w:rPr>
          <w:sz w:val="18"/>
          <w:szCs w:val="18"/>
        </w:rPr>
        <w:t>ª</w:t>
      </w:r>
      <w:r w:rsidRPr="004B5630">
        <w:rPr>
          <w:rStyle w:val="Refdenotaderodap"/>
          <w:sz w:val="18"/>
          <w:szCs w:val="18"/>
          <w:vertAlign w:val="baseline"/>
        </w:rPr>
        <w:t>).</w:t>
      </w:r>
    </w:p>
  </w:footnote>
  <w:footnote w:id="224">
    <w:p w14:paraId="1B1A7394" w14:textId="16345DF3" w:rsidR="004B7DBA" w:rsidRPr="004B5630" w:rsidRDefault="004B7DBA" w:rsidP="00D023A8">
      <w:pPr>
        <w:pStyle w:val="Textodenotaderodap"/>
        <w:tabs>
          <w:tab w:val="left" w:pos="142"/>
          <w:tab w:val="left" w:pos="426"/>
        </w:tabs>
        <w:ind w:left="426" w:right="-1" w:hanging="426"/>
        <w:rPr>
          <w:rStyle w:val="Refdenotaderodap"/>
          <w:sz w:val="18"/>
          <w:szCs w:val="18"/>
          <w:vertAlign w:val="baseline"/>
        </w:rPr>
      </w:pPr>
      <w:r w:rsidRPr="004B5630">
        <w:rPr>
          <w:rStyle w:val="Refdenotaderodap"/>
          <w:sz w:val="18"/>
          <w:szCs w:val="18"/>
        </w:rPr>
        <w:footnoteRef/>
      </w:r>
      <w:r w:rsidRPr="004B5630">
        <w:rPr>
          <w:rStyle w:val="Refdenotaderodap"/>
          <w:sz w:val="18"/>
          <w:szCs w:val="18"/>
        </w:rPr>
        <w:t xml:space="preserve"> </w:t>
      </w:r>
      <w:r w:rsidRPr="004B5630">
        <w:rPr>
          <w:sz w:val="18"/>
          <w:szCs w:val="18"/>
        </w:rPr>
        <w:tab/>
      </w:r>
      <w:r w:rsidRPr="004B5630">
        <w:rPr>
          <w:rStyle w:val="Refdenotaderodap"/>
          <w:sz w:val="18"/>
          <w:szCs w:val="18"/>
          <w:vertAlign w:val="baseline"/>
        </w:rPr>
        <w:t>CC CNEF/ SEPLEU  –  BTE 5/2019 (cl. 29ª) e paralelo; AC CHU- Coimbra/FNAM – BTE 15/2019 (cl.29ªA)</w:t>
      </w:r>
      <w:r w:rsidRPr="004B5630">
        <w:rPr>
          <w:sz w:val="18"/>
          <w:szCs w:val="18"/>
        </w:rPr>
        <w:t>.</w:t>
      </w:r>
    </w:p>
  </w:footnote>
  <w:footnote w:id="225">
    <w:p w14:paraId="60D0AF5C" w14:textId="1C867B6D" w:rsidR="004B7DBA" w:rsidRPr="004B5630" w:rsidRDefault="004B7DBA" w:rsidP="00D023A8">
      <w:pPr>
        <w:pStyle w:val="Textodenotaderodap"/>
        <w:tabs>
          <w:tab w:val="left" w:pos="142"/>
          <w:tab w:val="left" w:pos="426"/>
        </w:tabs>
        <w:ind w:left="426" w:right="-1" w:hanging="426"/>
        <w:rPr>
          <w:rStyle w:val="Refdenotaderodap"/>
          <w:sz w:val="18"/>
          <w:szCs w:val="18"/>
          <w:vertAlign w:val="baseline"/>
        </w:rPr>
      </w:pPr>
      <w:r w:rsidRPr="004B5630">
        <w:rPr>
          <w:rStyle w:val="Refdenotaderodap"/>
          <w:sz w:val="18"/>
          <w:szCs w:val="18"/>
        </w:rPr>
        <w:footnoteRef/>
      </w:r>
      <w:r w:rsidRPr="004B5630">
        <w:rPr>
          <w:rStyle w:val="Refdenotaderodap"/>
          <w:sz w:val="18"/>
          <w:szCs w:val="18"/>
        </w:rPr>
        <w:t xml:space="preserve"> </w:t>
      </w:r>
      <w:r w:rsidRPr="004B5630">
        <w:rPr>
          <w:sz w:val="18"/>
          <w:szCs w:val="18"/>
        </w:rPr>
        <w:tab/>
      </w:r>
      <w:r w:rsidRPr="004B5630">
        <w:rPr>
          <w:rStyle w:val="Refdenotaderodap"/>
          <w:sz w:val="18"/>
          <w:szCs w:val="18"/>
          <w:vertAlign w:val="baseline"/>
        </w:rPr>
        <w:t>Por exemplo: CC CNEF/ SIPE –BTE 5/2019 (cl. 29ª) e paralelo, acréscimo (+)2 dias por 5 anos avaliação de desempenho; conjugado com idade (+50 anos)  por razões de parental idade, filhos menores com deficiência.</w:t>
      </w:r>
    </w:p>
  </w:footnote>
  <w:footnote w:id="226">
    <w:p w14:paraId="40E437E9" w14:textId="7BEAE52A" w:rsidR="004B7DBA" w:rsidRPr="004B5630" w:rsidRDefault="004B7DBA" w:rsidP="00D023A8">
      <w:pPr>
        <w:pStyle w:val="Textodenotaderodap"/>
        <w:tabs>
          <w:tab w:val="left" w:pos="142"/>
          <w:tab w:val="left" w:pos="426"/>
        </w:tabs>
        <w:ind w:left="426" w:right="-1" w:hanging="426"/>
        <w:rPr>
          <w:rStyle w:val="Refdenotaderodap"/>
          <w:sz w:val="18"/>
          <w:szCs w:val="18"/>
          <w:vertAlign w:val="baseline"/>
        </w:rPr>
      </w:pPr>
      <w:r w:rsidRPr="004B5630">
        <w:rPr>
          <w:rStyle w:val="Refdenotaderodap"/>
          <w:sz w:val="18"/>
          <w:szCs w:val="18"/>
        </w:rPr>
        <w:footnoteRef/>
      </w:r>
      <w:r w:rsidRPr="004B5630">
        <w:rPr>
          <w:rStyle w:val="Refdenotaderodap"/>
          <w:sz w:val="18"/>
          <w:szCs w:val="18"/>
        </w:rPr>
        <w:t xml:space="preserve"> </w:t>
      </w:r>
      <w:r w:rsidRPr="004B5630">
        <w:rPr>
          <w:sz w:val="18"/>
          <w:szCs w:val="18"/>
        </w:rPr>
        <w:tab/>
      </w:r>
      <w:r w:rsidRPr="004B5630">
        <w:rPr>
          <w:rStyle w:val="Refdenotaderodap"/>
          <w:sz w:val="18"/>
          <w:szCs w:val="18"/>
          <w:vertAlign w:val="baseline"/>
        </w:rPr>
        <w:t>AE LOURES PARQUE/STAL – BTE 7/2019 (cl.42.ª)</w:t>
      </w:r>
      <w:r w:rsidRPr="004B5630">
        <w:rPr>
          <w:sz w:val="18"/>
          <w:szCs w:val="18"/>
        </w:rPr>
        <w:t>.</w:t>
      </w:r>
    </w:p>
  </w:footnote>
  <w:footnote w:id="227">
    <w:p w14:paraId="0E41B72B" w14:textId="78496707" w:rsidR="004B7DBA" w:rsidRPr="004B5630" w:rsidRDefault="004B7DBA" w:rsidP="00D023A8">
      <w:pPr>
        <w:pStyle w:val="Textodenotaderodap"/>
        <w:tabs>
          <w:tab w:val="left" w:pos="142"/>
          <w:tab w:val="left" w:pos="426"/>
        </w:tabs>
        <w:ind w:left="426" w:right="-1" w:hanging="426"/>
        <w:rPr>
          <w:rStyle w:val="Refdenotaderodap"/>
          <w:sz w:val="18"/>
          <w:szCs w:val="18"/>
          <w:vertAlign w:val="baseline"/>
        </w:rPr>
      </w:pPr>
      <w:r w:rsidRPr="004B5630">
        <w:rPr>
          <w:rStyle w:val="Refdenotaderodap"/>
          <w:sz w:val="18"/>
          <w:szCs w:val="18"/>
        </w:rPr>
        <w:footnoteRef/>
      </w:r>
      <w:r w:rsidRPr="004B5630">
        <w:rPr>
          <w:rStyle w:val="Refdenotaderodap"/>
          <w:sz w:val="18"/>
          <w:szCs w:val="18"/>
        </w:rPr>
        <w:t xml:space="preserve"> </w:t>
      </w:r>
      <w:r w:rsidRPr="004B5630">
        <w:rPr>
          <w:sz w:val="18"/>
          <w:szCs w:val="18"/>
        </w:rPr>
        <w:tab/>
      </w:r>
      <w:r w:rsidRPr="004B5630">
        <w:rPr>
          <w:rStyle w:val="Refdenotaderodap"/>
          <w:sz w:val="18"/>
          <w:szCs w:val="18"/>
          <w:vertAlign w:val="baseline"/>
        </w:rPr>
        <w:t>AE PEFACO/FESAHT – BTE 6/2019 (cl.48ª, 1, e ).</w:t>
      </w:r>
    </w:p>
  </w:footnote>
  <w:footnote w:id="228">
    <w:p w14:paraId="0A1CB814" w14:textId="236668D3" w:rsidR="004B7DBA" w:rsidRPr="004B5630" w:rsidRDefault="004B7DBA" w:rsidP="000D7E2E">
      <w:pPr>
        <w:pStyle w:val="Textodenotaderodap"/>
        <w:tabs>
          <w:tab w:val="left" w:pos="142"/>
          <w:tab w:val="left" w:pos="426"/>
        </w:tabs>
        <w:ind w:left="425" w:hanging="425"/>
        <w:rPr>
          <w:rStyle w:val="Refdenotaderodap"/>
          <w:sz w:val="18"/>
          <w:szCs w:val="18"/>
          <w:vertAlign w:val="baseline"/>
        </w:rPr>
      </w:pPr>
      <w:r w:rsidRPr="004B5630">
        <w:rPr>
          <w:rStyle w:val="Refdenotaderodap"/>
          <w:sz w:val="18"/>
          <w:szCs w:val="18"/>
        </w:rPr>
        <w:footnoteRef/>
      </w:r>
      <w:r w:rsidRPr="004B5630">
        <w:rPr>
          <w:rStyle w:val="Refdenotaderodap"/>
          <w:sz w:val="18"/>
          <w:szCs w:val="18"/>
        </w:rPr>
        <w:t xml:space="preserve"> </w:t>
      </w:r>
      <w:r w:rsidRPr="004B5630">
        <w:rPr>
          <w:sz w:val="18"/>
          <w:szCs w:val="18"/>
        </w:rPr>
        <w:tab/>
      </w:r>
      <w:r w:rsidRPr="004B5630">
        <w:rPr>
          <w:rStyle w:val="Refdenotaderodap"/>
          <w:sz w:val="18"/>
          <w:szCs w:val="18"/>
          <w:vertAlign w:val="baseline"/>
        </w:rPr>
        <w:t>Nos AE INATEL/FESAHT –BTE 6/2019 (cl. 42º1-3), e paralelos, os trabalhadores podem prescindir parcialmente do gozo de férias e ser remunerados( no mínimo, gozo de 20 dias). Para as majorações por assiduidade  não relevam as faltas por parentalidade ou atividade sindical  (cl. 42º,5).</w:t>
      </w:r>
    </w:p>
  </w:footnote>
  <w:footnote w:id="229">
    <w:p w14:paraId="0ACE8760" w14:textId="2AD02359" w:rsidR="004B7DBA" w:rsidRPr="004B5630" w:rsidRDefault="004B7DBA" w:rsidP="000D7E2E">
      <w:pPr>
        <w:pStyle w:val="Textodenotaderodap"/>
        <w:tabs>
          <w:tab w:val="left" w:pos="142"/>
          <w:tab w:val="left" w:pos="426"/>
        </w:tabs>
        <w:ind w:left="425" w:hanging="425"/>
        <w:rPr>
          <w:rStyle w:val="Refdenotaderodap"/>
          <w:sz w:val="18"/>
          <w:szCs w:val="18"/>
          <w:vertAlign w:val="baseline"/>
        </w:rPr>
      </w:pPr>
      <w:r w:rsidRPr="004B5630">
        <w:rPr>
          <w:rStyle w:val="Refdenotaderodap"/>
          <w:sz w:val="18"/>
          <w:szCs w:val="18"/>
        </w:rPr>
        <w:footnoteRef/>
      </w:r>
      <w:r w:rsidRPr="004B5630">
        <w:rPr>
          <w:rStyle w:val="Refdenotaderodap"/>
          <w:sz w:val="18"/>
          <w:szCs w:val="18"/>
        </w:rPr>
        <w:t xml:space="preserve">  </w:t>
      </w:r>
      <w:r w:rsidRPr="004B5630">
        <w:rPr>
          <w:sz w:val="18"/>
          <w:szCs w:val="18"/>
        </w:rPr>
        <w:tab/>
      </w:r>
      <w:r w:rsidRPr="004B5630">
        <w:rPr>
          <w:rStyle w:val="Refdenotaderodap"/>
          <w:sz w:val="18"/>
          <w:szCs w:val="18"/>
          <w:vertAlign w:val="baseline"/>
        </w:rPr>
        <w:t>No AE PETROGAL/SITESE  –  BTE 35/2019 (cl.19ª -21ª) e paralelos, o acréscimo remuneratório é variável em função do grupo de trabalhadores (turnos e não turnos), que gozem férias novembro  aabril, por conveniência do serviço.</w:t>
      </w:r>
    </w:p>
  </w:footnote>
  <w:footnote w:id="230">
    <w:p w14:paraId="302C1284" w14:textId="0131F19D" w:rsidR="004B7DBA" w:rsidRPr="004B5630" w:rsidRDefault="004B7DBA" w:rsidP="000D7E2E">
      <w:pPr>
        <w:pStyle w:val="Textodenotaderodap"/>
        <w:tabs>
          <w:tab w:val="left" w:pos="142"/>
          <w:tab w:val="left" w:pos="426"/>
        </w:tabs>
        <w:ind w:left="425" w:hanging="425"/>
        <w:rPr>
          <w:rStyle w:val="Refdenotaderodap"/>
          <w:sz w:val="18"/>
          <w:szCs w:val="18"/>
          <w:vertAlign w:val="baseline"/>
        </w:rPr>
      </w:pPr>
      <w:r w:rsidRPr="004B5630">
        <w:rPr>
          <w:rStyle w:val="Refdenotaderodap"/>
          <w:sz w:val="18"/>
          <w:szCs w:val="18"/>
        </w:rPr>
        <w:footnoteRef/>
      </w:r>
      <w:r w:rsidRPr="004B5630">
        <w:rPr>
          <w:rStyle w:val="Refdenotaderodap"/>
          <w:sz w:val="18"/>
          <w:szCs w:val="18"/>
        </w:rPr>
        <w:t xml:space="preserve"> </w:t>
      </w:r>
      <w:r w:rsidRPr="004B5630">
        <w:rPr>
          <w:rStyle w:val="Refdenotaderodap"/>
          <w:sz w:val="18"/>
          <w:szCs w:val="18"/>
        </w:rPr>
        <w:tab/>
      </w:r>
      <w:r w:rsidRPr="004B5630">
        <w:rPr>
          <w:rStyle w:val="Refdenotaderodap"/>
          <w:sz w:val="18"/>
          <w:szCs w:val="18"/>
          <w:vertAlign w:val="baseline"/>
        </w:rPr>
        <w:t>AE CARRISTUR/SITRA – BTE 47/2019 (cl.31.º,12), prevê acréscimos até 3 dias de férias se marcadas entre  novembro e abril</w:t>
      </w:r>
      <w:r w:rsidRPr="004B5630">
        <w:rPr>
          <w:sz w:val="18"/>
          <w:szCs w:val="18"/>
        </w:rPr>
        <w:t>.</w:t>
      </w:r>
    </w:p>
  </w:footnote>
  <w:footnote w:id="231">
    <w:p w14:paraId="25CF24FA" w14:textId="7F1A96A7" w:rsidR="004B7DBA" w:rsidRPr="004B5630" w:rsidRDefault="004B7DBA" w:rsidP="00D023A8">
      <w:pPr>
        <w:tabs>
          <w:tab w:val="left" w:pos="426"/>
        </w:tabs>
        <w:spacing w:after="0" w:line="240" w:lineRule="auto"/>
        <w:ind w:left="426" w:right="-1" w:hanging="426"/>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eastAsia="Times New Roman" w:cs="Calibri"/>
          <w:sz w:val="18"/>
          <w:szCs w:val="18"/>
          <w:lang w:eastAsia="pt-PT"/>
        </w:rPr>
        <w:t xml:space="preserve">AE Parques de Sintra/SINTAP – BTE 35/2019 (cl.40ª.); AE SOMINCOR/STIM – BTE 33/2019 (cl.6ª.); AE ViaPorto/STTAMP – BTE 31/2019 (cl.41ª) e paralelos; CC AOP/SINPORSINES – BTE 10/2019 (cl.33ª), fixam </w:t>
      </w:r>
      <w:r w:rsidRPr="004B5630">
        <w:rPr>
          <w:sz w:val="18"/>
          <w:szCs w:val="18"/>
        </w:rPr>
        <w:t>22 dias majorados por assiduidade.</w:t>
      </w:r>
    </w:p>
  </w:footnote>
  <w:footnote w:id="232">
    <w:p w14:paraId="16CA4830" w14:textId="3A127463" w:rsidR="004B7DBA" w:rsidRPr="004B5630" w:rsidRDefault="004B7DBA" w:rsidP="00D023A8">
      <w:pPr>
        <w:tabs>
          <w:tab w:val="left" w:pos="426"/>
        </w:tabs>
        <w:spacing w:after="0" w:line="240" w:lineRule="auto"/>
        <w:ind w:left="426" w:right="-1" w:hanging="426"/>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eastAsia="Times New Roman" w:cs="Calibri"/>
          <w:sz w:val="18"/>
          <w:szCs w:val="18"/>
          <w:lang w:eastAsia="pt-PT"/>
        </w:rPr>
        <w:t xml:space="preserve">AE AAC/CESP - BTE 26/2019 (cl.13ª) fixam </w:t>
      </w:r>
      <w:r w:rsidRPr="004B5630">
        <w:rPr>
          <w:sz w:val="18"/>
          <w:szCs w:val="18"/>
        </w:rPr>
        <w:t>25 dias majorados por assiduidade</w:t>
      </w:r>
      <w:r w:rsidRPr="004B5630">
        <w:rPr>
          <w:rFonts w:eastAsia="Times New Roman" w:cs="Calibri"/>
          <w:sz w:val="18"/>
          <w:szCs w:val="18"/>
          <w:lang w:eastAsia="pt-PT"/>
        </w:rPr>
        <w:t>.</w:t>
      </w:r>
    </w:p>
  </w:footnote>
  <w:footnote w:id="233">
    <w:p w14:paraId="69402A35" w14:textId="7107CD35" w:rsidR="004B7DBA" w:rsidRPr="004B5630" w:rsidRDefault="004B7DBA" w:rsidP="00D023A8">
      <w:pPr>
        <w:tabs>
          <w:tab w:val="left" w:pos="426"/>
        </w:tabs>
        <w:spacing w:after="0" w:line="240" w:lineRule="auto"/>
        <w:ind w:left="426" w:right="-1" w:hanging="426"/>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eastAsia="Times New Roman" w:cs="Calibri"/>
          <w:sz w:val="18"/>
          <w:szCs w:val="18"/>
          <w:lang w:eastAsia="pt-PT"/>
        </w:rPr>
        <w:t xml:space="preserve">AE PEFACO/FESAHT – BTE 6/2019 (cl.48º) fixam </w:t>
      </w:r>
      <w:r w:rsidRPr="004B5630">
        <w:rPr>
          <w:sz w:val="18"/>
          <w:szCs w:val="18"/>
        </w:rPr>
        <w:t>26 dias majorados por assiduidade</w:t>
      </w:r>
      <w:r w:rsidRPr="004B5630">
        <w:rPr>
          <w:rFonts w:eastAsia="Times New Roman" w:cs="Calibri"/>
          <w:sz w:val="18"/>
          <w:szCs w:val="18"/>
          <w:lang w:eastAsia="pt-PT"/>
        </w:rPr>
        <w:t>.</w:t>
      </w:r>
    </w:p>
  </w:footnote>
  <w:footnote w:id="234">
    <w:p w14:paraId="5DA02C1D" w14:textId="09A5D738" w:rsidR="004B7DBA" w:rsidRPr="004B5630" w:rsidRDefault="004B7DBA" w:rsidP="00D023A8">
      <w:pPr>
        <w:tabs>
          <w:tab w:val="left" w:pos="426"/>
        </w:tabs>
        <w:spacing w:after="0" w:line="240" w:lineRule="auto"/>
        <w:ind w:left="426" w:right="-1" w:hanging="426"/>
        <w:jc w:val="both"/>
        <w:rPr>
          <w:rFonts w:eastAsia="Times New Roman" w:cs="Calibri"/>
          <w:sz w:val="18"/>
          <w:szCs w:val="18"/>
          <w:lang w:eastAsia="pt-PT"/>
        </w:rPr>
      </w:pPr>
      <w:r w:rsidRPr="004B5630">
        <w:rPr>
          <w:rStyle w:val="Refdenotaderodap"/>
          <w:sz w:val="18"/>
          <w:szCs w:val="18"/>
        </w:rPr>
        <w:footnoteRef/>
      </w:r>
      <w:r w:rsidRPr="004B5630">
        <w:rPr>
          <w:rFonts w:eastAsia="Times New Roman" w:cs="Calibri"/>
          <w:sz w:val="18"/>
          <w:szCs w:val="18"/>
          <w:lang w:eastAsia="pt-PT"/>
        </w:rPr>
        <w:t xml:space="preserve"> </w:t>
      </w:r>
      <w:r w:rsidRPr="004B5630">
        <w:rPr>
          <w:rFonts w:eastAsia="Times New Roman" w:cs="Calibri"/>
          <w:sz w:val="18"/>
          <w:szCs w:val="18"/>
          <w:lang w:eastAsia="pt-PT"/>
        </w:rPr>
        <w:tab/>
        <w:t>AE INATEL/SINTAP – BTE 6/2019 (cl.42ª), e paralelos.</w:t>
      </w:r>
    </w:p>
  </w:footnote>
  <w:footnote w:id="235">
    <w:p w14:paraId="64C92DD9" w14:textId="26EA0760" w:rsidR="004B7DBA" w:rsidRPr="004B5630" w:rsidRDefault="004B7DBA" w:rsidP="00CF09F4">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A experiência de estudo dos conteúdos convencionais tem demonstrado que esta recondução a um dos vários regimes de flexibilização nem sempre se mostra linear ou isenta de dúvidas.</w:t>
      </w:r>
    </w:p>
  </w:footnote>
  <w:footnote w:id="236">
    <w:p w14:paraId="14F0CB74" w14:textId="0595ABCF" w:rsidR="004B7DBA" w:rsidRPr="004B5630" w:rsidRDefault="004B7DBA" w:rsidP="00843B62">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O peso anual de convenções paralelas no regime de adaptabilidade tem sido variável: 9/ 27 em 2019; 11/37 em 2018;  18/ 41 em 2017.</w:t>
      </w:r>
    </w:p>
  </w:footnote>
  <w:footnote w:id="237">
    <w:p w14:paraId="74B9F103" w14:textId="59ECE8D5" w:rsidR="004B7DBA" w:rsidRPr="004B5630" w:rsidRDefault="004B7DBA" w:rsidP="00843B62">
      <w:pPr>
        <w:keepLines/>
        <w:tabs>
          <w:tab w:val="left" w:pos="426"/>
          <w:tab w:val="left" w:pos="851"/>
        </w:tabs>
        <w:spacing w:after="0" w:line="240" w:lineRule="auto"/>
        <w:ind w:left="425" w:hanging="425"/>
        <w:jc w:val="both"/>
        <w:rPr>
          <w:rFonts w:eastAsia="Calibri" w:cstheme="minorHAns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t xml:space="preserve">Recorde-se que o art. </w:t>
      </w:r>
      <w:r w:rsidRPr="004B5630">
        <w:rPr>
          <w:rFonts w:eastAsia="Calibri" w:cstheme="minorHAnsi"/>
          <w:sz w:val="18"/>
          <w:szCs w:val="18"/>
          <w:lang w:eastAsia="pt-PT"/>
        </w:rPr>
        <w:t>209ª,2, CT</w:t>
      </w:r>
      <w:r w:rsidRPr="004B5630">
        <w:rPr>
          <w:sz w:val="18"/>
          <w:szCs w:val="18"/>
        </w:rPr>
        <w:t xml:space="preserve"> impede a aplicação </w:t>
      </w:r>
      <w:r w:rsidRPr="004B5630">
        <w:rPr>
          <w:rFonts w:eastAsia="Calibri" w:cstheme="minorHAnsi"/>
          <w:sz w:val="18"/>
          <w:szCs w:val="18"/>
          <w:lang w:eastAsia="pt-PT"/>
        </w:rPr>
        <w:t>em simultâneo de adaptabilidade e horário concentrado.</w:t>
      </w:r>
    </w:p>
  </w:footnote>
  <w:footnote w:id="238">
    <w:p w14:paraId="1C5FF20F" w14:textId="28239450" w:rsidR="004B7DBA" w:rsidRPr="004B5630" w:rsidRDefault="004B7DBA" w:rsidP="00843B62">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A circunstância dos sujeitos negociais privilegiarem a regulação dos regimes de flexibilidade em primeiras  convenções e revisões globais poderá  ter contribuído para a  sua menor expressão em  2019</w:t>
      </w:r>
      <w:r w:rsidRPr="004B5630">
        <w:rPr>
          <w:rStyle w:val="ListLabel4"/>
          <w:color w:val="auto"/>
          <w:sz w:val="18"/>
          <w:szCs w:val="18"/>
        </w:rPr>
        <w:t xml:space="preserve"> </w:t>
      </w:r>
      <w:r w:rsidRPr="004B5630">
        <w:rPr>
          <w:sz w:val="18"/>
          <w:szCs w:val="18"/>
        </w:rPr>
        <w:t>(cfr.4.1).</w:t>
      </w:r>
    </w:p>
  </w:footnote>
  <w:footnote w:id="239">
    <w:p w14:paraId="27D5E791" w14:textId="18EE94BB" w:rsidR="004B7DBA" w:rsidRPr="004B5630" w:rsidRDefault="004B7DBA" w:rsidP="00843B62">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t xml:space="preserve">Trata-se dos </w:t>
      </w:r>
      <w:r w:rsidRPr="004B5630">
        <w:rPr>
          <w:rFonts w:eastAsia="Times New Roman" w:cs="Calibri"/>
          <w:sz w:val="18"/>
          <w:szCs w:val="18"/>
          <w:lang w:eastAsia="pt-PT"/>
        </w:rPr>
        <w:t>AE BMO PORTUGAL/SNQTB – BTE 5/2019 (cl.43ª) e  AE STCP/SNM – BTE 10/2019 (cl.</w:t>
      </w:r>
      <w:r w:rsidRPr="004B5630">
        <w:rPr>
          <w:sz w:val="18"/>
          <w:szCs w:val="18"/>
        </w:rPr>
        <w:t>26ª-A e 26ª-B)</w:t>
      </w:r>
    </w:p>
  </w:footnote>
  <w:footnote w:id="240">
    <w:p w14:paraId="54216F68" w14:textId="25195DBE" w:rsidR="004B7DBA" w:rsidRPr="004B5630" w:rsidRDefault="004B7DBA" w:rsidP="00843B62">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 xml:space="preserve">Em bom rigor, como se refere em 4.4.4.3. Âmbito temporal de aplicação (quadros 33 a 36), as formulações convencionais são maioritariamente recentes e foram revistas nos últimos dois anos (74% das convenções).   </w:t>
      </w:r>
    </w:p>
  </w:footnote>
  <w:footnote w:id="241">
    <w:p w14:paraId="21BBB86F" w14:textId="13CC868E" w:rsidR="004B7DBA" w:rsidRPr="004B5630" w:rsidRDefault="004B7DBA" w:rsidP="00843B62">
      <w:pPr>
        <w:tabs>
          <w:tab w:val="left" w:pos="426"/>
        </w:tabs>
        <w:spacing w:after="0" w:line="240" w:lineRule="auto"/>
        <w:ind w:left="425" w:hanging="425"/>
        <w:jc w:val="both"/>
        <w:rPr>
          <w:rFonts w:eastAsia="Calibri" w:cstheme="minorHAnsi"/>
          <w:sz w:val="18"/>
          <w:szCs w:val="18"/>
        </w:rPr>
      </w:pPr>
      <w:r w:rsidRPr="004B5630">
        <w:rPr>
          <w:rStyle w:val="Refdenotaderodap"/>
          <w:sz w:val="18"/>
          <w:szCs w:val="18"/>
        </w:rPr>
        <w:footnoteRef/>
      </w:r>
      <w:r w:rsidRPr="004B5630">
        <w:rPr>
          <w:sz w:val="18"/>
          <w:szCs w:val="18"/>
        </w:rPr>
        <w:t xml:space="preserve"> </w:t>
      </w:r>
      <w:r w:rsidRPr="004B5630">
        <w:rPr>
          <w:sz w:val="18"/>
          <w:szCs w:val="18"/>
        </w:rPr>
        <w:tab/>
        <w:t>Cfr.</w:t>
      </w:r>
      <w:r w:rsidRPr="004B5630">
        <w:rPr>
          <w:rFonts w:eastAsia="Calibri" w:cstheme="minorHAnsi"/>
          <w:sz w:val="18"/>
          <w:szCs w:val="18"/>
          <w:lang w:eastAsia="pt-PT"/>
        </w:rPr>
        <w:t xml:space="preserve">  anexo - quadro 7</w:t>
      </w:r>
    </w:p>
  </w:footnote>
  <w:footnote w:id="242">
    <w:p w14:paraId="399F3106" w14:textId="2852A70A" w:rsidR="004B7DBA" w:rsidRPr="004B5630" w:rsidRDefault="004B7DBA" w:rsidP="00843B62">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Por exemplo, as convenções outorgadas pelo SETAAB; ou algumas convenções dos setores segurador e agrícola.</w:t>
      </w:r>
    </w:p>
  </w:footnote>
  <w:footnote w:id="243">
    <w:p w14:paraId="2B287D96" w14:textId="158272AC" w:rsidR="004B7DBA" w:rsidRPr="004B5630" w:rsidRDefault="004B7DBA" w:rsidP="008F57AA">
      <w:pPr>
        <w:tabs>
          <w:tab w:val="left" w:pos="426"/>
        </w:tabs>
        <w:spacing w:after="0" w:line="240" w:lineRule="auto"/>
        <w:ind w:left="426" w:right="-1" w:hanging="426"/>
        <w:jc w:val="both"/>
        <w:rPr>
          <w:rFonts w:eastAsia="Times New Roman" w:cs="Calibri"/>
          <w:sz w:val="18"/>
          <w:szCs w:val="18"/>
          <w:lang w:eastAsia="pt-PT"/>
        </w:rPr>
      </w:pPr>
      <w:r w:rsidRPr="004B5630">
        <w:rPr>
          <w:rStyle w:val="Refdenotaderodap"/>
          <w:sz w:val="20"/>
          <w:szCs w:val="20"/>
        </w:rPr>
        <w:footnoteRef/>
      </w:r>
      <w:r w:rsidRPr="004B5630">
        <w:rPr>
          <w:sz w:val="20"/>
          <w:szCs w:val="20"/>
          <w:vertAlign w:val="superscript"/>
        </w:rPr>
        <w:t xml:space="preserve"> </w:t>
      </w:r>
      <w:r w:rsidRPr="004B5630">
        <w:rPr>
          <w:sz w:val="18"/>
          <w:szCs w:val="18"/>
        </w:rPr>
        <w:tab/>
        <w:t xml:space="preserve">Por exemplo, </w:t>
      </w:r>
      <w:r w:rsidRPr="004B5630">
        <w:rPr>
          <w:rFonts w:eastAsia="Times New Roman" w:cs="Calibri"/>
          <w:sz w:val="18"/>
          <w:szCs w:val="18"/>
          <w:lang w:eastAsia="pt-PT"/>
        </w:rPr>
        <w:t xml:space="preserve">CC CNEF/SEPLEU – BTE 5/2019 (cl.23ª ) e paralelos. Remete para a lei, pressupondo o acordo do trabalhador.  </w:t>
      </w:r>
    </w:p>
  </w:footnote>
  <w:footnote w:id="244">
    <w:p w14:paraId="4B66A521" w14:textId="0E123288" w:rsidR="004B7DBA" w:rsidRPr="004B5630" w:rsidRDefault="004B7DBA" w:rsidP="008F57AA">
      <w:pPr>
        <w:tabs>
          <w:tab w:val="left" w:pos="426"/>
        </w:tabs>
        <w:spacing w:after="0" w:line="240" w:lineRule="auto"/>
        <w:ind w:left="426" w:right="-1" w:hanging="426"/>
        <w:jc w:val="both"/>
        <w:rPr>
          <w:rFonts w:eastAsia="Times New Roman" w:cs="Calibri"/>
          <w:sz w:val="18"/>
          <w:szCs w:val="18"/>
          <w:lang w:eastAsia="pt-PT"/>
        </w:rPr>
      </w:pPr>
      <w:r w:rsidRPr="004B5630">
        <w:rPr>
          <w:rStyle w:val="Refdenotaderodap"/>
          <w:sz w:val="18"/>
          <w:szCs w:val="18"/>
        </w:rPr>
        <w:footnoteRef/>
      </w:r>
      <w:r w:rsidRPr="004B5630">
        <w:rPr>
          <w:rFonts w:eastAsia="Times New Roman" w:cs="Calibri"/>
          <w:sz w:val="18"/>
          <w:szCs w:val="18"/>
          <w:lang w:eastAsia="pt-PT"/>
        </w:rPr>
        <w:t xml:space="preserve">    AE CAIMA/SITESE - BTE 24/2019 (cl.19ª) [(=) </w:t>
      </w:r>
      <w:r w:rsidRPr="004B5630">
        <w:rPr>
          <w:sz w:val="18"/>
          <w:szCs w:val="18"/>
        </w:rPr>
        <w:t xml:space="preserve">CAIMA/FIEQUIMTAL e outros - BTE 17/2018] e </w:t>
      </w:r>
      <w:r w:rsidRPr="004B5630">
        <w:rPr>
          <w:rFonts w:eastAsia="Times New Roman" w:cs="Calibri"/>
          <w:sz w:val="18"/>
          <w:szCs w:val="18"/>
          <w:lang w:eastAsia="pt-PT"/>
        </w:rPr>
        <w:t xml:space="preserve">AC </w:t>
      </w:r>
      <w:r w:rsidRPr="004B5630">
        <w:rPr>
          <w:sz w:val="18"/>
          <w:szCs w:val="18"/>
        </w:rPr>
        <w:t>Cooperativa Agrícola da Tocha e outras</w:t>
      </w:r>
      <w:r w:rsidRPr="004B5630">
        <w:rPr>
          <w:rFonts w:eastAsia="Times New Roman" w:cs="Calibri"/>
          <w:sz w:val="18"/>
          <w:szCs w:val="18"/>
          <w:lang w:eastAsia="pt-PT"/>
        </w:rPr>
        <w:t xml:space="preserve"> /SETAAB – BTE 18/2019 (cl.21ª) [(=))</w:t>
      </w:r>
      <w:r w:rsidRPr="004B5630">
        <w:rPr>
          <w:sz w:val="18"/>
          <w:szCs w:val="18"/>
        </w:rPr>
        <w:t xml:space="preserve"> BTE 29/2018].</w:t>
      </w:r>
    </w:p>
  </w:footnote>
  <w:footnote w:id="245">
    <w:p w14:paraId="3BD9C153" w14:textId="116C47D4" w:rsidR="004B7DBA" w:rsidRPr="004B5630" w:rsidRDefault="004B7DBA" w:rsidP="008F57AA">
      <w:pPr>
        <w:pStyle w:val="Textodenotaderodap"/>
        <w:tabs>
          <w:tab w:val="left" w:pos="426"/>
        </w:tabs>
        <w:ind w:left="426" w:right="-1" w:hanging="426"/>
        <w:rPr>
          <w:sz w:val="18"/>
          <w:szCs w:val="18"/>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cs="Calibri"/>
          <w:sz w:val="18"/>
          <w:szCs w:val="18"/>
        </w:rPr>
        <w:t>AC ARB - Vale do Sorraia/SETAAB – BTE 17/2019 (cl.20.ª).</w:t>
      </w:r>
    </w:p>
  </w:footnote>
  <w:footnote w:id="246">
    <w:p w14:paraId="2BDA5AEE" w14:textId="301661C3" w:rsidR="004B7DBA" w:rsidRPr="004B5630" w:rsidRDefault="004B7DBA" w:rsidP="008F57AA">
      <w:pPr>
        <w:tabs>
          <w:tab w:val="left" w:pos="426"/>
        </w:tabs>
        <w:spacing w:after="0" w:line="240" w:lineRule="auto"/>
        <w:ind w:left="426" w:right="-1" w:hanging="426"/>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t>Assim, por exemplo, AE</w:t>
      </w:r>
      <w:r w:rsidRPr="004B5630">
        <w:rPr>
          <w:rFonts w:eastAsia="Times New Roman" w:cs="Calibri"/>
          <w:sz w:val="18"/>
          <w:szCs w:val="18"/>
          <w:lang w:eastAsia="pt-PT"/>
        </w:rPr>
        <w:t xml:space="preserve"> ViaPorto/APROFER – BTE 33/2019 (cls. 25º e 26ª).</w:t>
      </w:r>
    </w:p>
  </w:footnote>
  <w:footnote w:id="247">
    <w:p w14:paraId="72DF24C4" w14:textId="198C05BA" w:rsidR="004B7DBA" w:rsidRPr="004B5630" w:rsidRDefault="004B7DBA" w:rsidP="008F57AA">
      <w:pPr>
        <w:pStyle w:val="Textodenotaderodap"/>
        <w:tabs>
          <w:tab w:val="left" w:pos="426"/>
        </w:tabs>
        <w:ind w:left="426" w:right="-1" w:hanging="426"/>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“Adaptabilidade”, “regime de adaptabilidade”, “horário adaptado”, “regime especial de horário”, etc.</w:t>
      </w:r>
    </w:p>
  </w:footnote>
  <w:footnote w:id="248">
    <w:p w14:paraId="759257E7" w14:textId="71902BAB" w:rsidR="004B7DBA" w:rsidRPr="004B5630" w:rsidRDefault="004B7DBA" w:rsidP="008F57AA">
      <w:pPr>
        <w:pStyle w:val="Textodenotaderodap"/>
        <w:tabs>
          <w:tab w:val="left" w:pos="426"/>
        </w:tabs>
        <w:ind w:left="426" w:right="-1" w:hanging="426"/>
        <w:rPr>
          <w:sz w:val="18"/>
          <w:szCs w:val="18"/>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cs="Calibri"/>
          <w:sz w:val="18"/>
          <w:szCs w:val="18"/>
        </w:rPr>
        <w:t xml:space="preserve">AC </w:t>
      </w:r>
      <w:r w:rsidRPr="004B5630">
        <w:rPr>
          <w:sz w:val="18"/>
          <w:szCs w:val="18"/>
        </w:rPr>
        <w:t>Cooperativa Agrícola da Tocha e outras</w:t>
      </w:r>
      <w:r w:rsidRPr="004B5630">
        <w:rPr>
          <w:rFonts w:cs="Calibri"/>
          <w:sz w:val="18"/>
          <w:szCs w:val="18"/>
        </w:rPr>
        <w:t xml:space="preserve"> /SETAAB – BTE 18/2019 (cl.21ª) [(=))</w:t>
      </w:r>
      <w:r w:rsidRPr="004B5630">
        <w:rPr>
          <w:sz w:val="18"/>
          <w:szCs w:val="18"/>
        </w:rPr>
        <w:t xml:space="preserve"> BTE 29/2018]</w:t>
      </w:r>
      <w:r w:rsidRPr="004B5630">
        <w:rPr>
          <w:strike/>
          <w:sz w:val="18"/>
          <w:szCs w:val="18"/>
        </w:rPr>
        <w:t>.</w:t>
      </w:r>
    </w:p>
  </w:footnote>
  <w:footnote w:id="249">
    <w:p w14:paraId="0A433DEB" w14:textId="0A4F4040" w:rsidR="004B7DBA" w:rsidRPr="004B5630" w:rsidRDefault="004B7DBA" w:rsidP="008F57AA">
      <w:pPr>
        <w:tabs>
          <w:tab w:val="left" w:pos="426"/>
        </w:tabs>
        <w:spacing w:after="0" w:line="240" w:lineRule="auto"/>
        <w:ind w:left="426" w:right="-1" w:hanging="426"/>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t xml:space="preserve">É o caso dos CC CNEF/SEPLEU e  CNEF/ SIPE – ambos  BTE 5/2019 (cl.23ª); </w:t>
      </w:r>
      <w:r w:rsidRPr="004B5630">
        <w:rPr>
          <w:rFonts w:eastAsia="Times New Roman" w:cs="Calibri"/>
          <w:sz w:val="18"/>
          <w:szCs w:val="18"/>
          <w:lang w:eastAsia="pt-PT"/>
        </w:rPr>
        <w:t>AE BMO PORTUGAL/SNQTB – BTE 5/2019 (cl.43ª); CC AEVP/SINTICABA – BTE 6/2019 (cl.12ª)</w:t>
      </w:r>
      <w:r w:rsidRPr="004B5630">
        <w:rPr>
          <w:sz w:val="18"/>
          <w:szCs w:val="18"/>
        </w:rPr>
        <w:t xml:space="preserve">; </w:t>
      </w:r>
      <w:r w:rsidRPr="004B5630">
        <w:rPr>
          <w:rFonts w:eastAsia="Times New Roman" w:cs="Calibri"/>
          <w:sz w:val="18"/>
          <w:szCs w:val="18"/>
          <w:lang w:eastAsia="pt-PT"/>
        </w:rPr>
        <w:t>AC ARB - Vale do Sorraia/SETAAB – BTE 17/2019 (cl.20ª) e AE Parques de Sintra/SINTAP – BTE 35/2019 (cl.28ª);</w:t>
      </w:r>
    </w:p>
  </w:footnote>
  <w:footnote w:id="250">
    <w:p w14:paraId="50AB23BB" w14:textId="17B55E40" w:rsidR="004B7DBA" w:rsidRPr="004B5630" w:rsidRDefault="004B7DBA" w:rsidP="008F57AA">
      <w:pPr>
        <w:pStyle w:val="Textodenotaderodap"/>
        <w:tabs>
          <w:tab w:val="left" w:pos="426"/>
        </w:tabs>
        <w:ind w:left="426" w:right="-1" w:hanging="426"/>
        <w:rPr>
          <w:sz w:val="18"/>
          <w:szCs w:val="18"/>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cs="Calibri"/>
          <w:sz w:val="18"/>
          <w:szCs w:val="18"/>
        </w:rPr>
        <w:t>CC AEVP/SINTICABA – BTE 6/2019 (cl.12ª)</w:t>
      </w:r>
      <w:r w:rsidRPr="004B5630">
        <w:rPr>
          <w:sz w:val="18"/>
          <w:szCs w:val="18"/>
        </w:rPr>
        <w:t xml:space="preserve"> [(=) CC AEVP/FESAHT - BTE 29/2018 (cl. 13.ª).</w:t>
      </w:r>
    </w:p>
  </w:footnote>
  <w:footnote w:id="251">
    <w:p w14:paraId="5086A216" w14:textId="3B1D2E95" w:rsidR="004B7DBA" w:rsidRPr="004B5630" w:rsidRDefault="004B7DBA" w:rsidP="008F57AA">
      <w:pPr>
        <w:pStyle w:val="Textodenotaderodap"/>
        <w:tabs>
          <w:tab w:val="left" w:pos="426"/>
        </w:tabs>
        <w:ind w:left="426" w:right="-1" w:hanging="426"/>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 xml:space="preserve"> </w:t>
      </w:r>
      <w:r w:rsidRPr="004B5630">
        <w:rPr>
          <w:sz w:val="18"/>
          <w:szCs w:val="18"/>
        </w:rPr>
        <w:tab/>
      </w:r>
      <w:r w:rsidRPr="004B5630">
        <w:rPr>
          <w:rFonts w:cs="Calibri"/>
          <w:sz w:val="18"/>
          <w:szCs w:val="18"/>
        </w:rPr>
        <w:t xml:space="preserve">AC </w:t>
      </w:r>
      <w:r w:rsidRPr="004B5630">
        <w:rPr>
          <w:sz w:val="18"/>
          <w:szCs w:val="18"/>
        </w:rPr>
        <w:t>Cooperativa Agrícola da Tocha e outras</w:t>
      </w:r>
      <w:r w:rsidRPr="004B5630">
        <w:rPr>
          <w:rFonts w:cs="Calibri"/>
          <w:sz w:val="18"/>
          <w:szCs w:val="18"/>
        </w:rPr>
        <w:t xml:space="preserve"> /SETAAB – BTE 18/2019 (cl.21ª,9 ) [(=))</w:t>
      </w:r>
      <w:r w:rsidRPr="004B5630">
        <w:rPr>
          <w:sz w:val="18"/>
          <w:szCs w:val="18"/>
        </w:rPr>
        <w:t xml:space="preserve"> BTE 29/2018]; </w:t>
      </w:r>
      <w:r w:rsidRPr="004B5630">
        <w:rPr>
          <w:rFonts w:cs="Calibri"/>
          <w:sz w:val="18"/>
          <w:szCs w:val="18"/>
        </w:rPr>
        <w:t xml:space="preserve">AE BMO PORTUGAL/SNQTB – BTE 5/2019 </w:t>
      </w:r>
      <w:r w:rsidRPr="004B5630">
        <w:rPr>
          <w:sz w:val="18"/>
          <w:szCs w:val="18"/>
        </w:rPr>
        <w:t>(cl.43ª).</w:t>
      </w:r>
    </w:p>
  </w:footnote>
  <w:footnote w:id="252">
    <w:p w14:paraId="58050812" w14:textId="2E7C21BD" w:rsidR="004B7DBA" w:rsidRPr="004B5630" w:rsidRDefault="004B7DBA" w:rsidP="008F57AA">
      <w:pPr>
        <w:pStyle w:val="Textodenotaderodap"/>
        <w:tabs>
          <w:tab w:val="left" w:pos="426"/>
        </w:tabs>
        <w:ind w:left="426" w:right="-1" w:hanging="426"/>
        <w:rPr>
          <w:sz w:val="18"/>
          <w:szCs w:val="18"/>
        </w:rPr>
      </w:pPr>
      <w:r w:rsidRPr="004B5630">
        <w:rPr>
          <w:rStyle w:val="Refdenotaderodap"/>
          <w:sz w:val="18"/>
          <w:szCs w:val="18"/>
        </w:rPr>
        <w:footnoteRef/>
      </w:r>
      <w:r w:rsidRPr="004B5630">
        <w:rPr>
          <w:rFonts w:cs="Calibri"/>
          <w:sz w:val="18"/>
          <w:szCs w:val="18"/>
        </w:rPr>
        <w:t xml:space="preserve"> </w:t>
      </w:r>
      <w:r w:rsidRPr="004B5630">
        <w:rPr>
          <w:rFonts w:cs="Calibri"/>
          <w:sz w:val="18"/>
          <w:szCs w:val="18"/>
        </w:rPr>
        <w:tab/>
        <w:t xml:space="preserve">AC </w:t>
      </w:r>
      <w:r w:rsidRPr="004B5630">
        <w:rPr>
          <w:sz w:val="18"/>
          <w:szCs w:val="18"/>
        </w:rPr>
        <w:t>Cooperativa Agrícola da Tocha e outras</w:t>
      </w:r>
      <w:r w:rsidRPr="004B5630">
        <w:rPr>
          <w:rFonts w:cs="Calibri"/>
          <w:sz w:val="18"/>
          <w:szCs w:val="18"/>
        </w:rPr>
        <w:t xml:space="preserve"> /SETAAB – BTE 18/2019 (cl.21ª,4 ) [(=))</w:t>
      </w:r>
      <w:r w:rsidRPr="004B5630">
        <w:rPr>
          <w:sz w:val="18"/>
          <w:szCs w:val="18"/>
        </w:rPr>
        <w:t xml:space="preserve"> BTE 29/2018]</w:t>
      </w:r>
    </w:p>
  </w:footnote>
  <w:footnote w:id="253">
    <w:p w14:paraId="541391D3" w14:textId="15FEB914" w:rsidR="004B7DBA" w:rsidRPr="004B5630" w:rsidRDefault="004B7DBA" w:rsidP="008F57AA">
      <w:pPr>
        <w:tabs>
          <w:tab w:val="left" w:pos="426"/>
        </w:tabs>
        <w:spacing w:after="0" w:line="240" w:lineRule="auto"/>
        <w:ind w:left="426" w:right="-1" w:hanging="426"/>
        <w:jc w:val="both"/>
        <w:rPr>
          <w:rFonts w:eastAsia="Times New Roman" w:cs="Calibri"/>
          <w:sz w:val="20"/>
          <w:szCs w:val="20"/>
          <w:lang w:val="en-US" w:eastAsia="pt-PT"/>
        </w:rPr>
      </w:pPr>
      <w:r w:rsidRPr="004B5630">
        <w:rPr>
          <w:rStyle w:val="Refdenotaderodap"/>
          <w:sz w:val="20"/>
          <w:szCs w:val="20"/>
        </w:rPr>
        <w:footnoteRef/>
      </w:r>
      <w:r w:rsidRPr="004B5630">
        <w:rPr>
          <w:sz w:val="20"/>
          <w:szCs w:val="20"/>
          <w:vertAlign w:val="superscript"/>
          <w:lang w:val="en-US"/>
        </w:rPr>
        <w:t xml:space="preserve"> </w:t>
      </w:r>
      <w:r w:rsidRPr="004B5630">
        <w:rPr>
          <w:sz w:val="20"/>
          <w:szCs w:val="20"/>
          <w:lang w:val="en-US"/>
        </w:rPr>
        <w:tab/>
        <w:t xml:space="preserve"> </w:t>
      </w:r>
      <w:r w:rsidRPr="004B5630">
        <w:rPr>
          <w:rFonts w:eastAsia="Times New Roman" w:cs="Calibri"/>
          <w:sz w:val="18"/>
          <w:szCs w:val="18"/>
          <w:lang w:val="en-US" w:eastAsia="pt-PT"/>
        </w:rPr>
        <w:t>CC AESIRF/ASSP - BTE 26/2019 (cls. 22;24ª;65ª,71ª,81ª).</w:t>
      </w:r>
    </w:p>
  </w:footnote>
  <w:footnote w:id="254">
    <w:p w14:paraId="0DCE2C17" w14:textId="5C44EF9B" w:rsidR="004B7DBA" w:rsidRPr="004B5630" w:rsidRDefault="004B7DBA" w:rsidP="008F57AA">
      <w:pPr>
        <w:tabs>
          <w:tab w:val="left" w:pos="426"/>
        </w:tabs>
        <w:spacing w:after="0" w:line="240" w:lineRule="auto"/>
        <w:ind w:left="426" w:right="-1" w:hanging="426"/>
        <w:jc w:val="both"/>
        <w:rPr>
          <w:rFonts w:eastAsia="Times New Roman" w:cs="Calibri"/>
          <w:sz w:val="18"/>
          <w:szCs w:val="18"/>
          <w:lang w:eastAsia="pt-PT"/>
        </w:rPr>
      </w:pPr>
      <w:r w:rsidRPr="004B5630">
        <w:rPr>
          <w:rStyle w:val="Refdenotaderodap"/>
          <w:sz w:val="20"/>
          <w:szCs w:val="20"/>
        </w:rPr>
        <w:footnoteRef/>
      </w:r>
      <w:r w:rsidRPr="004B5630">
        <w:rPr>
          <w:sz w:val="20"/>
          <w:szCs w:val="20"/>
        </w:rPr>
        <w:t xml:space="preserve"> </w:t>
      </w:r>
      <w:r w:rsidRPr="004B5630">
        <w:rPr>
          <w:sz w:val="20"/>
          <w:szCs w:val="20"/>
        </w:rPr>
        <w:tab/>
      </w:r>
      <w:r w:rsidRPr="004B5630">
        <w:rPr>
          <w:rFonts w:eastAsia="Times New Roman" w:cs="Calibri"/>
          <w:sz w:val="18"/>
          <w:szCs w:val="18"/>
          <w:lang w:eastAsia="pt-PT"/>
        </w:rPr>
        <w:t xml:space="preserve">AE BMO PORTUGAL/SNQTB – BTE 5/2019 </w:t>
      </w:r>
      <w:r w:rsidRPr="004B5630">
        <w:rPr>
          <w:sz w:val="18"/>
          <w:szCs w:val="18"/>
        </w:rPr>
        <w:t xml:space="preserve">(cl.43ª). </w:t>
      </w:r>
      <w:r w:rsidRPr="004B5630">
        <w:rPr>
          <w:strike/>
          <w:sz w:val="18"/>
          <w:szCs w:val="18"/>
        </w:rPr>
        <w:t xml:space="preserve"> </w:t>
      </w:r>
    </w:p>
  </w:footnote>
  <w:footnote w:id="255">
    <w:p w14:paraId="397E1911" w14:textId="0465176F" w:rsidR="004B7DBA" w:rsidRPr="004B5630" w:rsidRDefault="004B7DBA" w:rsidP="008F57AA">
      <w:pPr>
        <w:tabs>
          <w:tab w:val="left" w:pos="426"/>
        </w:tabs>
        <w:spacing w:after="0" w:line="240" w:lineRule="auto"/>
        <w:ind w:left="426" w:right="-1" w:hanging="426"/>
        <w:jc w:val="both"/>
        <w:rPr>
          <w:rFonts w:eastAsia="Times New Roman" w:cs="Calibri"/>
          <w:sz w:val="20"/>
          <w:szCs w:val="20"/>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CC ALIF/SETAAB – BTE 17/2019 (cl.18ª) e CC ACIFF/CESP - BTE 23/2019 (cl.19ª).</w:t>
      </w:r>
    </w:p>
  </w:footnote>
  <w:footnote w:id="256">
    <w:p w14:paraId="3594692F" w14:textId="26A122A3" w:rsidR="004B7DBA" w:rsidRPr="004B5630" w:rsidRDefault="004B7DBA" w:rsidP="00FF0594">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 xml:space="preserve"> </w:t>
      </w:r>
      <w:r w:rsidRPr="004B5630">
        <w:rPr>
          <w:rFonts w:cs="Calibri"/>
          <w:sz w:val="18"/>
          <w:szCs w:val="18"/>
        </w:rPr>
        <w:t xml:space="preserve">AC </w:t>
      </w:r>
      <w:r w:rsidRPr="004B5630">
        <w:rPr>
          <w:sz w:val="18"/>
          <w:szCs w:val="18"/>
        </w:rPr>
        <w:t>Cooperativa Agrícola da Tocha e outras</w:t>
      </w:r>
      <w:r w:rsidRPr="004B5630">
        <w:rPr>
          <w:rFonts w:cs="Calibri"/>
          <w:sz w:val="18"/>
          <w:szCs w:val="18"/>
        </w:rPr>
        <w:t xml:space="preserve"> /SETAAB – BTE 18/2019 (cl.21ª,4 ) [(=))</w:t>
      </w:r>
      <w:r w:rsidRPr="004B5630">
        <w:rPr>
          <w:sz w:val="18"/>
          <w:szCs w:val="18"/>
        </w:rPr>
        <w:t xml:space="preserve"> BTE 29/2018]</w:t>
      </w:r>
    </w:p>
  </w:footnote>
  <w:footnote w:id="257">
    <w:p w14:paraId="1993F8E8" w14:textId="5A6AA954" w:rsidR="004B7DBA" w:rsidRPr="004B5630" w:rsidRDefault="004B7DBA" w:rsidP="00FF0594">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CC ANILACT/SETAAB – BTE 13/2019 (cl.16º) [(=)</w:t>
      </w:r>
      <w:r w:rsidRPr="004B5630">
        <w:rPr>
          <w:sz w:val="18"/>
          <w:szCs w:val="18"/>
        </w:rPr>
        <w:t>CC ANIL e outras/SIMA - BTE 20/2018 (cl. 16.ª)].</w:t>
      </w:r>
    </w:p>
  </w:footnote>
  <w:footnote w:id="258">
    <w:p w14:paraId="5CC0A509" w14:textId="6926A804" w:rsidR="004B7DBA" w:rsidRPr="004B5630" w:rsidRDefault="004B7DBA" w:rsidP="00FF0594">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 xml:space="preserve">ViaPorto/SINFB – BTE 35/2019 (cl. 26ª) e paralelos  e CC ACIBARCELOS/SITSECCVAC - BTE 27/2019 (cl.10ª,2) </w:t>
      </w:r>
      <w:r w:rsidRPr="004B5630">
        <w:rPr>
          <w:sz w:val="18"/>
          <w:szCs w:val="18"/>
        </w:rPr>
        <w:t xml:space="preserve"> </w:t>
      </w:r>
      <w:r w:rsidRPr="004B5630">
        <w:rPr>
          <w:strike/>
          <w:sz w:val="18"/>
          <w:szCs w:val="18"/>
        </w:rPr>
        <w:t xml:space="preserve"> </w:t>
      </w:r>
    </w:p>
  </w:footnote>
  <w:footnote w:id="259">
    <w:p w14:paraId="6588326B" w14:textId="2A2895CE" w:rsidR="004B7DBA" w:rsidRPr="004B5630" w:rsidRDefault="004B7DBA" w:rsidP="00FF0594">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cs="Calibri"/>
          <w:sz w:val="18"/>
          <w:szCs w:val="18"/>
        </w:rPr>
        <w:t>CC CNEF/SEPLEU e CC CNEF/ SIPE – ambos BTE 5/2019 (cl.23ª) – adaptabilidade grupal [(=)</w:t>
      </w:r>
      <w:r w:rsidRPr="004B5630">
        <w:rPr>
          <w:sz w:val="18"/>
          <w:szCs w:val="18"/>
        </w:rPr>
        <w:t xml:space="preserve">CC CNEF/ASPC - BTE 47/2017  convenções paralelas]   </w:t>
      </w:r>
    </w:p>
  </w:footnote>
  <w:footnote w:id="260">
    <w:p w14:paraId="35031F25" w14:textId="7CCD9D4D" w:rsidR="004B7DBA" w:rsidRPr="004B5630" w:rsidRDefault="004B7DBA" w:rsidP="00FF0594">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 xml:space="preserve">AE CAIMA/SITESE - BTE 24/2019 </w:t>
      </w:r>
      <w:r w:rsidRPr="004B5630">
        <w:rPr>
          <w:sz w:val="18"/>
          <w:szCs w:val="18"/>
        </w:rPr>
        <w:t xml:space="preserve">(19ª)   </w:t>
      </w:r>
    </w:p>
  </w:footnote>
  <w:footnote w:id="261">
    <w:p w14:paraId="53CE93F9" w14:textId="29CB1B3B" w:rsidR="004B7DBA" w:rsidRPr="004B5630" w:rsidRDefault="004B7DBA" w:rsidP="00FF0594">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t xml:space="preserve"> </w:t>
      </w:r>
      <w:r w:rsidRPr="004B5630">
        <w:rPr>
          <w:rFonts w:eastAsia="Times New Roman" w:cs="Calibri"/>
          <w:sz w:val="18"/>
          <w:szCs w:val="18"/>
          <w:lang w:eastAsia="pt-PT"/>
        </w:rPr>
        <w:t>AE Parques de Sintra/SINTAP – BTE 35/2019 (cl.28ª); e CC AEVP/SINTICABA – BTE 6/2019 (cl.12ª) [(=)</w:t>
      </w:r>
      <w:r w:rsidRPr="004B5630">
        <w:rPr>
          <w:sz w:val="18"/>
          <w:szCs w:val="18"/>
        </w:rPr>
        <w:t>AEVP/FESAHT - BTE 29/2018 (cl. 13.ª)].</w:t>
      </w:r>
    </w:p>
  </w:footnote>
  <w:footnote w:id="262">
    <w:p w14:paraId="370FA6E0" w14:textId="36830DED" w:rsidR="004B7DBA" w:rsidRPr="004B5630" w:rsidRDefault="004B7DBA" w:rsidP="00FF0594">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AC ARB - Vale do Sorraia/SETAAB – BTE 17/2019 (cl.) (20ª); CC CNIS/FEPCES – BTE 41/2019 (cl.27ª,1)</w:t>
      </w:r>
    </w:p>
  </w:footnote>
  <w:footnote w:id="263">
    <w:p w14:paraId="6E81BD08" w14:textId="486A6F06" w:rsidR="004B7DBA" w:rsidRPr="004B5630" w:rsidRDefault="004B7DBA" w:rsidP="00FF0594">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AE ViaPorto/SMAQ – BTE 31/2019 (cl.26ª) e paralelos</w:t>
      </w:r>
    </w:p>
  </w:footnote>
  <w:footnote w:id="264">
    <w:p w14:paraId="023DDE10" w14:textId="3FFBA596" w:rsidR="004B7DBA" w:rsidRPr="004B5630" w:rsidRDefault="004B7DBA" w:rsidP="00FF0594">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 xml:space="preserve">AE SOMINCOR/STIM – BTE 33/2019 (cl.3ª); </w:t>
      </w:r>
    </w:p>
  </w:footnote>
  <w:footnote w:id="265">
    <w:p w14:paraId="1A7CAC8F" w14:textId="6EB57158" w:rsidR="004B7DBA" w:rsidRPr="004B5630" w:rsidRDefault="004B7DBA" w:rsidP="00FF0594">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CC ACIBARCELOS/SITSECCVAC - BTE 27/2019 (cl.10ª,5).</w:t>
      </w:r>
    </w:p>
  </w:footnote>
  <w:footnote w:id="266">
    <w:p w14:paraId="3BF4ABE4" w14:textId="65217337" w:rsidR="004B7DBA" w:rsidRPr="004B5630" w:rsidRDefault="004B7DBA" w:rsidP="00FF0594">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7 dias :  </w:t>
      </w:r>
      <w:r w:rsidRPr="004B5630">
        <w:rPr>
          <w:rFonts w:cs="Calibri"/>
          <w:sz w:val="18"/>
          <w:szCs w:val="18"/>
        </w:rPr>
        <w:t xml:space="preserve">AE BMO PORTUGAL/SNQTB – BTE 5/2019 </w:t>
      </w:r>
      <w:r w:rsidRPr="004B5630">
        <w:rPr>
          <w:sz w:val="18"/>
          <w:szCs w:val="18"/>
        </w:rPr>
        <w:t xml:space="preserve">(cl.43ª).  </w:t>
      </w:r>
      <w:r w:rsidRPr="004B5630">
        <w:rPr>
          <w:strike/>
          <w:sz w:val="18"/>
          <w:szCs w:val="18"/>
        </w:rPr>
        <w:t xml:space="preserve"> </w:t>
      </w:r>
    </w:p>
  </w:footnote>
  <w:footnote w:id="267">
    <w:p w14:paraId="34730E50" w14:textId="37D3969B" w:rsidR="004B7DBA" w:rsidRPr="004B5630" w:rsidRDefault="004B7DBA" w:rsidP="00FF0594">
      <w:pPr>
        <w:tabs>
          <w:tab w:val="left" w:pos="426"/>
        </w:tabs>
        <w:spacing w:after="0" w:line="240" w:lineRule="auto"/>
        <w:ind w:left="425" w:hanging="425"/>
        <w:jc w:val="both"/>
        <w:rPr>
          <w:rFonts w:eastAsia="Times New Roman" w:cs="Calibri"/>
          <w:sz w:val="18"/>
          <w:szCs w:val="18"/>
          <w:lang w:val="en-US" w:eastAsia="pt-PT"/>
        </w:rPr>
      </w:pPr>
      <w:r w:rsidRPr="004B5630">
        <w:rPr>
          <w:rStyle w:val="Refdenotaderodap"/>
          <w:sz w:val="18"/>
          <w:szCs w:val="18"/>
        </w:rPr>
        <w:footnoteRef/>
      </w:r>
      <w:r w:rsidRPr="004B5630">
        <w:rPr>
          <w:sz w:val="18"/>
          <w:szCs w:val="18"/>
          <w:vertAlign w:val="superscript"/>
          <w:lang w:val="en-US"/>
        </w:rPr>
        <w:t xml:space="preserve"> </w:t>
      </w:r>
      <w:r w:rsidRPr="004B5630">
        <w:rPr>
          <w:sz w:val="18"/>
          <w:szCs w:val="18"/>
          <w:lang w:val="en-US"/>
        </w:rPr>
        <w:tab/>
      </w:r>
      <w:r w:rsidRPr="004B5630">
        <w:rPr>
          <w:rFonts w:eastAsia="Times New Roman" w:cs="Calibri"/>
          <w:sz w:val="18"/>
          <w:szCs w:val="18"/>
          <w:lang w:val="en-US" w:eastAsia="pt-PT"/>
        </w:rPr>
        <w:t>CC ALIF/SETAAB – BTE 17/2019 (cl.18ª).</w:t>
      </w:r>
    </w:p>
  </w:footnote>
  <w:footnote w:id="268">
    <w:p w14:paraId="3CF8EDA7" w14:textId="01FC9399" w:rsidR="004B7DBA" w:rsidRPr="004B5630" w:rsidRDefault="004B7DBA" w:rsidP="00FF0594">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 xml:space="preserve">AC Cooperativa Agrícola da Tocha e outras/ SETAAB e outro - BTE 18/2019 (cl. 21.ª) [(=)BTE 29/2018].  </w:t>
      </w:r>
    </w:p>
  </w:footnote>
  <w:footnote w:id="269">
    <w:p w14:paraId="34C1EA4C" w14:textId="6A6806C7" w:rsidR="004B7DBA" w:rsidRPr="004B5630" w:rsidRDefault="004B7DBA" w:rsidP="00FF0594">
      <w:pPr>
        <w:pStyle w:val="Textodenotaderodap"/>
        <w:tabs>
          <w:tab w:val="left" w:pos="426"/>
        </w:tabs>
        <w:ind w:left="425" w:hanging="425"/>
        <w:rPr>
          <w:sz w:val="18"/>
          <w:szCs w:val="18"/>
          <w:lang w:val="en-US"/>
        </w:rPr>
      </w:pPr>
      <w:r w:rsidRPr="004B5630">
        <w:rPr>
          <w:rStyle w:val="Refdenotaderodap"/>
          <w:sz w:val="18"/>
          <w:szCs w:val="18"/>
        </w:rPr>
        <w:footnoteRef/>
      </w:r>
      <w:r w:rsidRPr="004B5630">
        <w:rPr>
          <w:sz w:val="18"/>
          <w:szCs w:val="18"/>
          <w:vertAlign w:val="superscript"/>
          <w:lang w:val="en-US"/>
        </w:rPr>
        <w:t xml:space="preserve">  </w:t>
      </w:r>
      <w:r w:rsidRPr="004B5630">
        <w:rPr>
          <w:sz w:val="18"/>
          <w:szCs w:val="18"/>
          <w:lang w:val="en-US"/>
        </w:rPr>
        <w:tab/>
      </w:r>
      <w:r w:rsidRPr="004B5630">
        <w:rPr>
          <w:rFonts w:cs="Calibri"/>
          <w:sz w:val="18"/>
          <w:szCs w:val="18"/>
          <w:lang w:val="en-US"/>
        </w:rPr>
        <w:t>CC ALIF/SETAAB – BTE 17/2019 (cl.18ª).</w:t>
      </w:r>
    </w:p>
  </w:footnote>
  <w:footnote w:id="270">
    <w:p w14:paraId="0E463C28" w14:textId="1AC00FD9" w:rsidR="004B7DBA" w:rsidRPr="004B5630" w:rsidRDefault="004B7DBA" w:rsidP="00FF0594">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Por </w:t>
      </w:r>
      <w:r w:rsidRPr="004B5630">
        <w:rPr>
          <w:rFonts w:eastAsia="Calibri" w:cstheme="minorHAnsi"/>
          <w:sz w:val="18"/>
          <w:szCs w:val="18"/>
        </w:rPr>
        <w:t>exemplo</w:t>
      </w:r>
      <w:r w:rsidRPr="004B5630">
        <w:rPr>
          <w:sz w:val="18"/>
          <w:szCs w:val="18"/>
        </w:rPr>
        <w:t xml:space="preserve">, </w:t>
      </w:r>
      <w:r w:rsidRPr="004B5630">
        <w:rPr>
          <w:rFonts w:eastAsia="Times New Roman" w:cs="Calibri"/>
          <w:sz w:val="18"/>
          <w:szCs w:val="18"/>
          <w:lang w:eastAsia="pt-PT"/>
        </w:rPr>
        <w:t>CC ACIFF/CESP - BTE 23/2019 (cl.19ª).</w:t>
      </w:r>
    </w:p>
  </w:footnote>
  <w:footnote w:id="271">
    <w:p w14:paraId="377E7624" w14:textId="37A65422" w:rsidR="004B7DBA" w:rsidRPr="004B5630" w:rsidRDefault="004B7DBA" w:rsidP="00FF0594">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Por exemplo, </w:t>
      </w:r>
      <w:r w:rsidRPr="004B5630">
        <w:rPr>
          <w:rFonts w:cs="Calibri"/>
          <w:sz w:val="18"/>
          <w:szCs w:val="18"/>
        </w:rPr>
        <w:t xml:space="preserve">AC ARB - Vale do Sorraia/SETAAB – BTE 17/2019 (cl.) (20ª,8 e 10). </w:t>
      </w:r>
      <w:r w:rsidRPr="004B5630">
        <w:rPr>
          <w:sz w:val="18"/>
          <w:szCs w:val="18"/>
        </w:rPr>
        <w:t xml:space="preserve"> Em certos casos é inferior: 1 hora no </w:t>
      </w:r>
      <w:r w:rsidRPr="004B5630">
        <w:rPr>
          <w:rFonts w:cs="Calibri"/>
          <w:sz w:val="18"/>
          <w:szCs w:val="18"/>
        </w:rPr>
        <w:t>CC ANILACT/SETAAB – BTE 13/2019 (cl.16º) [(=)</w:t>
      </w:r>
      <w:r w:rsidRPr="004B5630">
        <w:rPr>
          <w:sz w:val="18"/>
          <w:szCs w:val="18"/>
        </w:rPr>
        <w:t>CC ANIL e outras/SIMA - BTE 20/2018].</w:t>
      </w:r>
    </w:p>
  </w:footnote>
  <w:footnote w:id="272">
    <w:p w14:paraId="098711FB" w14:textId="0EBE6241" w:rsidR="004B7DBA" w:rsidRPr="004B5630" w:rsidRDefault="004B7DBA" w:rsidP="00FF0594">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Por </w:t>
      </w:r>
      <w:r w:rsidRPr="004B5630">
        <w:rPr>
          <w:rFonts w:eastAsia="Calibri" w:cstheme="minorHAnsi"/>
          <w:sz w:val="18"/>
          <w:szCs w:val="18"/>
        </w:rPr>
        <w:t>exemplo,</w:t>
      </w:r>
      <w:r w:rsidRPr="004B5630">
        <w:rPr>
          <w:sz w:val="18"/>
          <w:szCs w:val="18"/>
        </w:rPr>
        <w:t xml:space="preserve"> </w:t>
      </w:r>
      <w:r w:rsidRPr="004B5630">
        <w:rPr>
          <w:rFonts w:cs="Calibri"/>
          <w:sz w:val="18"/>
          <w:szCs w:val="18"/>
        </w:rPr>
        <w:t xml:space="preserve">AC </w:t>
      </w:r>
      <w:r w:rsidRPr="004B5630">
        <w:rPr>
          <w:sz w:val="18"/>
          <w:szCs w:val="18"/>
        </w:rPr>
        <w:t>Cooperativa Agrícola da Tocha e outras</w:t>
      </w:r>
      <w:r w:rsidRPr="004B5630">
        <w:rPr>
          <w:rFonts w:cs="Calibri"/>
          <w:sz w:val="18"/>
          <w:szCs w:val="18"/>
        </w:rPr>
        <w:t xml:space="preserve"> /SETAAB – BTE 18/2019 (cl.21ª) [(=))</w:t>
      </w:r>
      <w:r w:rsidRPr="004B5630">
        <w:rPr>
          <w:sz w:val="18"/>
          <w:szCs w:val="18"/>
        </w:rPr>
        <w:t xml:space="preserve"> BTE 29/2018].</w:t>
      </w:r>
    </w:p>
  </w:footnote>
  <w:footnote w:id="273">
    <w:p w14:paraId="1DC987ED" w14:textId="21597ED2" w:rsidR="004B7DBA" w:rsidRPr="004B5630" w:rsidRDefault="004B7DBA" w:rsidP="00FF0594">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 xml:space="preserve"> </w:t>
      </w:r>
      <w:r w:rsidRPr="004B5630">
        <w:rPr>
          <w:sz w:val="18"/>
          <w:szCs w:val="18"/>
        </w:rPr>
        <w:tab/>
      </w:r>
      <w:r w:rsidRPr="004B5630">
        <w:rPr>
          <w:rFonts w:cs="Calibri"/>
          <w:sz w:val="18"/>
          <w:szCs w:val="18"/>
        </w:rPr>
        <w:t xml:space="preserve">CC ACIBARCELOS/SITSECCVAC - BTE 27/2019 (cl.10º,4); CC ANILACT/SETAAB – BTE 13/2019 (cl.16º). É corrente aludir-se ao </w:t>
      </w:r>
      <w:r w:rsidRPr="004B5630">
        <w:rPr>
          <w:rFonts w:eastAsia="Calibri" w:cstheme="minorHAnsi"/>
          <w:sz w:val="18"/>
          <w:szCs w:val="18"/>
        </w:rPr>
        <w:t>acordo com o trabalhador</w:t>
      </w:r>
      <w:r w:rsidRPr="004B5630">
        <w:rPr>
          <w:rFonts w:cs="Calibri"/>
          <w:sz w:val="18"/>
          <w:szCs w:val="18"/>
        </w:rPr>
        <w:t xml:space="preserve"> AC Fidelidade / SINAPSA – BTE 5/2019 (Anexo II)  e AE Seguradoras Unidas/SINAPSA – BTE 5/2019 (cl.16ª,9).</w:t>
      </w:r>
    </w:p>
  </w:footnote>
  <w:footnote w:id="274">
    <w:p w14:paraId="0C93A697" w14:textId="543F268E" w:rsidR="004B7DBA" w:rsidRPr="004B5630" w:rsidRDefault="004B7DBA" w:rsidP="00FF0594">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cs="Calibri"/>
          <w:sz w:val="18"/>
          <w:szCs w:val="18"/>
        </w:rPr>
        <w:t xml:space="preserve">AEVP/SINTICABA – BTE 6/2019 (cl.12ª ); </w:t>
      </w:r>
      <w:r w:rsidRPr="004B5630">
        <w:rPr>
          <w:sz w:val="18"/>
          <w:szCs w:val="18"/>
        </w:rPr>
        <w:t xml:space="preserve">CC AEVP/FESAHT - BTE 29/2018 (cl. 13.ª); ALIF </w:t>
      </w:r>
      <w:r w:rsidRPr="004B5630">
        <w:rPr>
          <w:rFonts w:cs="Calibri"/>
          <w:sz w:val="18"/>
          <w:szCs w:val="18"/>
        </w:rPr>
        <w:t>CC ALIF/SETAAB – BTE 17/2019</w:t>
      </w:r>
      <w:r w:rsidRPr="004B5630">
        <w:rPr>
          <w:sz w:val="18"/>
          <w:szCs w:val="18"/>
        </w:rPr>
        <w:t xml:space="preserve"> (cl.18ª,4)</w:t>
      </w:r>
    </w:p>
  </w:footnote>
  <w:footnote w:id="275">
    <w:p w14:paraId="176AA3AF" w14:textId="2ECC80DE" w:rsidR="004B7DBA" w:rsidRPr="004B5630" w:rsidRDefault="004B7DBA" w:rsidP="00FF0594">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É o caso do</w:t>
      </w:r>
      <w:r w:rsidRPr="004B5630">
        <w:rPr>
          <w:rFonts w:eastAsia="Calibri" w:cstheme="minorHAnsi"/>
          <w:sz w:val="18"/>
          <w:szCs w:val="18"/>
        </w:rPr>
        <w:t xml:space="preserve"> setor agrícola</w:t>
      </w:r>
      <w:r w:rsidRPr="004B5630">
        <w:rPr>
          <w:sz w:val="18"/>
          <w:szCs w:val="18"/>
        </w:rPr>
        <w:t xml:space="preserve">. Ver, nesse sentido, o CC </w:t>
      </w:r>
      <w:r w:rsidRPr="004B5630">
        <w:rPr>
          <w:rFonts w:cs="Calibri"/>
          <w:sz w:val="18"/>
          <w:szCs w:val="18"/>
        </w:rPr>
        <w:t>ALIF CC ALIF/SETAAB – BTE 17/2019 (cl.18ª,5); Já o AC ARB - Vale do Sorraia/SETAAB – BTE 17/2019 (20ª,8  10)  determina o pagamento de  um  subsidio de base mensal, no período  de alargamento de horário.</w:t>
      </w:r>
      <w:r w:rsidRPr="004B5630">
        <w:rPr>
          <w:rStyle w:val="Refdenotaderodap"/>
          <w:sz w:val="18"/>
          <w:szCs w:val="18"/>
          <w:vertAlign w:val="baseline"/>
        </w:rPr>
        <w:t xml:space="preserve">  </w:t>
      </w:r>
    </w:p>
  </w:footnote>
  <w:footnote w:id="276">
    <w:p w14:paraId="71162638" w14:textId="5B46EE5D" w:rsidR="004B7DBA" w:rsidRPr="004B5630" w:rsidRDefault="004B7DBA" w:rsidP="00FF0594">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eastAsia="Times New Roman" w:cs="Calibri"/>
          <w:sz w:val="18"/>
          <w:szCs w:val="18"/>
          <w:lang w:eastAsia="pt-PT"/>
        </w:rPr>
        <w:t xml:space="preserve">CC ALIF/SETAAB – BTE 17/2019 (cl.18ª,1); AC </w:t>
      </w:r>
      <w:r w:rsidRPr="004B5630">
        <w:rPr>
          <w:sz w:val="18"/>
          <w:szCs w:val="18"/>
        </w:rPr>
        <w:t>Cooperativa Agrícola da Tocha e outras</w:t>
      </w:r>
      <w:r w:rsidRPr="004B5630">
        <w:rPr>
          <w:rFonts w:eastAsia="Times New Roman" w:cs="Calibri"/>
          <w:sz w:val="18"/>
          <w:szCs w:val="18"/>
          <w:lang w:eastAsia="pt-PT"/>
        </w:rPr>
        <w:t xml:space="preserve"> /SETAAB – BTE 18/2019 (cl.21ª,8 e 10,g)).</w:t>
      </w:r>
    </w:p>
  </w:footnote>
  <w:footnote w:id="277">
    <w:p w14:paraId="79C534A4" w14:textId="3247D67C" w:rsidR="004B7DBA" w:rsidRPr="004B5630" w:rsidRDefault="004B7DBA" w:rsidP="00FF0594">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AC ARB - Vale do Sorraia/SETAAB – BTE 17/2019 (cl.) (20ª,8 e 10).</w:t>
      </w:r>
    </w:p>
  </w:footnote>
  <w:footnote w:id="278">
    <w:p w14:paraId="1D8172FD" w14:textId="27619C24" w:rsidR="004B7DBA" w:rsidRPr="004B5630" w:rsidRDefault="004B7DBA" w:rsidP="00FF0594">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eastAsia="Times New Roman" w:cs="Calibri"/>
          <w:sz w:val="18"/>
          <w:szCs w:val="18"/>
          <w:lang w:eastAsia="pt-PT"/>
        </w:rPr>
        <w:t>AEVP/SINTICABA – BTE 6/2019 (cl.12ª,6); CC ALIF/SETAAB – BTE 17/2019 (cl.19ª,9).</w:t>
      </w:r>
    </w:p>
  </w:footnote>
  <w:footnote w:id="279">
    <w:p w14:paraId="0A250DAF" w14:textId="64E5191A" w:rsidR="004B7DBA" w:rsidRPr="004B5630" w:rsidRDefault="004B7DBA" w:rsidP="00FF0594">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cs="Calibri"/>
          <w:sz w:val="18"/>
          <w:szCs w:val="18"/>
        </w:rPr>
        <w:t>CC ACIBARCELOS/SITSECCVAC - BTE 27/2019 (cl.</w:t>
      </w:r>
      <w:r w:rsidRPr="004B5630">
        <w:rPr>
          <w:sz w:val="18"/>
          <w:szCs w:val="18"/>
        </w:rPr>
        <w:t>73ª,7).</w:t>
      </w:r>
    </w:p>
  </w:footnote>
  <w:footnote w:id="280">
    <w:p w14:paraId="4A8AA7C6" w14:textId="5CBE4580" w:rsidR="004B7DBA" w:rsidRPr="004B5630" w:rsidRDefault="004B7DBA" w:rsidP="00FF0594">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cs="Calibri"/>
          <w:sz w:val="18"/>
          <w:szCs w:val="18"/>
        </w:rPr>
        <w:t xml:space="preserve">AC </w:t>
      </w:r>
      <w:r w:rsidRPr="004B5630">
        <w:rPr>
          <w:sz w:val="18"/>
          <w:szCs w:val="18"/>
        </w:rPr>
        <w:t>Cooperativa Agrícola da Tocha e outras</w:t>
      </w:r>
      <w:r w:rsidRPr="004B5630">
        <w:rPr>
          <w:rFonts w:cs="Calibri"/>
          <w:sz w:val="18"/>
          <w:szCs w:val="18"/>
        </w:rPr>
        <w:t xml:space="preserve"> /SETAAB – BTE 18/2019 (cl.21ª) [(=))</w:t>
      </w:r>
      <w:r w:rsidRPr="004B5630">
        <w:rPr>
          <w:sz w:val="18"/>
          <w:szCs w:val="18"/>
        </w:rPr>
        <w:t xml:space="preserve"> BTE 29/2018]. </w:t>
      </w:r>
    </w:p>
  </w:footnote>
  <w:footnote w:id="281">
    <w:p w14:paraId="44532F6C" w14:textId="7A6FAAEB" w:rsidR="004B7DBA" w:rsidRPr="004B5630" w:rsidRDefault="004B7DBA" w:rsidP="00FF0594">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eastAsia="Times New Roman" w:cs="Calibri"/>
          <w:sz w:val="18"/>
          <w:szCs w:val="18"/>
          <w:lang w:eastAsia="pt-PT"/>
        </w:rPr>
        <w:t xml:space="preserve"> Por exemplo, CC ADIPA (Retalhistas)/SITESE – BTE 14/2019 (cl.14.º).</w:t>
      </w:r>
    </w:p>
  </w:footnote>
  <w:footnote w:id="282">
    <w:p w14:paraId="464F0991" w14:textId="695BB135" w:rsidR="004B7DBA" w:rsidRPr="004B5630" w:rsidRDefault="004B7DBA" w:rsidP="00FF0594">
      <w:pPr>
        <w:tabs>
          <w:tab w:val="left" w:pos="426"/>
          <w:tab w:val="left" w:pos="851"/>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eastAsia="Times New Roman" w:cs="Calibri"/>
          <w:sz w:val="18"/>
          <w:szCs w:val="18"/>
          <w:lang w:eastAsia="pt-PT"/>
        </w:rPr>
        <w:t>Por exemplo, CC ALIF/SETAAB – BTE 17/2019 (18ª, 5) proíbe a aplicação ao trabalhador em regime de adaptabilidade de qualquer outro dos regimes de tempo e trabalho previstos no mesmo CC (seja Banco de horas, turnos, ou Isenção de horário de trabalho).</w:t>
      </w:r>
    </w:p>
  </w:footnote>
  <w:footnote w:id="283">
    <w:p w14:paraId="612ED684" w14:textId="35ACFD9D" w:rsidR="004B7DBA" w:rsidRPr="004B5630" w:rsidRDefault="004B7DBA" w:rsidP="00FF0594">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 xml:space="preserve">Por exemplo, o </w:t>
      </w:r>
      <w:r w:rsidRPr="004B5630">
        <w:rPr>
          <w:rFonts w:cs="Calibri"/>
          <w:sz w:val="18"/>
          <w:szCs w:val="18"/>
        </w:rPr>
        <w:t xml:space="preserve">AC ARB - Vale do Sorraia/SETAAB – BTE 17/2019 (cl.20.ª, 9), limita as situações em que é admitida a conjugação da adaptabilidade com a prestação de trabalho suplementar. Em sentido idêntico, o AC </w:t>
      </w:r>
      <w:r w:rsidRPr="004B5630">
        <w:rPr>
          <w:sz w:val="18"/>
          <w:szCs w:val="18"/>
        </w:rPr>
        <w:t>Cooperativa Agrícola da Tocha e outras</w:t>
      </w:r>
      <w:r w:rsidRPr="004B5630">
        <w:rPr>
          <w:rFonts w:cs="Calibri"/>
          <w:sz w:val="18"/>
          <w:szCs w:val="18"/>
        </w:rPr>
        <w:t xml:space="preserve"> /SETAAB – BTE 18/2019 (cl.21ª,6 e 12), mas estabelecendo que todo o trabalho prestado para além da margem semanal convencionada (máximo 45Horas/semana), será remunerado como trabalho suplementar.</w:t>
      </w:r>
    </w:p>
  </w:footnote>
  <w:footnote w:id="284">
    <w:p w14:paraId="5CE873CC" w14:textId="5CFAAA1E" w:rsidR="004B7DBA" w:rsidRPr="004B5630" w:rsidRDefault="004B7DBA" w:rsidP="00FF0594">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CC CNIS/FEPCES – BTE 41/2019 (cl.27ª,2), sobre os limites da margem diária e semanal de tempo de trabalho.</w:t>
      </w:r>
    </w:p>
    <w:p w14:paraId="5CAF3DE3" w14:textId="77777777" w:rsidR="004B7DBA" w:rsidRPr="004B5630" w:rsidRDefault="004B7DBA" w:rsidP="00FF0594">
      <w:pPr>
        <w:pStyle w:val="Textodenotaderodap"/>
        <w:tabs>
          <w:tab w:val="left" w:pos="426"/>
        </w:tabs>
        <w:ind w:left="425" w:hanging="425"/>
        <w:rPr>
          <w:sz w:val="18"/>
          <w:szCs w:val="18"/>
        </w:rPr>
      </w:pPr>
    </w:p>
  </w:footnote>
  <w:footnote w:id="285">
    <w:p w14:paraId="49E61311" w14:textId="649F30C6" w:rsidR="004B7DBA" w:rsidRPr="004B5630" w:rsidRDefault="004B7DBA" w:rsidP="000123F0">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20"/>
          <w:szCs w:val="20"/>
        </w:rPr>
        <w:footnoteRef/>
      </w:r>
      <w:r w:rsidRPr="004B5630">
        <w:rPr>
          <w:sz w:val="18"/>
          <w:szCs w:val="18"/>
        </w:rPr>
        <w:t xml:space="preserve"> </w:t>
      </w:r>
      <w:r w:rsidRPr="004B5630">
        <w:rPr>
          <w:sz w:val="18"/>
          <w:szCs w:val="18"/>
        </w:rPr>
        <w:tab/>
        <w:t xml:space="preserve">Por exemplo, </w:t>
      </w:r>
      <w:r w:rsidRPr="004B5630">
        <w:rPr>
          <w:rFonts w:eastAsia="Times New Roman" w:cs="Calibri"/>
          <w:sz w:val="18"/>
          <w:szCs w:val="18"/>
          <w:lang w:eastAsia="pt-PT"/>
        </w:rPr>
        <w:t>AC LUSITÂNIA/SINAPSA - BTE 21/2019 (Anexo IX); AE AIG EUROPE/STAS – BTE 17/2019 (cl.30ª).</w:t>
      </w:r>
    </w:p>
  </w:footnote>
  <w:footnote w:id="286">
    <w:p w14:paraId="1A7658B5" w14:textId="7638B531" w:rsidR="004B7DBA" w:rsidRPr="004B5630" w:rsidRDefault="004B7DBA" w:rsidP="000123F0">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cs="Calibri"/>
          <w:sz w:val="18"/>
          <w:szCs w:val="18"/>
        </w:rPr>
        <w:t xml:space="preserve">AC </w:t>
      </w:r>
      <w:r w:rsidRPr="004B5630">
        <w:rPr>
          <w:sz w:val="18"/>
          <w:szCs w:val="18"/>
        </w:rPr>
        <w:t>Cooperativa Agrícola da Tocha e outras</w:t>
      </w:r>
      <w:r w:rsidRPr="004B5630">
        <w:rPr>
          <w:rFonts w:cs="Calibri"/>
          <w:sz w:val="18"/>
          <w:szCs w:val="18"/>
        </w:rPr>
        <w:t xml:space="preserve"> /SETAAB – BTE 18/2019 (cl.22ª, 1, b)) [(=))</w:t>
      </w:r>
      <w:r w:rsidRPr="004B5630">
        <w:rPr>
          <w:sz w:val="18"/>
          <w:szCs w:val="18"/>
        </w:rPr>
        <w:t xml:space="preserve"> BTE 29/2018].</w:t>
      </w:r>
    </w:p>
  </w:footnote>
  <w:footnote w:id="287">
    <w:p w14:paraId="4935CFF3" w14:textId="4C53ED68" w:rsidR="004B7DBA" w:rsidRPr="004B5630" w:rsidRDefault="004B7DBA" w:rsidP="000123F0">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eastAsia="Times New Roman" w:cs="Calibri"/>
          <w:sz w:val="18"/>
          <w:szCs w:val="18"/>
          <w:lang w:eastAsia="pt-PT"/>
        </w:rPr>
        <w:t>CC ABIMOTA/SINDEL – BTE 45/2019 (51ª); AC INDORAMA  Portugal/COFESINT – BTE 31/2019 (cl</w:t>
      </w:r>
      <w:r w:rsidRPr="004B5630">
        <w:rPr>
          <w:sz w:val="18"/>
          <w:szCs w:val="18"/>
        </w:rPr>
        <w:t>.29ª,1 e 5).</w:t>
      </w:r>
    </w:p>
  </w:footnote>
  <w:footnote w:id="288">
    <w:p w14:paraId="30777FF6" w14:textId="2356EE38" w:rsidR="004B7DBA" w:rsidRPr="004B5630" w:rsidRDefault="004B7DBA" w:rsidP="000123F0">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eastAsia="Times New Roman" w:cs="Calibri"/>
          <w:sz w:val="18"/>
          <w:szCs w:val="18"/>
          <w:lang w:eastAsia="pt-PT"/>
        </w:rPr>
        <w:t>AE Fico Cables/SINDEL – BTE 45/2019 (cl.7ª), este AE previu clausula de articulação e, por esse motivo, aplica-se o recorte definido no CC AIMMAP/SINDEL - BTE 20/2019 (cl.5ª3).</w:t>
      </w:r>
    </w:p>
  </w:footnote>
  <w:footnote w:id="289">
    <w:p w14:paraId="7374BC4F" w14:textId="6ED27DE1" w:rsidR="004B7DBA" w:rsidRPr="004B5630" w:rsidRDefault="004B7DBA" w:rsidP="00734802">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CC ACILIS/CESP e CC ACILIS/SITESE – ambos BTE 31/2019  (cl.7ª 2 e 4) e paralelo. Por outro lado “a empresa não carece do acordo do trabalhador nem para o colocar, nem para o retirar do “regime especial” (n.º4).</w:t>
      </w:r>
    </w:p>
  </w:footnote>
  <w:footnote w:id="290">
    <w:p w14:paraId="60690886" w14:textId="135D85C1" w:rsidR="004B7DBA" w:rsidRPr="004B5630" w:rsidRDefault="004B7DBA" w:rsidP="00734802">
      <w:pPr>
        <w:pStyle w:val="Textodenotaderodap"/>
        <w:tabs>
          <w:tab w:val="left" w:pos="426"/>
        </w:tabs>
        <w:ind w:left="425" w:hanging="425"/>
        <w:rPr>
          <w:sz w:val="18"/>
          <w:szCs w:val="18"/>
        </w:rPr>
      </w:pPr>
      <w:r w:rsidRPr="004B5630">
        <w:rPr>
          <w:rStyle w:val="Refdenotaderodap"/>
          <w:rFonts w:eastAsiaTheme="minorHAnsi" w:cstheme="minorBidi"/>
          <w:sz w:val="18"/>
          <w:szCs w:val="18"/>
          <w:lang w:eastAsia="en-US"/>
        </w:rPr>
        <w:footnoteRef/>
      </w:r>
      <w:r w:rsidRPr="004B5630">
        <w:rPr>
          <w:rStyle w:val="Refdenotaderodap"/>
          <w:rFonts w:eastAsiaTheme="minorHAnsi" w:cstheme="minorBidi"/>
          <w:lang w:eastAsia="en-US"/>
        </w:rPr>
        <w:t xml:space="preserve"> </w:t>
      </w:r>
      <w:r w:rsidRPr="004B5630">
        <w:rPr>
          <w:sz w:val="18"/>
          <w:szCs w:val="18"/>
        </w:rPr>
        <w:tab/>
      </w:r>
      <w:r w:rsidRPr="004B5630">
        <w:rPr>
          <w:rFonts w:cs="Calibri"/>
          <w:sz w:val="18"/>
          <w:szCs w:val="18"/>
        </w:rPr>
        <w:t>AE Europ Assistance – Seguros/SINAPSA - BTE 29/2019 (cl.17).</w:t>
      </w:r>
    </w:p>
  </w:footnote>
  <w:footnote w:id="291">
    <w:p w14:paraId="3878F730" w14:textId="77777777" w:rsidR="004B7DBA" w:rsidRPr="004B5630" w:rsidRDefault="004B7DBA" w:rsidP="00734802">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cs="Calibri"/>
          <w:sz w:val="18"/>
          <w:szCs w:val="18"/>
        </w:rPr>
        <w:t xml:space="preserve">CC ANIECA/FECTRANS – BTE 13/2019 </w:t>
      </w:r>
      <w:r w:rsidRPr="004B5630">
        <w:rPr>
          <w:sz w:val="18"/>
          <w:szCs w:val="18"/>
        </w:rPr>
        <w:t>(cl. 27.ª1) [(=) BTE 10/2018], pressupõe o acordo do trabalhador.</w:t>
      </w:r>
    </w:p>
  </w:footnote>
  <w:footnote w:id="292">
    <w:p w14:paraId="13AFC59B" w14:textId="1429DC4C" w:rsidR="004B7DBA" w:rsidRPr="004B5630" w:rsidRDefault="004B7DBA" w:rsidP="00734802">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 xml:space="preserve">  </w:t>
      </w:r>
      <w:r w:rsidRPr="004B5630">
        <w:rPr>
          <w:sz w:val="18"/>
          <w:szCs w:val="18"/>
        </w:rPr>
        <w:tab/>
      </w:r>
      <w:r w:rsidRPr="004B5630">
        <w:rPr>
          <w:rFonts w:cs="Calibri"/>
          <w:sz w:val="18"/>
          <w:szCs w:val="18"/>
        </w:rPr>
        <w:t xml:space="preserve">AC Fidelidade / SINAPSA – BTE 5/2019 (Anexo II)  e AC LUSITÂNIA/SINAPSA - BTE 21/2019 </w:t>
      </w:r>
      <w:r w:rsidRPr="004B5630">
        <w:rPr>
          <w:sz w:val="18"/>
          <w:szCs w:val="18"/>
        </w:rPr>
        <w:t xml:space="preserve"> (ANEXO V).</w:t>
      </w:r>
    </w:p>
  </w:footnote>
  <w:footnote w:id="293">
    <w:p w14:paraId="593C84A1" w14:textId="2B278C23" w:rsidR="004B7DBA" w:rsidRPr="004B5630" w:rsidRDefault="004B7DBA" w:rsidP="00734802">
      <w:pPr>
        <w:pStyle w:val="Textodenotaderodap"/>
        <w:tabs>
          <w:tab w:val="left" w:pos="426"/>
        </w:tabs>
        <w:ind w:left="425" w:hanging="425"/>
        <w:rPr>
          <w:strike/>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 xml:space="preserve"> </w:t>
      </w:r>
      <w:r w:rsidRPr="004B5630">
        <w:rPr>
          <w:rFonts w:cs="Calibri"/>
          <w:sz w:val="18"/>
          <w:szCs w:val="18"/>
        </w:rPr>
        <w:t xml:space="preserve"> </w:t>
      </w:r>
      <w:r w:rsidRPr="004B5630">
        <w:rPr>
          <w:rFonts w:cs="Calibri"/>
          <w:sz w:val="18"/>
          <w:szCs w:val="18"/>
        </w:rPr>
        <w:tab/>
        <w:t>AE AIG EUROPE/STAS – BTE 17/2019 (cl.30ª) e AE Europ Assistance – Seguros/SINAPSA - BTE 29/2019 (cl.17.º).</w:t>
      </w:r>
    </w:p>
  </w:footnote>
  <w:footnote w:id="294">
    <w:p w14:paraId="01B8EC9C" w14:textId="6EBB7CA0" w:rsidR="004B7DBA" w:rsidRPr="004B5630" w:rsidRDefault="004B7DBA" w:rsidP="00734802">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cs="Calibri"/>
          <w:sz w:val="18"/>
          <w:szCs w:val="18"/>
        </w:rPr>
        <w:t>CC ANCIPA</w:t>
      </w:r>
      <w:r w:rsidRPr="004B5630">
        <w:rPr>
          <w:sz w:val="18"/>
          <w:szCs w:val="18"/>
        </w:rPr>
        <w:t>(hortofruticolas)</w:t>
      </w:r>
      <w:r w:rsidRPr="004B5630">
        <w:rPr>
          <w:rFonts w:cs="Calibri"/>
          <w:sz w:val="18"/>
          <w:szCs w:val="18"/>
        </w:rPr>
        <w:t>/ SETAAB – BTE 18/2019 (cl.22ª,1) ; CC ABIMOTA/SINDEL – BTE 45/2019 (51ª,7).</w:t>
      </w:r>
    </w:p>
  </w:footnote>
  <w:footnote w:id="295">
    <w:p w14:paraId="2E59C12A" w14:textId="3A661349" w:rsidR="004B7DBA" w:rsidRPr="004B5630" w:rsidRDefault="004B7DBA" w:rsidP="00734802">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 xml:space="preserve"> </w:t>
      </w:r>
      <w:r w:rsidRPr="004B5630">
        <w:rPr>
          <w:rFonts w:cstheme="minorHAnsi"/>
          <w:sz w:val="18"/>
          <w:szCs w:val="18"/>
        </w:rPr>
        <w:t xml:space="preserve">  </w:t>
      </w:r>
      <w:r w:rsidRPr="004B5630">
        <w:rPr>
          <w:rFonts w:cs="Calibri"/>
          <w:sz w:val="18"/>
          <w:szCs w:val="18"/>
        </w:rPr>
        <w:t>AE AHBV – ALGÉS/SNBP – BTE 36/2019 (cl.44ª).</w:t>
      </w:r>
    </w:p>
  </w:footnote>
  <w:footnote w:id="296">
    <w:p w14:paraId="44542D58" w14:textId="52B1DC66" w:rsidR="004B7DBA" w:rsidRPr="004B5630" w:rsidRDefault="004B7DBA" w:rsidP="00734802">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cs="Calibri"/>
          <w:sz w:val="18"/>
          <w:szCs w:val="18"/>
        </w:rPr>
        <w:t>CC ANCIPA</w:t>
      </w:r>
      <w:r w:rsidRPr="004B5630">
        <w:rPr>
          <w:sz w:val="18"/>
          <w:szCs w:val="18"/>
        </w:rPr>
        <w:t>(hortofruticolas)</w:t>
      </w:r>
      <w:r w:rsidRPr="004B5630">
        <w:rPr>
          <w:rFonts w:cs="Calibri"/>
          <w:sz w:val="18"/>
          <w:szCs w:val="18"/>
        </w:rPr>
        <w:t>/ SETAAB – BTE 18/2019 (cl.22ª,5)</w:t>
      </w:r>
      <w:r w:rsidRPr="004B5630">
        <w:rPr>
          <w:sz w:val="18"/>
          <w:szCs w:val="18"/>
        </w:rPr>
        <w:t>.</w:t>
      </w:r>
    </w:p>
  </w:footnote>
  <w:footnote w:id="297">
    <w:p w14:paraId="6C5C6594" w14:textId="6862D428" w:rsidR="004B7DBA" w:rsidRPr="004B5630" w:rsidRDefault="004B7DBA" w:rsidP="00734802">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Com formulação idêntica: </w:t>
      </w:r>
      <w:r w:rsidRPr="004B5630">
        <w:rPr>
          <w:rFonts w:cs="Calibri"/>
          <w:sz w:val="18"/>
          <w:szCs w:val="18"/>
        </w:rPr>
        <w:t xml:space="preserve">CC ALIF/SETAAB – BTE 17/2019 (cl.19ª,1) e AC </w:t>
      </w:r>
      <w:r w:rsidRPr="004B5630">
        <w:rPr>
          <w:sz w:val="18"/>
          <w:szCs w:val="18"/>
        </w:rPr>
        <w:t>Cooperativa Agrícola da Tocha e outras</w:t>
      </w:r>
      <w:r w:rsidRPr="004B5630">
        <w:rPr>
          <w:rFonts w:cs="Calibri"/>
          <w:sz w:val="18"/>
          <w:szCs w:val="18"/>
        </w:rPr>
        <w:t xml:space="preserve"> /SETAAB – BTE 18/2019 (cl.22ª,1)  [(=))</w:t>
      </w:r>
      <w:r w:rsidRPr="004B5630">
        <w:rPr>
          <w:sz w:val="18"/>
          <w:szCs w:val="18"/>
        </w:rPr>
        <w:t xml:space="preserve"> BTE 29/2018].</w:t>
      </w:r>
    </w:p>
  </w:footnote>
  <w:footnote w:id="298">
    <w:p w14:paraId="2FB1CC16" w14:textId="747D533F" w:rsidR="004B7DBA" w:rsidRPr="004B5630" w:rsidRDefault="004B7DBA" w:rsidP="00734802">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 xml:space="preserve"> </w:t>
      </w:r>
      <w:r w:rsidRPr="004B5630">
        <w:rPr>
          <w:sz w:val="18"/>
          <w:szCs w:val="18"/>
        </w:rPr>
        <w:tab/>
        <w:t xml:space="preserve">Nos </w:t>
      </w:r>
      <w:r w:rsidRPr="004B5630">
        <w:rPr>
          <w:rFonts w:eastAsia="Times New Roman" w:cs="Calibri"/>
          <w:sz w:val="18"/>
          <w:szCs w:val="18"/>
          <w:lang w:eastAsia="pt-PT"/>
        </w:rPr>
        <w:t>CC CNEF/SEPLEU e CNEF/ SIPE – ambos BTE 5/2019 (cl.24ª) [(=)</w:t>
      </w:r>
      <w:r w:rsidRPr="004B5630">
        <w:rPr>
          <w:sz w:val="18"/>
          <w:szCs w:val="18"/>
        </w:rPr>
        <w:t>CC CNEF/ASPC - BTE 47/2017 ], o</w:t>
      </w:r>
      <w:r w:rsidRPr="004B5630">
        <w:rPr>
          <w:rFonts w:eastAsia="Times New Roman" w:cs="Calibri"/>
          <w:sz w:val="18"/>
          <w:szCs w:val="18"/>
          <w:lang w:eastAsia="pt-PT"/>
        </w:rPr>
        <w:t xml:space="preserve">  banco de horas </w:t>
      </w:r>
      <w:r w:rsidRPr="004B5630">
        <w:rPr>
          <w:sz w:val="18"/>
          <w:szCs w:val="18"/>
        </w:rPr>
        <w:t xml:space="preserve">aplica-se a docentes apenas no âmbito de determinadas atividades ou de visitas de estudo; e no  </w:t>
      </w:r>
      <w:r w:rsidRPr="004B5630">
        <w:rPr>
          <w:rFonts w:eastAsia="Times New Roman" w:cs="Calibri"/>
          <w:sz w:val="18"/>
          <w:szCs w:val="18"/>
          <w:lang w:eastAsia="pt-PT"/>
        </w:rPr>
        <w:t>AE Fico Cables/SINDEL – BTE 45/2019 (cl.7ª) a sua aplicação é possível quando “os níveis de produção fundamentadamente assim o exigirem”.</w:t>
      </w:r>
    </w:p>
  </w:footnote>
  <w:footnote w:id="299">
    <w:p w14:paraId="52EF426E" w14:textId="77777777" w:rsidR="004B7DBA" w:rsidRPr="004B5630" w:rsidRDefault="004B7DBA" w:rsidP="00734802">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Admitindo-se, em certos casos, o alargamento do montante anual através de IRCT (art. 208.º, 3).</w:t>
      </w:r>
    </w:p>
  </w:footnote>
  <w:footnote w:id="300">
    <w:p w14:paraId="3FD45904" w14:textId="77777777" w:rsidR="004B7DBA" w:rsidRPr="004B5630" w:rsidRDefault="004B7DBA" w:rsidP="00734802">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cs="Calibri"/>
          <w:sz w:val="18"/>
          <w:szCs w:val="18"/>
        </w:rPr>
        <w:t xml:space="preserve">CC ANIECA/FECTRANS – BTE 13/2019 </w:t>
      </w:r>
      <w:r w:rsidRPr="004B5630">
        <w:rPr>
          <w:sz w:val="18"/>
          <w:szCs w:val="18"/>
        </w:rPr>
        <w:t xml:space="preserve">(cl. 27.ª1) [(=) BTE 10/2018]  E ANORECA CC AHSA/SETAAB - BTE </w:t>
      </w:r>
    </w:p>
  </w:footnote>
  <w:footnote w:id="301">
    <w:p w14:paraId="5067CD3D" w14:textId="1DF98747" w:rsidR="004B7DBA" w:rsidRPr="004B5630" w:rsidRDefault="004B7DBA" w:rsidP="00734802">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t xml:space="preserve">Por exemplo, </w:t>
      </w:r>
      <w:r w:rsidRPr="004B5630">
        <w:rPr>
          <w:rFonts w:eastAsia="Times New Roman" w:cs="Calibri"/>
          <w:sz w:val="18"/>
          <w:szCs w:val="18"/>
          <w:lang w:eastAsia="pt-PT"/>
        </w:rPr>
        <w:t xml:space="preserve">CC ANCIP </w:t>
      </w:r>
      <w:r w:rsidRPr="004B5630">
        <w:rPr>
          <w:rFonts w:eastAsia="Times New Roman"/>
          <w:sz w:val="18"/>
          <w:szCs w:val="18"/>
          <w:lang w:eastAsia="pt-PT"/>
        </w:rPr>
        <w:t>(hortofruticolas)</w:t>
      </w:r>
      <w:r w:rsidRPr="004B5630">
        <w:rPr>
          <w:rFonts w:eastAsia="Times New Roman" w:cs="Calibri"/>
          <w:sz w:val="18"/>
          <w:szCs w:val="18"/>
          <w:lang w:eastAsia="pt-PT"/>
        </w:rPr>
        <w:t xml:space="preserve">/ SETAAB – BTE 18/2019 (cl.22ª,4 e 10), embora instituído pelo empregador, o banco de horas </w:t>
      </w:r>
      <w:r w:rsidRPr="004B5630">
        <w:rPr>
          <w:sz w:val="18"/>
          <w:szCs w:val="18"/>
        </w:rPr>
        <w:t>pode ser utilizado por iniciativa do empregador (pré-aviso 3 dias)</w:t>
      </w:r>
      <w:r w:rsidRPr="004B5630">
        <w:rPr>
          <w:rFonts w:eastAsia="Times New Roman" w:cs="Calibri"/>
          <w:sz w:val="18"/>
          <w:szCs w:val="18"/>
          <w:lang w:eastAsia="pt-PT"/>
        </w:rPr>
        <w:t xml:space="preserve">  ou do trabalhador </w:t>
      </w:r>
      <w:r w:rsidRPr="004B5630">
        <w:rPr>
          <w:sz w:val="18"/>
          <w:szCs w:val="18"/>
        </w:rPr>
        <w:t>(pré-aviso 5 dias), autorizado pelo empregador.</w:t>
      </w:r>
      <w:r w:rsidRPr="004B5630">
        <w:rPr>
          <w:rFonts w:eastAsia="Times New Roman" w:cs="Calibri"/>
          <w:sz w:val="18"/>
          <w:szCs w:val="18"/>
          <w:lang w:eastAsia="pt-PT"/>
        </w:rPr>
        <w:t xml:space="preserve">  </w:t>
      </w:r>
      <w:r w:rsidRPr="004B5630">
        <w:rPr>
          <w:sz w:val="18"/>
          <w:szCs w:val="18"/>
        </w:rPr>
        <w:t xml:space="preserve"> </w:t>
      </w:r>
    </w:p>
  </w:footnote>
  <w:footnote w:id="302">
    <w:p w14:paraId="39396E62" w14:textId="77777777" w:rsidR="004B7DBA" w:rsidRPr="004B5630" w:rsidRDefault="004B7DBA" w:rsidP="00734802">
      <w:pPr>
        <w:pStyle w:val="Textodenotaderodap"/>
        <w:tabs>
          <w:tab w:val="left" w:pos="426"/>
        </w:tabs>
        <w:ind w:left="425" w:hanging="425"/>
        <w:rPr>
          <w:sz w:val="18"/>
          <w:szCs w:val="18"/>
        </w:rPr>
      </w:pPr>
      <w:r w:rsidRPr="004B5630">
        <w:rPr>
          <w:rStyle w:val="Refdenotaderodap"/>
          <w:sz w:val="18"/>
          <w:szCs w:val="18"/>
        </w:rPr>
        <w:footnoteRef/>
      </w:r>
      <w:r w:rsidRPr="004B5630">
        <w:rPr>
          <w:color w:val="0070C0"/>
          <w:sz w:val="18"/>
          <w:szCs w:val="18"/>
        </w:rPr>
        <w:t xml:space="preserve"> </w:t>
      </w:r>
      <w:r w:rsidRPr="004B5630">
        <w:rPr>
          <w:color w:val="0070C0"/>
          <w:sz w:val="18"/>
          <w:szCs w:val="18"/>
        </w:rPr>
        <w:tab/>
      </w:r>
      <w:r w:rsidRPr="004B5630">
        <w:rPr>
          <w:sz w:val="18"/>
          <w:szCs w:val="18"/>
        </w:rPr>
        <w:t xml:space="preserve">Por exemplo, </w:t>
      </w:r>
      <w:r w:rsidRPr="004B5630">
        <w:rPr>
          <w:rFonts w:cs="Calibri"/>
          <w:sz w:val="18"/>
          <w:szCs w:val="18"/>
        </w:rPr>
        <w:t>CC ADIPA (Retalhistas) /SITESE – BTE 14/2019 (cl. 15ª).</w:t>
      </w:r>
    </w:p>
  </w:footnote>
  <w:footnote w:id="303">
    <w:p w14:paraId="6B4C7B8B" w14:textId="084C2F2B" w:rsidR="004B7DBA" w:rsidRPr="004B5630" w:rsidRDefault="004B7DBA" w:rsidP="00734802">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 xml:space="preserve"> </w:t>
      </w:r>
      <w:r w:rsidRPr="004B5630">
        <w:rPr>
          <w:sz w:val="18"/>
          <w:szCs w:val="18"/>
        </w:rPr>
        <w:tab/>
      </w:r>
      <w:r w:rsidRPr="004B5630">
        <w:rPr>
          <w:rFonts w:cs="Calibri"/>
          <w:sz w:val="18"/>
          <w:szCs w:val="18"/>
        </w:rPr>
        <w:t>CC ACILIS/CESP e paralelo (cl.7ª),</w:t>
      </w:r>
    </w:p>
  </w:footnote>
  <w:footnote w:id="304">
    <w:p w14:paraId="702C6A72" w14:textId="1496B26E" w:rsidR="004B7DBA" w:rsidRPr="004B5630" w:rsidRDefault="004B7DBA" w:rsidP="00734802">
      <w:pPr>
        <w:pStyle w:val="Textodenotaderodap"/>
        <w:tabs>
          <w:tab w:val="left" w:pos="426"/>
        </w:tabs>
        <w:ind w:left="425" w:hanging="425"/>
        <w:rPr>
          <w:sz w:val="18"/>
          <w:szCs w:val="18"/>
        </w:rPr>
      </w:pPr>
      <w:r w:rsidRPr="004B5630">
        <w:rPr>
          <w:rStyle w:val="Refdenotaderodap"/>
          <w:sz w:val="18"/>
          <w:szCs w:val="18"/>
        </w:rPr>
        <w:footnoteRef/>
      </w:r>
      <w:r w:rsidRPr="004B5630">
        <w:rPr>
          <w:rFonts w:cs="Calibri"/>
          <w:sz w:val="18"/>
          <w:szCs w:val="18"/>
        </w:rPr>
        <w:t xml:space="preserve">  </w:t>
      </w:r>
      <w:r w:rsidRPr="004B5630">
        <w:rPr>
          <w:rFonts w:cs="Calibri"/>
          <w:sz w:val="18"/>
          <w:szCs w:val="18"/>
        </w:rPr>
        <w:tab/>
        <w:t xml:space="preserve">AC </w:t>
      </w:r>
      <w:r w:rsidRPr="004B5630">
        <w:rPr>
          <w:sz w:val="18"/>
          <w:szCs w:val="18"/>
        </w:rPr>
        <w:t>Cooperativa Agrícola da Tocha e outras</w:t>
      </w:r>
      <w:r w:rsidRPr="004B5630">
        <w:rPr>
          <w:rFonts w:cs="Calibri"/>
          <w:sz w:val="18"/>
          <w:szCs w:val="18"/>
        </w:rPr>
        <w:t xml:space="preserve"> /SETAAB – BTE 18/2019 (cl.22ª).</w:t>
      </w:r>
    </w:p>
  </w:footnote>
  <w:footnote w:id="305">
    <w:p w14:paraId="72FC876E" w14:textId="2318B1D8" w:rsidR="004B7DBA" w:rsidRPr="004B5630" w:rsidRDefault="004B7DBA" w:rsidP="008F57AA">
      <w:pPr>
        <w:pStyle w:val="Textodenotaderodap"/>
        <w:tabs>
          <w:tab w:val="left" w:pos="426"/>
        </w:tabs>
        <w:ind w:left="426" w:right="-1" w:hanging="426"/>
        <w:rPr>
          <w:sz w:val="18"/>
          <w:szCs w:val="18"/>
        </w:rPr>
      </w:pPr>
      <w:r w:rsidRPr="004B5630">
        <w:rPr>
          <w:rStyle w:val="Refdenotaderodap"/>
        </w:rPr>
        <w:footnoteRef/>
      </w:r>
      <w:r w:rsidRPr="004B5630">
        <w:rPr>
          <w:vertAlign w:val="superscript"/>
        </w:rPr>
        <w:t xml:space="preserve"> </w:t>
      </w:r>
      <w:r w:rsidRPr="004B5630">
        <w:tab/>
      </w:r>
      <w:r w:rsidRPr="004B5630">
        <w:rPr>
          <w:sz w:val="18"/>
          <w:szCs w:val="18"/>
        </w:rPr>
        <w:t xml:space="preserve">Por exemplo, </w:t>
      </w:r>
      <w:r w:rsidRPr="004B5630">
        <w:rPr>
          <w:rFonts w:cs="Calibri"/>
          <w:sz w:val="18"/>
          <w:szCs w:val="18"/>
        </w:rPr>
        <w:t>CC ANCIPA</w:t>
      </w:r>
      <w:r w:rsidRPr="004B5630">
        <w:rPr>
          <w:sz w:val="18"/>
          <w:szCs w:val="18"/>
        </w:rPr>
        <w:t xml:space="preserve"> (hortofrutícolas)</w:t>
      </w:r>
      <w:r w:rsidRPr="004B5630">
        <w:rPr>
          <w:rFonts w:cs="Calibri"/>
          <w:sz w:val="18"/>
          <w:szCs w:val="18"/>
        </w:rPr>
        <w:t xml:space="preserve">/ SETAAB – BTE 18/2019 (cl.22ª,1)  </w:t>
      </w:r>
      <w:r w:rsidRPr="004B5630">
        <w:rPr>
          <w:sz w:val="18"/>
          <w:szCs w:val="18"/>
        </w:rPr>
        <w:t xml:space="preserve"> fixa como limite 160 H/ano, nos demais parâmetros reproduz a lei.</w:t>
      </w:r>
    </w:p>
  </w:footnote>
  <w:footnote w:id="306">
    <w:p w14:paraId="5CE47614" w14:textId="3CA870BD" w:rsidR="004B7DBA" w:rsidRPr="004B5630" w:rsidRDefault="004B7DBA" w:rsidP="002C7CD5">
      <w:pPr>
        <w:pStyle w:val="Textodenotaderodap"/>
        <w:tabs>
          <w:tab w:val="left" w:pos="426"/>
        </w:tabs>
        <w:ind w:left="425" w:right="57"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 xml:space="preserve"> </w:t>
      </w:r>
      <w:r w:rsidRPr="004B5630">
        <w:rPr>
          <w:sz w:val="18"/>
          <w:szCs w:val="18"/>
        </w:rPr>
        <w:tab/>
      </w:r>
      <w:r w:rsidRPr="004B5630">
        <w:rPr>
          <w:rFonts w:cs="Calibri"/>
          <w:sz w:val="18"/>
          <w:szCs w:val="18"/>
        </w:rPr>
        <w:t xml:space="preserve">AC </w:t>
      </w:r>
      <w:r w:rsidRPr="004B5630">
        <w:rPr>
          <w:sz w:val="18"/>
          <w:szCs w:val="18"/>
        </w:rPr>
        <w:t>Cooperativa Agrícola da Tocha e outras</w:t>
      </w:r>
      <w:r w:rsidRPr="004B5630">
        <w:rPr>
          <w:rFonts w:cs="Calibri"/>
          <w:sz w:val="18"/>
          <w:szCs w:val="18"/>
        </w:rPr>
        <w:t xml:space="preserve"> /SETAAB – BTE 18/2019 (cl.22ª,2).</w:t>
      </w:r>
      <w:r w:rsidRPr="004B5630">
        <w:rPr>
          <w:sz w:val="18"/>
          <w:szCs w:val="18"/>
        </w:rPr>
        <w:t xml:space="preserve">  </w:t>
      </w:r>
    </w:p>
  </w:footnote>
  <w:footnote w:id="307">
    <w:p w14:paraId="4392C57E" w14:textId="0066ACEE" w:rsidR="004B7DBA" w:rsidRPr="004B5630" w:rsidRDefault="004B7DBA" w:rsidP="002C7CD5">
      <w:pPr>
        <w:pStyle w:val="Textodenotaderodap"/>
        <w:tabs>
          <w:tab w:val="left" w:pos="426"/>
        </w:tabs>
        <w:ind w:left="425" w:right="57"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 Por exemplo, </w:t>
      </w:r>
      <w:r w:rsidRPr="004B5630">
        <w:rPr>
          <w:rFonts w:cs="Calibri"/>
          <w:sz w:val="18"/>
          <w:szCs w:val="18"/>
        </w:rPr>
        <w:t>AE AHBV – ALGÉS/SNBP – BTE 36/2019 (cl.44ª) e CC ABIMOTA/SINDEL – BTE 45/2019 (51ª).</w:t>
      </w:r>
    </w:p>
  </w:footnote>
  <w:footnote w:id="308">
    <w:p w14:paraId="70AF3FA6" w14:textId="45CCD50A" w:rsidR="004B7DBA" w:rsidRPr="004B5630" w:rsidRDefault="004B7DBA" w:rsidP="002C7CD5">
      <w:pPr>
        <w:tabs>
          <w:tab w:val="left" w:pos="426"/>
        </w:tabs>
        <w:spacing w:after="0" w:line="240" w:lineRule="auto"/>
        <w:ind w:left="425" w:right="57"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 xml:space="preserve"> </w:t>
      </w:r>
      <w:r w:rsidRPr="004B5630">
        <w:rPr>
          <w:sz w:val="18"/>
          <w:szCs w:val="18"/>
        </w:rPr>
        <w:tab/>
        <w:t xml:space="preserve">Os </w:t>
      </w:r>
      <w:r w:rsidRPr="004B5630">
        <w:rPr>
          <w:rFonts w:eastAsia="Times New Roman" w:cs="Calibri"/>
          <w:sz w:val="18"/>
          <w:szCs w:val="18"/>
          <w:lang w:eastAsia="pt-PT"/>
        </w:rPr>
        <w:t>CC ACILIS/CESP e ACILIS/SITESE – BTE 31/2019 (cl.7ª), o trabalho em dia feriado é acrescida de uma pequena majoração;</w:t>
      </w:r>
      <w:r w:rsidRPr="004B5630">
        <w:rPr>
          <w:sz w:val="18"/>
          <w:szCs w:val="18"/>
        </w:rPr>
        <w:t xml:space="preserve"> </w:t>
      </w:r>
      <w:r w:rsidRPr="004B5630">
        <w:rPr>
          <w:rFonts w:eastAsia="Times New Roman" w:cs="Calibri"/>
          <w:sz w:val="18"/>
          <w:szCs w:val="18"/>
          <w:lang w:eastAsia="pt-PT"/>
        </w:rPr>
        <w:t xml:space="preserve">CC ANCIPA </w:t>
      </w:r>
      <w:r w:rsidRPr="004B5630">
        <w:rPr>
          <w:rFonts w:eastAsia="Times New Roman"/>
          <w:sz w:val="18"/>
          <w:szCs w:val="18"/>
          <w:lang w:eastAsia="pt-PT"/>
        </w:rPr>
        <w:t>(hortofrutícolas)</w:t>
      </w:r>
      <w:r w:rsidRPr="004B5630">
        <w:rPr>
          <w:rFonts w:eastAsia="Times New Roman" w:cs="Calibri"/>
          <w:sz w:val="18"/>
          <w:szCs w:val="18"/>
          <w:lang w:eastAsia="pt-PT"/>
        </w:rPr>
        <w:t>/SETAAB – BTE 18/2019 (cl.22ª,7); no CC ADIPA (Retalhistas)/SITESE – BTE 14/2019 (cl.14ª,13), a prestação de trabalho  confere  ao trabalhador o direito a uma majoração de 50%, registada em crédito de horas ou paga.</w:t>
      </w:r>
    </w:p>
  </w:footnote>
  <w:footnote w:id="309">
    <w:p w14:paraId="0E29AB15" w14:textId="60AE3DD5" w:rsidR="004B7DBA" w:rsidRPr="004B5630" w:rsidRDefault="004B7DBA" w:rsidP="002C7CD5">
      <w:pPr>
        <w:tabs>
          <w:tab w:val="left" w:pos="426"/>
        </w:tabs>
        <w:spacing w:after="0" w:line="240" w:lineRule="auto"/>
        <w:ind w:left="425" w:right="57"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 xml:space="preserve">CC ALIF/SETAAB – BTE 17/2019 </w:t>
      </w:r>
      <w:r w:rsidRPr="004B5630">
        <w:rPr>
          <w:sz w:val="18"/>
          <w:szCs w:val="18"/>
        </w:rPr>
        <w:t xml:space="preserve">(19ª,3); </w:t>
      </w:r>
      <w:r w:rsidRPr="004B5630">
        <w:rPr>
          <w:rFonts w:eastAsia="Times New Roman" w:cs="Calibri"/>
          <w:sz w:val="18"/>
          <w:szCs w:val="18"/>
          <w:lang w:eastAsia="pt-PT"/>
        </w:rPr>
        <w:t xml:space="preserve">AC Indorama Portugal/COFESINT – BTE 31/2019 (cl.29ª). </w:t>
      </w:r>
    </w:p>
  </w:footnote>
  <w:footnote w:id="310">
    <w:p w14:paraId="6F950E22" w14:textId="7C39600C" w:rsidR="004B7DBA" w:rsidRPr="004B5630" w:rsidRDefault="004B7DBA" w:rsidP="002C7CD5">
      <w:pPr>
        <w:pStyle w:val="Textodenotaderodap"/>
        <w:tabs>
          <w:tab w:val="left" w:pos="426"/>
        </w:tabs>
        <w:ind w:left="425" w:right="57" w:hanging="425"/>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Por exemplo, </w:t>
      </w:r>
      <w:r w:rsidRPr="004B5630">
        <w:rPr>
          <w:rFonts w:cs="Calibri"/>
          <w:sz w:val="18"/>
          <w:szCs w:val="18"/>
        </w:rPr>
        <w:t>CC ANCIPA</w:t>
      </w:r>
      <w:r w:rsidRPr="004B5630">
        <w:rPr>
          <w:sz w:val="18"/>
          <w:szCs w:val="18"/>
        </w:rPr>
        <w:t>(hortofrutícolas)</w:t>
      </w:r>
      <w:r w:rsidRPr="004B5630">
        <w:rPr>
          <w:rFonts w:cs="Calibri"/>
          <w:sz w:val="18"/>
          <w:szCs w:val="18"/>
        </w:rPr>
        <w:t>/ SETAAB – BTE 18/2019 (cl.22ª,3) e por iniciativa do empregador ou do trabalhador.</w:t>
      </w:r>
      <w:r w:rsidRPr="004B5630">
        <w:rPr>
          <w:rFonts w:cs="Calibri"/>
        </w:rPr>
        <w:t xml:space="preserve">   </w:t>
      </w:r>
      <w:r w:rsidRPr="004B5630">
        <w:t xml:space="preserve"> </w:t>
      </w:r>
      <w:r w:rsidRPr="004B5630">
        <w:rPr>
          <w:strike/>
        </w:rPr>
        <w:t xml:space="preserve"> </w:t>
      </w:r>
    </w:p>
  </w:footnote>
  <w:footnote w:id="311">
    <w:p w14:paraId="444C0F75" w14:textId="75ABB398" w:rsidR="004B7DBA" w:rsidRPr="004B5630" w:rsidRDefault="004B7DBA" w:rsidP="002C7CD5">
      <w:pPr>
        <w:pStyle w:val="Textodenotaderodap"/>
        <w:tabs>
          <w:tab w:val="left" w:pos="426"/>
        </w:tabs>
        <w:ind w:left="425" w:right="57" w:hanging="425"/>
        <w:rPr>
          <w:sz w:val="18"/>
          <w:szCs w:val="18"/>
          <w:lang w:val="fr-FR"/>
        </w:rPr>
      </w:pPr>
      <w:r w:rsidRPr="004B5630">
        <w:rPr>
          <w:rStyle w:val="Refdenotaderodap"/>
          <w:sz w:val="18"/>
          <w:szCs w:val="18"/>
        </w:rPr>
        <w:footnoteRef/>
      </w:r>
      <w:r w:rsidRPr="004B5630">
        <w:rPr>
          <w:sz w:val="18"/>
          <w:szCs w:val="18"/>
          <w:lang w:val="fr-FR"/>
        </w:rPr>
        <w:t xml:space="preserve"> </w:t>
      </w:r>
      <w:r w:rsidRPr="004B5630">
        <w:rPr>
          <w:sz w:val="18"/>
          <w:szCs w:val="18"/>
          <w:lang w:val="fr-FR"/>
        </w:rPr>
        <w:tab/>
      </w:r>
      <w:r w:rsidRPr="004B5630">
        <w:rPr>
          <w:rFonts w:cs="Calibri"/>
          <w:sz w:val="18"/>
          <w:szCs w:val="18"/>
          <w:lang w:val="fr-FR"/>
        </w:rPr>
        <w:t>AE AIG EUROPE/STAS – BTE 17/2019 (cl.30ª,5).</w:t>
      </w:r>
    </w:p>
  </w:footnote>
  <w:footnote w:id="312">
    <w:p w14:paraId="34F9E4EE" w14:textId="6A333ACD" w:rsidR="004B7DBA" w:rsidRPr="004B5630" w:rsidRDefault="004B7DBA" w:rsidP="002C7CD5">
      <w:pPr>
        <w:tabs>
          <w:tab w:val="left" w:pos="426"/>
        </w:tabs>
        <w:spacing w:after="0" w:line="240" w:lineRule="auto"/>
        <w:ind w:left="425" w:right="57"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Por exemplo, </w:t>
      </w:r>
      <w:r w:rsidRPr="004B5630">
        <w:rPr>
          <w:rFonts w:eastAsia="Times New Roman" w:cs="Calibri"/>
          <w:sz w:val="18"/>
          <w:szCs w:val="18"/>
          <w:lang w:eastAsia="pt-PT"/>
        </w:rPr>
        <w:t>CC ANCIPA</w:t>
      </w:r>
      <w:r w:rsidRPr="004B5630">
        <w:rPr>
          <w:rFonts w:eastAsia="Times New Roman"/>
          <w:sz w:val="18"/>
          <w:szCs w:val="18"/>
          <w:lang w:eastAsia="pt-PT"/>
        </w:rPr>
        <w:t>(hortofrutícolas)</w:t>
      </w:r>
      <w:r w:rsidRPr="004B5630">
        <w:rPr>
          <w:rFonts w:eastAsia="Times New Roman" w:cs="Calibri"/>
          <w:sz w:val="18"/>
          <w:szCs w:val="18"/>
          <w:lang w:eastAsia="pt-PT"/>
        </w:rPr>
        <w:t xml:space="preserve">/ SETAAB – BTE 18/2019 (cl.22ª,4); CC ANIECA/FECTRANS – BTE 13/2019 </w:t>
      </w:r>
      <w:r w:rsidRPr="004B5630">
        <w:rPr>
          <w:sz w:val="18"/>
          <w:szCs w:val="18"/>
        </w:rPr>
        <w:t>(cl. 27.ª, 3 e 4) [(=) BTE 10/2018].</w:t>
      </w:r>
    </w:p>
  </w:footnote>
  <w:footnote w:id="313">
    <w:p w14:paraId="71D047BD" w14:textId="414FFCA8" w:rsidR="004B7DBA" w:rsidRPr="004B5630" w:rsidRDefault="004B7DBA" w:rsidP="002C7CD5">
      <w:pPr>
        <w:pStyle w:val="Textodenotaderodap"/>
        <w:tabs>
          <w:tab w:val="left" w:pos="426"/>
        </w:tabs>
        <w:ind w:left="425" w:right="57"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cs="Calibri"/>
          <w:sz w:val="18"/>
          <w:szCs w:val="18"/>
        </w:rPr>
        <w:t>CC ABIMOTA/SINDEL – BTE 45/2019 (51ª).</w:t>
      </w:r>
    </w:p>
  </w:footnote>
  <w:footnote w:id="314">
    <w:p w14:paraId="5E5D1039" w14:textId="1CBEBAC1" w:rsidR="004B7DBA" w:rsidRPr="004B5630" w:rsidRDefault="004B7DBA" w:rsidP="002C7CD5">
      <w:pPr>
        <w:tabs>
          <w:tab w:val="left" w:pos="426"/>
        </w:tabs>
        <w:spacing w:after="0" w:line="240" w:lineRule="auto"/>
        <w:ind w:left="425" w:right="57"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lang w:val="en-US"/>
        </w:rPr>
        <w:t xml:space="preserve"> </w:t>
      </w:r>
      <w:r w:rsidRPr="004B5630">
        <w:rPr>
          <w:sz w:val="18"/>
          <w:szCs w:val="18"/>
          <w:lang w:val="en-US"/>
        </w:rPr>
        <w:tab/>
      </w:r>
      <w:r w:rsidRPr="004B5630">
        <w:rPr>
          <w:rFonts w:eastAsia="Times New Roman" w:cs="Calibri"/>
          <w:sz w:val="18"/>
          <w:szCs w:val="18"/>
          <w:lang w:val="en-US" w:eastAsia="pt-PT"/>
        </w:rPr>
        <w:t>CC ANILACT/SETAAB – BTE 13/2019 (cl.</w:t>
      </w:r>
      <w:r w:rsidRPr="004B5630">
        <w:rPr>
          <w:sz w:val="18"/>
          <w:szCs w:val="18"/>
          <w:lang w:val="en-US"/>
        </w:rPr>
        <w:t xml:space="preserve"> </w:t>
      </w:r>
      <w:r w:rsidRPr="004B5630">
        <w:rPr>
          <w:sz w:val="18"/>
          <w:szCs w:val="18"/>
        </w:rPr>
        <w:t>Anexo V, cl. 5ª</w:t>
      </w:r>
      <w:r w:rsidRPr="004B5630">
        <w:rPr>
          <w:rFonts w:eastAsia="Times New Roman" w:cs="Calibri"/>
          <w:sz w:val="18"/>
          <w:szCs w:val="18"/>
          <w:lang w:eastAsia="pt-PT"/>
        </w:rPr>
        <w:t>) [(=)</w:t>
      </w:r>
      <w:r w:rsidRPr="004B5630">
        <w:rPr>
          <w:sz w:val="18"/>
          <w:szCs w:val="18"/>
        </w:rPr>
        <w:t>CC ANIL e outras/SIMA - BTE 20/2018 (Anexo V, cl. 5ª)].</w:t>
      </w:r>
    </w:p>
  </w:footnote>
  <w:footnote w:id="315">
    <w:p w14:paraId="33445092" w14:textId="7DAD8F08" w:rsidR="004B7DBA" w:rsidRPr="004B5630" w:rsidRDefault="004B7DBA" w:rsidP="002C7CD5">
      <w:pPr>
        <w:pStyle w:val="Textodenotaderodap"/>
        <w:tabs>
          <w:tab w:val="left" w:pos="426"/>
        </w:tabs>
        <w:ind w:left="425" w:right="57" w:hanging="425"/>
        <w:rPr>
          <w:strike/>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ADIPA </w:t>
      </w:r>
      <w:r w:rsidRPr="004B5630">
        <w:rPr>
          <w:rFonts w:cs="Calibri"/>
          <w:sz w:val="18"/>
          <w:szCs w:val="18"/>
        </w:rPr>
        <w:t>CC ALIF/SETAAB – BTE 17/2019 (cl.19ª,5)</w:t>
      </w:r>
      <w:r w:rsidRPr="004B5630">
        <w:rPr>
          <w:sz w:val="18"/>
          <w:szCs w:val="18"/>
        </w:rPr>
        <w:t xml:space="preserve">;  </w:t>
      </w:r>
      <w:r w:rsidRPr="004B5630">
        <w:rPr>
          <w:rFonts w:cs="Calibri"/>
          <w:sz w:val="18"/>
          <w:szCs w:val="18"/>
        </w:rPr>
        <w:t>CC ALIF/SETAAB – BTE 17/2019 (cl.19ª,5).</w:t>
      </w:r>
    </w:p>
  </w:footnote>
  <w:footnote w:id="316">
    <w:p w14:paraId="5ED3C029" w14:textId="61CE862D" w:rsidR="004B7DBA" w:rsidRPr="004B5630" w:rsidRDefault="004B7DBA" w:rsidP="002C7CD5">
      <w:pPr>
        <w:tabs>
          <w:tab w:val="left" w:pos="426"/>
        </w:tabs>
        <w:spacing w:after="0" w:line="240" w:lineRule="auto"/>
        <w:ind w:left="425" w:right="57" w:hanging="425"/>
        <w:jc w:val="both"/>
        <w:rPr>
          <w:rFonts w:eastAsia="Times New Roman" w:cs="Calibri"/>
          <w:sz w:val="18"/>
          <w:szCs w:val="18"/>
          <w:lang w:eastAsia="pt-PT"/>
        </w:rPr>
      </w:pPr>
      <w:r w:rsidRPr="004B5630">
        <w:rPr>
          <w:rStyle w:val="Refdenotaderodap"/>
          <w:sz w:val="18"/>
          <w:szCs w:val="18"/>
        </w:rPr>
        <w:footnoteRef/>
      </w:r>
      <w:r w:rsidRPr="004B5630">
        <w:rPr>
          <w:rFonts w:eastAsia="Times New Roman" w:cs="Calibri"/>
          <w:sz w:val="18"/>
          <w:szCs w:val="18"/>
          <w:vertAlign w:val="superscript"/>
          <w:lang w:eastAsia="pt-PT"/>
        </w:rPr>
        <w:t xml:space="preserve"> </w:t>
      </w:r>
      <w:r w:rsidRPr="004B5630">
        <w:rPr>
          <w:rFonts w:eastAsia="Times New Roman" w:cs="Calibri"/>
          <w:sz w:val="18"/>
          <w:szCs w:val="18"/>
          <w:lang w:eastAsia="pt-PT"/>
        </w:rPr>
        <w:t xml:space="preserve"> </w:t>
      </w:r>
      <w:r w:rsidRPr="004B5630">
        <w:rPr>
          <w:rFonts w:eastAsia="Times New Roman" w:cs="Calibri"/>
          <w:sz w:val="18"/>
          <w:szCs w:val="18"/>
          <w:lang w:eastAsia="pt-PT"/>
        </w:rPr>
        <w:tab/>
        <w:t>Por exemplo, CC ACIBARCELOS/SITSECCVAC - BTE 27/2019 (cl.18ª) AC COOPTOCHA/SETAAB – BTE 18/2019 (cl.</w:t>
      </w:r>
      <w:r w:rsidRPr="004B5630">
        <w:rPr>
          <w:sz w:val="18"/>
          <w:szCs w:val="18"/>
        </w:rPr>
        <w:t xml:space="preserve"> 22ª</w:t>
      </w:r>
      <w:r w:rsidRPr="004B5630">
        <w:rPr>
          <w:rFonts w:eastAsia="Times New Roman" w:cs="Calibri"/>
          <w:sz w:val="18"/>
          <w:szCs w:val="18"/>
          <w:lang w:eastAsia="pt-PT"/>
        </w:rPr>
        <w:t>; AE Europ Assistance – Seguros/SINAPSA - BTE 29/2019 (cl.</w:t>
      </w:r>
      <w:r w:rsidRPr="004B5630">
        <w:rPr>
          <w:sz w:val="18"/>
          <w:szCs w:val="18"/>
        </w:rPr>
        <w:t>17ª</w:t>
      </w:r>
      <w:r w:rsidRPr="004B5630">
        <w:rPr>
          <w:rFonts w:eastAsia="Times New Roman" w:cs="Calibri"/>
          <w:sz w:val="18"/>
          <w:szCs w:val="18"/>
          <w:lang w:eastAsia="pt-PT"/>
        </w:rPr>
        <w:t>.).</w:t>
      </w:r>
    </w:p>
  </w:footnote>
  <w:footnote w:id="317">
    <w:p w14:paraId="7C7FDDE6" w14:textId="47BFF6D9" w:rsidR="004B7DBA" w:rsidRPr="004B5630" w:rsidRDefault="004B7DBA" w:rsidP="002C7CD5">
      <w:pPr>
        <w:pStyle w:val="Textodenotaderodap"/>
        <w:tabs>
          <w:tab w:val="left" w:pos="426"/>
        </w:tabs>
        <w:ind w:left="425" w:right="57" w:hanging="425"/>
        <w:rPr>
          <w:sz w:val="18"/>
          <w:szCs w:val="18"/>
        </w:rPr>
      </w:pPr>
      <w:r w:rsidRPr="004B5630">
        <w:rPr>
          <w:rStyle w:val="Refdenotaderodap"/>
          <w:sz w:val="18"/>
          <w:szCs w:val="18"/>
        </w:rPr>
        <w:footnoteRef/>
      </w:r>
      <w:r w:rsidRPr="004B5630">
        <w:rPr>
          <w:sz w:val="18"/>
          <w:szCs w:val="18"/>
          <w:vertAlign w:val="superscript"/>
          <w:lang w:val="en-US"/>
        </w:rPr>
        <w:t xml:space="preserve"> </w:t>
      </w:r>
      <w:r w:rsidRPr="004B5630">
        <w:rPr>
          <w:sz w:val="18"/>
          <w:szCs w:val="18"/>
          <w:lang w:val="en-US"/>
        </w:rPr>
        <w:tab/>
      </w:r>
      <w:r w:rsidRPr="004B5630">
        <w:rPr>
          <w:rFonts w:cs="Calibri"/>
          <w:sz w:val="18"/>
          <w:szCs w:val="18"/>
          <w:lang w:val="en-US"/>
        </w:rPr>
        <w:t>CC ANILACT/SETAAB – BTE 13/2019 (cl.</w:t>
      </w:r>
      <w:r w:rsidRPr="004B5630">
        <w:rPr>
          <w:sz w:val="18"/>
          <w:szCs w:val="18"/>
          <w:lang w:val="en-US"/>
        </w:rPr>
        <w:t xml:space="preserve"> </w:t>
      </w:r>
      <w:r w:rsidRPr="004B5630">
        <w:rPr>
          <w:sz w:val="18"/>
          <w:szCs w:val="18"/>
        </w:rPr>
        <w:t>Anexo V, cl. 5ª</w:t>
      </w:r>
      <w:r w:rsidRPr="004B5630">
        <w:rPr>
          <w:rFonts w:cs="Calibri"/>
          <w:sz w:val="18"/>
          <w:szCs w:val="18"/>
        </w:rPr>
        <w:t>) [(=)</w:t>
      </w:r>
      <w:r w:rsidRPr="004B5630">
        <w:rPr>
          <w:sz w:val="18"/>
          <w:szCs w:val="18"/>
        </w:rPr>
        <w:t xml:space="preserve">CC ANIL e outras/SIMA - BTE 20/2018] </w:t>
      </w:r>
      <w:r w:rsidRPr="004B5630">
        <w:rPr>
          <w:rFonts w:cs="Calibri"/>
          <w:sz w:val="18"/>
          <w:szCs w:val="18"/>
        </w:rPr>
        <w:t xml:space="preserve">AC Fidelidade / SINAPSA – BTE 5/2019 (Anexo II)  , prevê majoração de </w:t>
      </w:r>
      <w:r w:rsidRPr="004B5630">
        <w:rPr>
          <w:sz w:val="18"/>
          <w:szCs w:val="18"/>
        </w:rPr>
        <w:t>20%.</w:t>
      </w:r>
    </w:p>
  </w:footnote>
  <w:footnote w:id="318">
    <w:p w14:paraId="5070CE2B" w14:textId="1E74BC61" w:rsidR="004B7DBA" w:rsidRPr="004B5630" w:rsidRDefault="004B7DBA" w:rsidP="002C7CD5">
      <w:pPr>
        <w:pStyle w:val="Textodenotaderodap"/>
        <w:tabs>
          <w:tab w:val="left" w:pos="426"/>
        </w:tabs>
        <w:ind w:left="425" w:right="57"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cs="Calibri"/>
          <w:sz w:val="18"/>
          <w:szCs w:val="18"/>
        </w:rPr>
        <w:t xml:space="preserve">AC </w:t>
      </w:r>
      <w:r w:rsidRPr="004B5630">
        <w:rPr>
          <w:sz w:val="18"/>
          <w:szCs w:val="18"/>
        </w:rPr>
        <w:t>Cooperativa Agrícola da Tocha e outras</w:t>
      </w:r>
      <w:r w:rsidRPr="004B5630">
        <w:rPr>
          <w:rFonts w:cs="Calibri"/>
          <w:sz w:val="18"/>
          <w:szCs w:val="18"/>
        </w:rPr>
        <w:t xml:space="preserve"> /SETAAB – BTE 18/2019 (cl.22ª)</w:t>
      </w:r>
      <w:r w:rsidRPr="004B5630">
        <w:rPr>
          <w:sz w:val="18"/>
          <w:szCs w:val="18"/>
        </w:rPr>
        <w:t>[(=) BTE 8/2018).</w:t>
      </w:r>
    </w:p>
  </w:footnote>
  <w:footnote w:id="319">
    <w:p w14:paraId="12A22D27" w14:textId="31C6362D" w:rsidR="004B7DBA" w:rsidRPr="004B5630" w:rsidRDefault="004B7DBA" w:rsidP="002C7CD5">
      <w:pPr>
        <w:pStyle w:val="Textodenotaderodap"/>
        <w:tabs>
          <w:tab w:val="left" w:pos="426"/>
        </w:tabs>
        <w:ind w:left="425" w:right="57"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 xml:space="preserve">Por </w:t>
      </w:r>
      <w:r w:rsidRPr="004B5630">
        <w:rPr>
          <w:rFonts w:eastAsia="Calibri" w:cstheme="minorHAnsi"/>
          <w:sz w:val="18"/>
          <w:szCs w:val="18"/>
        </w:rPr>
        <w:t>exemplo,</w:t>
      </w:r>
      <w:r w:rsidRPr="004B5630">
        <w:rPr>
          <w:sz w:val="18"/>
          <w:szCs w:val="18"/>
        </w:rPr>
        <w:t xml:space="preserve"> </w:t>
      </w:r>
      <w:r w:rsidRPr="004B5630">
        <w:rPr>
          <w:rFonts w:cs="Calibri"/>
          <w:sz w:val="18"/>
          <w:szCs w:val="18"/>
        </w:rPr>
        <w:t>CC ANCIPA</w:t>
      </w:r>
      <w:r w:rsidRPr="004B5630">
        <w:rPr>
          <w:sz w:val="18"/>
          <w:szCs w:val="18"/>
        </w:rPr>
        <w:t>(hortofrutícolas)</w:t>
      </w:r>
      <w:r w:rsidRPr="004B5630">
        <w:rPr>
          <w:rFonts w:cs="Calibri"/>
          <w:sz w:val="18"/>
          <w:szCs w:val="18"/>
        </w:rPr>
        <w:t>/ SETAAB – BTE 18/2019 (cl.22ª,9).</w:t>
      </w:r>
    </w:p>
  </w:footnote>
  <w:footnote w:id="320">
    <w:p w14:paraId="72AAE95D" w14:textId="6E7EC344" w:rsidR="004B7DBA" w:rsidRPr="004B5630" w:rsidRDefault="004B7DBA" w:rsidP="002C7CD5">
      <w:pPr>
        <w:tabs>
          <w:tab w:val="left" w:pos="426"/>
        </w:tabs>
        <w:spacing w:after="0" w:line="240" w:lineRule="auto"/>
        <w:ind w:left="425" w:right="57"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 xml:space="preserve">AC LUSITÂNIA/SINAPSA - BTE 21/2019 (cl.); </w:t>
      </w:r>
      <w:r w:rsidRPr="004B5630">
        <w:rPr>
          <w:sz w:val="18"/>
          <w:szCs w:val="18"/>
        </w:rPr>
        <w:t xml:space="preserve"> (ANEXO V ,4º), </w:t>
      </w:r>
      <w:r w:rsidRPr="004B5630">
        <w:rPr>
          <w:rFonts w:eastAsia="Times New Roman" w:cs="Calibri"/>
          <w:sz w:val="18"/>
          <w:szCs w:val="18"/>
          <w:lang w:eastAsia="pt-PT"/>
        </w:rPr>
        <w:t>AE AHBV – ALGÉS/SNBP – BTE 36/2019 (cl.44), pré-aviso do trabalhador  de  8 dias.</w:t>
      </w:r>
    </w:p>
  </w:footnote>
  <w:footnote w:id="321">
    <w:p w14:paraId="21C77778" w14:textId="6AE9AC5E" w:rsidR="004B7DBA" w:rsidRPr="004B5630" w:rsidRDefault="004B7DBA" w:rsidP="002C7CD5">
      <w:pPr>
        <w:pStyle w:val="Textodenotaderodap"/>
        <w:tabs>
          <w:tab w:val="left" w:pos="426"/>
        </w:tabs>
        <w:ind w:left="425" w:right="57"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cs="Calibri"/>
          <w:sz w:val="18"/>
          <w:szCs w:val="18"/>
        </w:rPr>
        <w:t>CC ALIF/SETAAB – BTE 17/2019 (cl.19ª,6 E 7).</w:t>
      </w:r>
    </w:p>
  </w:footnote>
  <w:footnote w:id="322">
    <w:p w14:paraId="7C3EF29C" w14:textId="77ADF04D" w:rsidR="004B7DBA" w:rsidRPr="004B5630" w:rsidRDefault="004B7DBA" w:rsidP="009B7C62">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cs="Calibri"/>
          <w:sz w:val="18"/>
          <w:szCs w:val="18"/>
        </w:rPr>
        <w:t>CC ABIMOTA/SINDEL – BTE 45/2019 (51ª)</w:t>
      </w:r>
    </w:p>
  </w:footnote>
  <w:footnote w:id="323">
    <w:p w14:paraId="15EE3778" w14:textId="07F8CA42" w:rsidR="004B7DBA" w:rsidRPr="004B5630" w:rsidRDefault="004B7DBA" w:rsidP="009B7C62">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Sobretudo, quando o trabalho a mais seja prestado a partir do semestre – por </w:t>
      </w:r>
      <w:r w:rsidRPr="004B5630">
        <w:rPr>
          <w:rFonts w:eastAsia="Calibri" w:cstheme="minorHAnsi"/>
          <w:sz w:val="18"/>
          <w:szCs w:val="18"/>
        </w:rPr>
        <w:t>exemplo</w:t>
      </w:r>
      <w:r w:rsidRPr="004B5630">
        <w:rPr>
          <w:sz w:val="18"/>
          <w:szCs w:val="18"/>
        </w:rPr>
        <w:t xml:space="preserve"> AC Cooperativa Agrícola da Tocha e outras/SETAAB e outro - BTE 8/2018 (cl.22.ª, 8) e </w:t>
      </w:r>
      <w:r w:rsidRPr="004B5630">
        <w:rPr>
          <w:rFonts w:cs="Calibri"/>
          <w:sz w:val="18"/>
          <w:szCs w:val="18"/>
        </w:rPr>
        <w:t>CC ADIPA (Retalhistas)/SITESE – BTE 14/2019 (cl.15.º,7).</w:t>
      </w:r>
      <w:r w:rsidRPr="004B5630">
        <w:rPr>
          <w:sz w:val="18"/>
          <w:szCs w:val="18"/>
        </w:rPr>
        <w:t xml:space="preserve"> </w:t>
      </w:r>
    </w:p>
  </w:footnote>
  <w:footnote w:id="324">
    <w:p w14:paraId="6ED2C68A" w14:textId="2E40B9CB" w:rsidR="004B7DBA" w:rsidRPr="004B5630" w:rsidRDefault="004B7DBA" w:rsidP="009B7C62">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 xml:space="preserve">CC ANIECA/FECTRANS – BTE 13/2019 </w:t>
      </w:r>
      <w:r w:rsidRPr="004B5630">
        <w:rPr>
          <w:sz w:val="18"/>
          <w:szCs w:val="18"/>
        </w:rPr>
        <w:t>(cl. 27.ª, 4) [(=) BTE 10/2018].</w:t>
      </w:r>
    </w:p>
  </w:footnote>
  <w:footnote w:id="325">
    <w:p w14:paraId="27179512" w14:textId="33CC9298" w:rsidR="004B7DBA" w:rsidRPr="004B5630" w:rsidRDefault="004B7DBA" w:rsidP="009B7C62">
      <w:pPr>
        <w:tabs>
          <w:tab w:val="left" w:pos="426"/>
        </w:tabs>
        <w:spacing w:after="0" w:line="240" w:lineRule="auto"/>
        <w:ind w:left="425" w:hanging="425"/>
        <w:jc w:val="both"/>
        <w:rPr>
          <w:rFonts w:eastAsia="Times New Roman" w:cs="Calibri"/>
          <w:sz w:val="18"/>
          <w:szCs w:val="18"/>
          <w:lang w:val="en-US" w:eastAsia="pt-PT"/>
        </w:rPr>
      </w:pPr>
      <w:r w:rsidRPr="004B5630">
        <w:rPr>
          <w:rStyle w:val="Refdenotaderodap"/>
          <w:sz w:val="18"/>
          <w:szCs w:val="18"/>
        </w:rPr>
        <w:footnoteRef/>
      </w:r>
      <w:r w:rsidRPr="004B5630">
        <w:rPr>
          <w:sz w:val="18"/>
          <w:szCs w:val="18"/>
          <w:vertAlign w:val="superscript"/>
          <w:lang w:val="en-US"/>
        </w:rPr>
        <w:t xml:space="preserve"> </w:t>
      </w:r>
      <w:r w:rsidRPr="004B5630">
        <w:rPr>
          <w:sz w:val="18"/>
          <w:szCs w:val="18"/>
          <w:lang w:val="en-US"/>
        </w:rPr>
        <w:tab/>
      </w:r>
      <w:r w:rsidRPr="004B5630">
        <w:rPr>
          <w:rFonts w:eastAsia="Times New Roman" w:cs="Calibri"/>
          <w:sz w:val="18"/>
          <w:szCs w:val="18"/>
          <w:lang w:val="en-US" w:eastAsia="pt-PT"/>
        </w:rPr>
        <w:t>CC ALIF/SETAAB – BTE 17/2019 (cl.19ª, 9).</w:t>
      </w:r>
    </w:p>
  </w:footnote>
  <w:footnote w:id="326">
    <w:p w14:paraId="4EBE8D9C" w14:textId="4253B9BC" w:rsidR="004B7DBA" w:rsidRPr="004B5630" w:rsidRDefault="004B7DBA" w:rsidP="009B7C62">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Por </w:t>
      </w:r>
      <w:r w:rsidRPr="004B5630">
        <w:rPr>
          <w:rFonts w:eastAsia="Calibri" w:cstheme="minorHAnsi"/>
          <w:sz w:val="18"/>
          <w:szCs w:val="18"/>
        </w:rPr>
        <w:t>exemplo</w:t>
      </w:r>
      <w:r w:rsidRPr="004B5630">
        <w:rPr>
          <w:sz w:val="18"/>
          <w:szCs w:val="18"/>
        </w:rPr>
        <w:t>, AC Cooperativa Agrícola da Tocha e outras/SETAAB e outro - BTE 18/2019 (cl.22.ª, 8).</w:t>
      </w:r>
    </w:p>
  </w:footnote>
  <w:footnote w:id="327">
    <w:p w14:paraId="7F4B6ABE" w14:textId="00613394" w:rsidR="004B7DBA" w:rsidRPr="004B5630" w:rsidRDefault="004B7DBA" w:rsidP="009B7C62">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cs="Calibri"/>
          <w:sz w:val="18"/>
          <w:szCs w:val="18"/>
        </w:rPr>
        <w:t>CC ABIMOTA/SINDEL – BTE 45/2019 (51ª,10).</w:t>
      </w:r>
    </w:p>
  </w:footnote>
  <w:footnote w:id="328">
    <w:p w14:paraId="0B4AE965" w14:textId="2B65EB4E" w:rsidR="004B7DBA" w:rsidRPr="004B5630" w:rsidRDefault="004B7DBA" w:rsidP="009B7C62">
      <w:pPr>
        <w:tabs>
          <w:tab w:val="left" w:pos="426"/>
        </w:tabs>
        <w:spacing w:after="0" w:line="240" w:lineRule="auto"/>
        <w:ind w:left="425" w:hanging="425"/>
        <w:jc w:val="both"/>
        <w:rPr>
          <w:rFonts w:eastAsia="Times New Roman" w:cs="Calibri"/>
          <w:sz w:val="18"/>
          <w:szCs w:val="18"/>
          <w:lang w:val="fr-FR" w:eastAsia="pt-PT"/>
        </w:rPr>
      </w:pPr>
      <w:r w:rsidRPr="004B5630">
        <w:rPr>
          <w:rStyle w:val="Refdenotaderodap"/>
          <w:sz w:val="18"/>
          <w:szCs w:val="18"/>
        </w:rPr>
        <w:footnoteRef/>
      </w:r>
      <w:r w:rsidRPr="004B5630">
        <w:rPr>
          <w:sz w:val="18"/>
          <w:szCs w:val="18"/>
          <w:vertAlign w:val="superscript"/>
          <w:lang w:val="fr-FR"/>
        </w:rPr>
        <w:t xml:space="preserve"> </w:t>
      </w:r>
      <w:r w:rsidRPr="004B5630">
        <w:rPr>
          <w:sz w:val="18"/>
          <w:szCs w:val="18"/>
          <w:lang w:val="fr-FR"/>
        </w:rPr>
        <w:tab/>
      </w:r>
      <w:r w:rsidRPr="004B5630">
        <w:rPr>
          <w:rFonts w:eastAsia="Times New Roman" w:cs="Calibri"/>
          <w:sz w:val="18"/>
          <w:szCs w:val="18"/>
          <w:lang w:val="fr-FR" w:eastAsia="pt-PT"/>
        </w:rPr>
        <w:t>AE AIG EUROPE/STAS – BTE 17/2019 (cl.30ª).</w:t>
      </w:r>
    </w:p>
  </w:footnote>
  <w:footnote w:id="329">
    <w:p w14:paraId="1C000D4F" w14:textId="6928E5B9" w:rsidR="004B7DBA" w:rsidRPr="004B5630" w:rsidRDefault="004B7DBA" w:rsidP="009B7C62">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cs="Calibri"/>
          <w:sz w:val="18"/>
          <w:szCs w:val="18"/>
        </w:rPr>
        <w:t>CC ABIMOTA/SINDEL – BTE 45/2019 (51ª,10.</w:t>
      </w:r>
      <w:r w:rsidRPr="004B5630">
        <w:rPr>
          <w:sz w:val="18"/>
          <w:szCs w:val="18"/>
        </w:rPr>
        <w:t>; AC Cooperativa Agrícola da Tocha e outras/SETAAB e outro - BTE 18/2019 [(cl.22.ª, 9, b)].</w:t>
      </w:r>
    </w:p>
  </w:footnote>
  <w:footnote w:id="330">
    <w:p w14:paraId="490B4D5D" w14:textId="6E3E2AED" w:rsidR="004B7DBA" w:rsidRPr="004B5630" w:rsidRDefault="004B7DBA" w:rsidP="009B7C62">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lang w:val="en-US"/>
        </w:rPr>
        <w:t xml:space="preserve"> </w:t>
      </w:r>
      <w:r w:rsidRPr="004B5630">
        <w:rPr>
          <w:sz w:val="18"/>
          <w:szCs w:val="18"/>
          <w:lang w:val="en-US"/>
        </w:rPr>
        <w:tab/>
      </w:r>
      <w:r w:rsidRPr="004B5630">
        <w:rPr>
          <w:rFonts w:cs="Calibri"/>
          <w:sz w:val="18"/>
          <w:szCs w:val="18"/>
          <w:lang w:val="en-US"/>
        </w:rPr>
        <w:t>CC ANILACT/SETAAB – BTE 13/2019 (cl.</w:t>
      </w:r>
      <w:r w:rsidRPr="004B5630">
        <w:rPr>
          <w:sz w:val="18"/>
          <w:szCs w:val="18"/>
          <w:lang w:val="en-US"/>
        </w:rPr>
        <w:t xml:space="preserve"> </w:t>
      </w:r>
      <w:r w:rsidRPr="004B5630">
        <w:rPr>
          <w:sz w:val="18"/>
          <w:szCs w:val="18"/>
        </w:rPr>
        <w:t>Anexo V, cl. 6ª</w:t>
      </w:r>
      <w:r w:rsidRPr="004B5630">
        <w:rPr>
          <w:rFonts w:cs="Calibri"/>
          <w:sz w:val="18"/>
          <w:szCs w:val="18"/>
        </w:rPr>
        <w:t>) [(=)</w:t>
      </w:r>
      <w:r w:rsidRPr="004B5630">
        <w:rPr>
          <w:sz w:val="18"/>
          <w:szCs w:val="18"/>
        </w:rPr>
        <w:t xml:space="preserve">CC ANIL e outras/SIMA - BTE 20/2018 ] e </w:t>
      </w:r>
      <w:r w:rsidRPr="004B5630">
        <w:rPr>
          <w:rFonts w:cs="Calibri"/>
          <w:sz w:val="18"/>
          <w:szCs w:val="18"/>
        </w:rPr>
        <w:t>CC ADIPA (Retalhistas)/SITESE – BTE 14/2019 (cl.15.º,9),</w:t>
      </w:r>
      <w:r w:rsidRPr="004B5630">
        <w:rPr>
          <w:sz w:val="18"/>
          <w:szCs w:val="18"/>
        </w:rPr>
        <w:t xml:space="preserve"> neste caso prevê-se que essas horas prestadas  em acréscimo sejam remuneradas como trabalho suplementar .</w:t>
      </w:r>
    </w:p>
  </w:footnote>
  <w:footnote w:id="331">
    <w:p w14:paraId="51A3D56E" w14:textId="2A75540B" w:rsidR="004B7DBA" w:rsidRPr="004B5630" w:rsidRDefault="004B7DBA" w:rsidP="009B7C62">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 xml:space="preserve">   AC Cooperativa Agrícola da Tocha e outras/SETAAB e outro - BTE 8/2018 [(cl.22.ª, 10].</w:t>
      </w:r>
    </w:p>
  </w:footnote>
  <w:footnote w:id="332">
    <w:p w14:paraId="153FC557" w14:textId="64DD47FB" w:rsidR="004B7DBA" w:rsidRPr="004B5630" w:rsidRDefault="004B7DBA" w:rsidP="009B7C62">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lang w:val="en-US"/>
        </w:rPr>
        <w:t xml:space="preserve"> </w:t>
      </w:r>
      <w:r w:rsidRPr="004B5630">
        <w:rPr>
          <w:sz w:val="18"/>
          <w:szCs w:val="18"/>
          <w:lang w:val="en-US"/>
        </w:rPr>
        <w:tab/>
      </w:r>
      <w:r w:rsidRPr="004B5630">
        <w:rPr>
          <w:rFonts w:cs="Calibri"/>
          <w:sz w:val="18"/>
          <w:szCs w:val="18"/>
          <w:lang w:val="en-US"/>
        </w:rPr>
        <w:t>CC ANILACT/SETAAB – BTE 13/2019 (cl.</w:t>
      </w:r>
      <w:r w:rsidRPr="004B5630">
        <w:rPr>
          <w:sz w:val="18"/>
          <w:szCs w:val="18"/>
          <w:lang w:val="en-US"/>
        </w:rPr>
        <w:t xml:space="preserve"> </w:t>
      </w:r>
      <w:r w:rsidRPr="004B5630">
        <w:rPr>
          <w:sz w:val="18"/>
          <w:szCs w:val="18"/>
        </w:rPr>
        <w:t>Anexo V, cl. 9ª</w:t>
      </w:r>
      <w:r w:rsidRPr="004B5630">
        <w:rPr>
          <w:rFonts w:cs="Calibri"/>
          <w:sz w:val="18"/>
          <w:szCs w:val="18"/>
        </w:rPr>
        <w:t>) [(=)</w:t>
      </w:r>
      <w:r w:rsidRPr="004B5630">
        <w:rPr>
          <w:sz w:val="18"/>
          <w:szCs w:val="18"/>
        </w:rPr>
        <w:t xml:space="preserve">CC ANIL e outras/SIMA - BTE 20/2018. E também nos convenções do setor segurador, por exemplo, </w:t>
      </w:r>
      <w:r w:rsidRPr="004B5630">
        <w:rPr>
          <w:rFonts w:cs="Calibri"/>
          <w:sz w:val="18"/>
          <w:szCs w:val="18"/>
        </w:rPr>
        <w:t xml:space="preserve">AC LUSITÂNIA/SINAPSA - BTE 21/2019 (Anexo IX), onde </w:t>
      </w:r>
      <w:r w:rsidRPr="004B5630">
        <w:rPr>
          <w:rFonts w:eastAsia="Calibri" w:cstheme="minorHAnsi"/>
          <w:sz w:val="18"/>
          <w:szCs w:val="18"/>
        </w:rPr>
        <w:t>as horas trabalhadas a mais e não compensadas são remuneradas com uma majoração horária de 20%.</w:t>
      </w:r>
    </w:p>
  </w:footnote>
  <w:footnote w:id="333">
    <w:p w14:paraId="5BA81194" w14:textId="261205A3" w:rsidR="004B7DBA" w:rsidRPr="004B5630" w:rsidRDefault="004B7DBA" w:rsidP="009B7C62">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cs="Calibri"/>
          <w:sz w:val="18"/>
          <w:szCs w:val="18"/>
        </w:rPr>
        <w:t>CC ANCIPA</w:t>
      </w:r>
      <w:r w:rsidRPr="004B5630">
        <w:rPr>
          <w:sz w:val="18"/>
          <w:szCs w:val="18"/>
        </w:rPr>
        <w:t>(hortofrutícolas)</w:t>
      </w:r>
      <w:r w:rsidRPr="004B5630">
        <w:rPr>
          <w:rFonts w:cs="Calibri"/>
          <w:sz w:val="18"/>
          <w:szCs w:val="18"/>
        </w:rPr>
        <w:t>/ SETAAB – BTE 18/2019 (cl.22ª,1);</w:t>
      </w:r>
      <w:r w:rsidRPr="004B5630">
        <w:rPr>
          <w:sz w:val="18"/>
          <w:szCs w:val="18"/>
        </w:rPr>
        <w:t xml:space="preserve"> </w:t>
      </w:r>
      <w:r w:rsidRPr="004B5630">
        <w:rPr>
          <w:rFonts w:cs="Calibri"/>
          <w:sz w:val="18"/>
          <w:szCs w:val="18"/>
        </w:rPr>
        <w:t>CC ABIMOTA/SINDEL – BTE 45/2019 (51ª,12).</w:t>
      </w:r>
    </w:p>
  </w:footnote>
  <w:footnote w:id="334">
    <w:p w14:paraId="59B74919" w14:textId="0DABA147" w:rsidR="004B7DBA" w:rsidRPr="004B5630" w:rsidRDefault="004B7DBA" w:rsidP="00642AA5">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rFonts w:cs="Calibri"/>
          <w:sz w:val="18"/>
          <w:szCs w:val="18"/>
        </w:rPr>
        <w:t xml:space="preserve"> </w:t>
      </w:r>
      <w:r w:rsidRPr="004B5630">
        <w:rPr>
          <w:rFonts w:cs="Calibri"/>
          <w:sz w:val="18"/>
          <w:szCs w:val="18"/>
        </w:rPr>
        <w:tab/>
        <w:t>CC ABIMOTA/SINDEL – BTE 45/2019 (51ª,17).</w:t>
      </w:r>
    </w:p>
  </w:footnote>
  <w:footnote w:id="335">
    <w:p w14:paraId="677C1CA5" w14:textId="1DAE3435" w:rsidR="004B7DBA" w:rsidRPr="004B5630" w:rsidRDefault="004B7DBA" w:rsidP="009B7C62">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AC Cooperativa Agrícola da Tocha e outras/SETAAB - BTE 18/2019 [cl.22.ª,5]   [(=)BTE 29/2018].  </w:t>
      </w:r>
    </w:p>
  </w:footnote>
  <w:footnote w:id="336">
    <w:p w14:paraId="1F63DA9B" w14:textId="52FBE8FD" w:rsidR="004B7DBA" w:rsidRPr="004B5630" w:rsidRDefault="004B7DBA" w:rsidP="009B7C62">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 xml:space="preserve">AC Cooperativa Agrícola da Tocha e outras/SETAAB - BTE 18/2019 [cl.22.ª,10, h)]   [(=)BTE 29/2018].  </w:t>
      </w:r>
    </w:p>
  </w:footnote>
  <w:footnote w:id="337">
    <w:p w14:paraId="7D6B70A3" w14:textId="7492B9DA" w:rsidR="004B7DBA" w:rsidRPr="004B5630" w:rsidRDefault="004B7DBA" w:rsidP="009B7C62">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 xml:space="preserve">No caso do </w:t>
      </w:r>
      <w:r w:rsidRPr="004B5630">
        <w:rPr>
          <w:rFonts w:cs="Calibri"/>
          <w:sz w:val="18"/>
          <w:szCs w:val="18"/>
        </w:rPr>
        <w:t xml:space="preserve">CC AEVP/SINTICABA – BTE 6/2019 (cl.12ª,1) [(=) </w:t>
      </w:r>
      <w:r w:rsidRPr="004B5630">
        <w:rPr>
          <w:sz w:val="18"/>
          <w:szCs w:val="18"/>
        </w:rPr>
        <w:t>CC AEVP/FESAHT para os trabalhadores administrativos - BTE 29/2018 (cl. 12.ª, 2) e CC AEVP/FESAHT para os trabalhadores dos armazéns - BTE 29/2018 (cl. 13.ª, 1)].</w:t>
      </w:r>
    </w:p>
  </w:footnote>
  <w:footnote w:id="338">
    <w:p w14:paraId="1DCD103B" w14:textId="0E02F6D4" w:rsidR="004B7DBA" w:rsidRPr="004B5630" w:rsidRDefault="004B7DBA" w:rsidP="009B7C62">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Com formulação idêntica ver Relatórios</w:t>
      </w:r>
      <w:r w:rsidRPr="004B5630">
        <w:rPr>
          <w:bCs/>
          <w:sz w:val="18"/>
          <w:szCs w:val="18"/>
        </w:rPr>
        <w:t xml:space="preserve"> sobre a Evolução da Negociação Coletiva em 2015, págs. </w:t>
      </w:r>
      <w:r w:rsidRPr="004B5630">
        <w:rPr>
          <w:sz w:val="18"/>
          <w:szCs w:val="18"/>
        </w:rPr>
        <w:t>90 – 92;</w:t>
      </w:r>
      <w:r w:rsidRPr="004B5630">
        <w:rPr>
          <w:bCs/>
          <w:sz w:val="18"/>
          <w:szCs w:val="18"/>
        </w:rPr>
        <w:t xml:space="preserve"> em 2016, págs.</w:t>
      </w:r>
      <w:r w:rsidRPr="004B5630">
        <w:rPr>
          <w:sz w:val="18"/>
          <w:szCs w:val="18"/>
        </w:rPr>
        <w:t xml:space="preserve"> (…) ;2017 (….);2018 (…). (4.3.4), </w:t>
      </w:r>
      <w:hyperlink r:id="rId15" w:history="1">
        <w:r w:rsidRPr="004B5630">
          <w:rPr>
            <w:rStyle w:val="Hiperligao"/>
            <w:sz w:val="18"/>
            <w:szCs w:val="18"/>
          </w:rPr>
          <w:t>https://www.crlaborais.pt/</w:t>
        </w:r>
      </w:hyperlink>
    </w:p>
  </w:footnote>
  <w:footnote w:id="339">
    <w:p w14:paraId="5EF47A61" w14:textId="265AFE59" w:rsidR="004B7DBA" w:rsidRPr="004B5630" w:rsidRDefault="004B7DBA" w:rsidP="009B7C62">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 xml:space="preserve">Nalguns casos, parece haver afinidade nos critérios que fundamentam o regime de disponibilidade e  de isenção de horário de trabalho - quando se alarga a sua aplicação a certos grupos de trabalhadores cuja profissão possa exigir atuações imprevistas e ocasionais, necessárias a manutenção e funcionamento de equipamentos ou execução de trabalhos ocasionais e imprevistos, ou por razões comerciais ou económicas,  </w:t>
      </w:r>
      <w:r w:rsidRPr="004B5630">
        <w:rPr>
          <w:rFonts w:cs="Calibri"/>
          <w:sz w:val="18"/>
          <w:szCs w:val="18"/>
        </w:rPr>
        <w:t>CC ALIF/SETAAB – BTE 17/2019 [cl.</w:t>
      </w:r>
      <w:r w:rsidRPr="004B5630">
        <w:rPr>
          <w:sz w:val="18"/>
          <w:szCs w:val="18"/>
        </w:rPr>
        <w:t xml:space="preserve"> 20ª,1,a) e b)</w:t>
      </w:r>
      <w:r w:rsidRPr="004B5630">
        <w:rPr>
          <w:rFonts w:cs="Calibri"/>
          <w:sz w:val="18"/>
          <w:szCs w:val="18"/>
        </w:rPr>
        <w:t>]; ou</w:t>
      </w:r>
      <w:r w:rsidRPr="004B5630">
        <w:rPr>
          <w:sz w:val="18"/>
          <w:szCs w:val="18"/>
        </w:rPr>
        <w:t xml:space="preserve"> a trabalhadores</w:t>
      </w:r>
      <w:r w:rsidRPr="004B5630">
        <w:rPr>
          <w:rFonts w:cs="Calibri"/>
          <w:sz w:val="18"/>
          <w:szCs w:val="18"/>
        </w:rPr>
        <w:t xml:space="preserve"> que assegurem a continuidade do serviço ou a regularidade da operação, como no  AC Infraestruturas de Portugal SNTSF - BTE 22/2019 (cl.20.º)   </w:t>
      </w:r>
      <w:r w:rsidRPr="004B5630">
        <w:rPr>
          <w:sz w:val="18"/>
          <w:szCs w:val="18"/>
        </w:rPr>
        <w:t xml:space="preserve">(ver infra, 4.4.5.,alínea i),II). </w:t>
      </w:r>
    </w:p>
  </w:footnote>
  <w:footnote w:id="340">
    <w:p w14:paraId="6407B7FF" w14:textId="00378FF0" w:rsidR="004B7DBA" w:rsidRPr="004B5630" w:rsidRDefault="004B7DBA" w:rsidP="00295432">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 xml:space="preserve">No setor dos transportes, é corrente prever-se  a disponibilidade e a  situação de reserva (obrigando  o trabalhador a estar disponível, no período do PNT  e no seu local de trabalho), como  o </w:t>
      </w:r>
      <w:r w:rsidRPr="004B5630">
        <w:rPr>
          <w:rFonts w:cs="Calibri"/>
          <w:sz w:val="18"/>
          <w:szCs w:val="18"/>
        </w:rPr>
        <w:t>AE ViaPorto/STTAMP – BTE 31/2019 (cl. 28ª e 28ª-A); e apenas situação de reserva o AE ViaPorto/SMAQ – BTE 31/2019 (cl.28ª).</w:t>
      </w:r>
    </w:p>
  </w:footnote>
  <w:footnote w:id="341">
    <w:p w14:paraId="172AACE6" w14:textId="4FB271EA" w:rsidR="004B7DBA" w:rsidRPr="004B5630" w:rsidRDefault="004B7DBA" w:rsidP="00295432">
      <w:pPr>
        <w:pStyle w:val="Textodenotaderodap"/>
        <w:tabs>
          <w:tab w:val="left" w:pos="426"/>
        </w:tabs>
        <w:ind w:left="425" w:hanging="425"/>
        <w:rPr>
          <w:rStyle w:val="Refdenotaderodap"/>
          <w:sz w:val="18"/>
          <w:szCs w:val="18"/>
          <w:vertAlign w:val="baseline"/>
        </w:rPr>
      </w:pPr>
      <w:r w:rsidRPr="004B5630">
        <w:rPr>
          <w:rStyle w:val="Refdenotaderodap"/>
          <w:sz w:val="18"/>
          <w:szCs w:val="18"/>
        </w:rPr>
        <w:footnoteRef/>
      </w:r>
      <w:r w:rsidRPr="004B5630">
        <w:rPr>
          <w:rStyle w:val="Refdenotaderodap"/>
          <w:sz w:val="18"/>
          <w:szCs w:val="18"/>
        </w:rPr>
        <w:t xml:space="preserve"> </w:t>
      </w:r>
      <w:r w:rsidRPr="004B5630">
        <w:rPr>
          <w:rStyle w:val="Refdenotaderodap"/>
          <w:sz w:val="18"/>
          <w:szCs w:val="18"/>
          <w:vertAlign w:val="baseline"/>
        </w:rPr>
        <w:t xml:space="preserve"> </w:t>
      </w:r>
      <w:r w:rsidRPr="004B5630">
        <w:rPr>
          <w:sz w:val="18"/>
          <w:szCs w:val="18"/>
        </w:rPr>
        <w:tab/>
        <w:t xml:space="preserve">Esta abrangência está </w:t>
      </w:r>
      <w:r w:rsidRPr="004B5630">
        <w:rPr>
          <w:rFonts w:cstheme="minorHAnsi"/>
          <w:sz w:val="18"/>
          <w:szCs w:val="18"/>
        </w:rPr>
        <w:t xml:space="preserve">relacionada com os </w:t>
      </w:r>
      <w:r>
        <w:rPr>
          <w:sz w:val="18"/>
          <w:szCs w:val="18"/>
        </w:rPr>
        <w:t>se</w:t>
      </w:r>
      <w:r w:rsidRPr="004B5630">
        <w:rPr>
          <w:sz w:val="18"/>
          <w:szCs w:val="18"/>
        </w:rPr>
        <w:t>tores preponderantes em cada ano</w:t>
      </w:r>
      <w:r w:rsidRPr="004B5630">
        <w:rPr>
          <w:rStyle w:val="Refdenotaderodap"/>
          <w:sz w:val="18"/>
          <w:szCs w:val="18"/>
          <w:vertAlign w:val="baseline"/>
        </w:rPr>
        <w:t xml:space="preserve">. </w:t>
      </w:r>
    </w:p>
  </w:footnote>
  <w:footnote w:id="342">
    <w:p w14:paraId="5B379F50" w14:textId="2592DA6A" w:rsidR="004B7DBA" w:rsidRPr="004B5630" w:rsidRDefault="004B7DBA" w:rsidP="00295432">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Por exemplo, AE </w:t>
      </w:r>
      <w:r w:rsidRPr="004B5630">
        <w:rPr>
          <w:rFonts w:eastAsia="Times New Roman" w:cs="Calibri"/>
          <w:sz w:val="18"/>
          <w:szCs w:val="18"/>
          <w:lang w:eastAsia="pt-PT"/>
        </w:rPr>
        <w:t xml:space="preserve">PETROGAL/FIEQUIMETAL - BTE 35/2019 (cls. 25ª-37ª) e paralelos e AE The Navigator Company/FIEQUIMETAL – BTE 18/2019 (cl.29ª) e paralelos.  </w:t>
      </w:r>
    </w:p>
  </w:footnote>
  <w:footnote w:id="343">
    <w:p w14:paraId="7FE79CE5" w14:textId="19197434" w:rsidR="004B7DBA" w:rsidRPr="004B5630" w:rsidRDefault="004B7DBA" w:rsidP="00295432">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AC Indorama Portugal/COFESINT – BTE 31/2019 (cl.38.ª); Antrop (cl.25ª).</w:t>
      </w:r>
    </w:p>
  </w:footnote>
  <w:footnote w:id="344">
    <w:p w14:paraId="737AFF6A" w14:textId="592C8AF6" w:rsidR="004B7DBA" w:rsidRPr="004B5630" w:rsidRDefault="004B7DBA" w:rsidP="00295432">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rFonts w:eastAsia="Times New Roman" w:cs="Calibri"/>
          <w:sz w:val="18"/>
          <w:szCs w:val="18"/>
          <w:lang w:eastAsia="pt-PT"/>
        </w:rPr>
        <w:t xml:space="preserve">  </w:t>
      </w:r>
      <w:r w:rsidRPr="004B5630">
        <w:rPr>
          <w:rFonts w:eastAsia="Times New Roman" w:cs="Calibri"/>
          <w:sz w:val="18"/>
          <w:szCs w:val="18"/>
          <w:lang w:eastAsia="pt-PT"/>
        </w:rPr>
        <w:tab/>
        <w:t>AE The Navigator Company/FETESE – BTE 45/2019 (</w:t>
      </w:r>
      <w:r w:rsidRPr="004B5630">
        <w:rPr>
          <w:sz w:val="18"/>
          <w:szCs w:val="18"/>
        </w:rPr>
        <w:t>cl.33.ª,1) e paralelos</w:t>
      </w:r>
      <w:r w:rsidRPr="004B5630">
        <w:rPr>
          <w:rFonts w:eastAsia="Times New Roman" w:cs="Calibri"/>
          <w:sz w:val="18"/>
          <w:szCs w:val="18"/>
          <w:lang w:eastAsia="pt-PT"/>
        </w:rPr>
        <w:t xml:space="preserve">; </w:t>
      </w:r>
      <w:r w:rsidRPr="004B5630">
        <w:rPr>
          <w:sz w:val="18"/>
          <w:szCs w:val="18"/>
        </w:rPr>
        <w:t>AC</w:t>
      </w:r>
      <w:r w:rsidRPr="004B5630">
        <w:rPr>
          <w:rFonts w:eastAsia="Times New Roman" w:cs="Calibri"/>
          <w:sz w:val="18"/>
          <w:szCs w:val="18"/>
          <w:lang w:eastAsia="pt-PT"/>
        </w:rPr>
        <w:t xml:space="preserve"> BRISA/SETACCOP E OUTROS – BTE 36/2019 (cl.28ª, 1 e 4)), por ato de gestão mas fundado em necessidades e conveniência do serviço e restringindo-se a atividade necessária  para repor as condições  de normal funcionamento.</w:t>
      </w:r>
    </w:p>
  </w:footnote>
  <w:footnote w:id="345">
    <w:p w14:paraId="50A57A05" w14:textId="148DF9A4" w:rsidR="004B7DBA" w:rsidRPr="004B5630" w:rsidRDefault="004B7DBA" w:rsidP="00295432">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eastAsia="Times New Roman" w:cs="Calibri"/>
          <w:sz w:val="18"/>
          <w:szCs w:val="18"/>
          <w:lang w:eastAsia="pt-PT"/>
        </w:rPr>
        <w:t>AE LOURES PARQUE/STAL – BTE 7/2019 (cl.32º), obriga a todos os trabalhadores por escala rotativa fixada com pré-aviso de 30 dias;  AE PETROGAL/ SITESE –BTE 35/2019 (cls. 25ª-37ª) e paralelos.</w:t>
      </w:r>
    </w:p>
  </w:footnote>
  <w:footnote w:id="346">
    <w:p w14:paraId="7746FD09" w14:textId="67B0A64F" w:rsidR="004B7DBA" w:rsidRPr="004B5630" w:rsidRDefault="004B7DBA" w:rsidP="00295432">
      <w:pPr>
        <w:pStyle w:val="Textodenotaderodap"/>
        <w:tabs>
          <w:tab w:val="left" w:pos="426"/>
        </w:tabs>
        <w:ind w:left="425" w:hanging="425"/>
        <w:rPr>
          <w:sz w:val="18"/>
          <w:szCs w:val="18"/>
        </w:rPr>
      </w:pPr>
      <w:r w:rsidRPr="004B5630">
        <w:rPr>
          <w:rStyle w:val="Refdenotaderodap"/>
          <w:sz w:val="18"/>
          <w:szCs w:val="18"/>
        </w:rPr>
        <w:footnoteRef/>
      </w:r>
      <w:r w:rsidRPr="004B5630">
        <w:rPr>
          <w:rFonts w:cs="Calibri"/>
          <w:sz w:val="18"/>
          <w:szCs w:val="18"/>
        </w:rPr>
        <w:t xml:space="preserve"> </w:t>
      </w:r>
      <w:r w:rsidRPr="004B5630">
        <w:rPr>
          <w:rFonts w:cs="Calibri"/>
          <w:sz w:val="18"/>
          <w:szCs w:val="18"/>
        </w:rPr>
        <w:tab/>
        <w:t xml:space="preserve">AC Indorama Portugal/COFESINT – BTE 31/2019 (cl.38.ª) AE paralelos PETROGAL/FIEQUIMETAL; PETROGAL/SITESE </w:t>
      </w:r>
      <w:r w:rsidRPr="004B5630">
        <w:rPr>
          <w:sz w:val="18"/>
          <w:szCs w:val="18"/>
        </w:rPr>
        <w:t xml:space="preserve">e </w:t>
      </w:r>
      <w:r w:rsidRPr="004B5630">
        <w:rPr>
          <w:rFonts w:cs="Calibri"/>
          <w:sz w:val="18"/>
          <w:szCs w:val="18"/>
        </w:rPr>
        <w:t>AE PETROGAL/COFESINT – todos BTE 35/2019 (cls. 25ª-37ª).</w:t>
      </w:r>
    </w:p>
  </w:footnote>
  <w:footnote w:id="347">
    <w:p w14:paraId="79663FB2" w14:textId="0E573DC6" w:rsidR="004B7DBA" w:rsidRPr="004B5630" w:rsidRDefault="004B7DBA" w:rsidP="00295432">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cs="Calibri"/>
          <w:sz w:val="18"/>
          <w:szCs w:val="18"/>
        </w:rPr>
        <w:t>AC Indorama Portugal/COFESINT – BTE 31/2019 (cl.38.ª); CC ABIMOTA/SINDEL – BTE 45/2019 (cl.59ª), delimita a serviços de manutenção e reparação.</w:t>
      </w:r>
    </w:p>
  </w:footnote>
  <w:footnote w:id="348">
    <w:p w14:paraId="62A69290" w14:textId="564A99FB" w:rsidR="004B7DBA" w:rsidRPr="004B5630" w:rsidRDefault="004B7DBA" w:rsidP="007337EB">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t xml:space="preserve">Assim, o </w:t>
      </w:r>
      <w:r w:rsidRPr="004B5630">
        <w:rPr>
          <w:rFonts w:eastAsia="Times New Roman" w:cs="Calibri"/>
          <w:sz w:val="18"/>
          <w:szCs w:val="18"/>
          <w:lang w:eastAsia="pt-PT"/>
        </w:rPr>
        <w:t>AC BRISA/SETACCOP E OUTROS – BTE 36/2019 (cl.28ª,9)</w:t>
      </w:r>
      <w:r w:rsidRPr="004B5630">
        <w:rPr>
          <w:sz w:val="18"/>
          <w:szCs w:val="18"/>
        </w:rPr>
        <w:t xml:space="preserve">. No </w:t>
      </w:r>
      <w:r w:rsidRPr="004B5630">
        <w:rPr>
          <w:rFonts w:eastAsia="Times New Roman" w:cs="Calibri"/>
          <w:sz w:val="18"/>
          <w:szCs w:val="18"/>
          <w:lang w:eastAsia="pt-PT"/>
        </w:rPr>
        <w:t xml:space="preserve">AE LOURES PARQUE/STAL – BTE 7/2019 (cl.32º,4 e 5) a </w:t>
      </w:r>
      <w:r w:rsidRPr="004B5630">
        <w:rPr>
          <w:sz w:val="18"/>
          <w:szCs w:val="18"/>
        </w:rPr>
        <w:t xml:space="preserve">tutela do trabalhador é particularmente reforçada: se o empregador recusar a concessão da dispensa de trabalho em disponibilidade, </w:t>
      </w:r>
      <w:r w:rsidRPr="004B5630">
        <w:rPr>
          <w:rFonts w:eastAsia="Times New Roman" w:cs="Calibri"/>
          <w:sz w:val="18"/>
          <w:szCs w:val="18"/>
          <w:lang w:eastAsia="pt-PT"/>
        </w:rPr>
        <w:t xml:space="preserve">deve apresentar fundamentação escrita ao trabalhador e à comissão sindical ou delegados sindicais.   </w:t>
      </w:r>
    </w:p>
  </w:footnote>
  <w:footnote w:id="349">
    <w:p w14:paraId="2B5184BE" w14:textId="3A058DC3" w:rsidR="004B7DBA" w:rsidRPr="004B5630" w:rsidRDefault="004B7DBA" w:rsidP="007337EB">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cs="Calibri"/>
          <w:sz w:val="18"/>
          <w:szCs w:val="18"/>
        </w:rPr>
        <w:t>AE PETROGAL/FIEQUIMETAL –   BTE 35/2019 (cl. 27ª)</w:t>
      </w:r>
      <w:r w:rsidRPr="004B5630">
        <w:rPr>
          <w:rFonts w:eastAsia="Times New Roman" w:cs="Calibri"/>
          <w:sz w:val="18"/>
          <w:szCs w:val="18"/>
          <w:lang w:eastAsia="pt-PT"/>
        </w:rPr>
        <w:t xml:space="preserve"> e paralelos.</w:t>
      </w:r>
    </w:p>
  </w:footnote>
  <w:footnote w:id="350">
    <w:p w14:paraId="715E2C1C" w14:textId="53F622F5" w:rsidR="004B7DBA" w:rsidRPr="004B5630" w:rsidRDefault="004B7DBA" w:rsidP="007337EB">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Por </w:t>
      </w:r>
      <w:r w:rsidRPr="004B5630">
        <w:rPr>
          <w:rFonts w:eastAsia="Calibri" w:cstheme="minorHAnsi"/>
          <w:sz w:val="18"/>
          <w:szCs w:val="18"/>
        </w:rPr>
        <w:t>exemplo</w:t>
      </w:r>
      <w:r w:rsidRPr="004B5630">
        <w:rPr>
          <w:sz w:val="18"/>
          <w:szCs w:val="18"/>
        </w:rPr>
        <w:t xml:space="preserve">, </w:t>
      </w:r>
      <w:r w:rsidRPr="004B5630">
        <w:rPr>
          <w:rFonts w:eastAsia="Times New Roman" w:cs="Calibri"/>
          <w:sz w:val="18"/>
          <w:szCs w:val="18"/>
          <w:lang w:eastAsia="pt-PT"/>
        </w:rPr>
        <w:t>AE CIMPOR/SITESE – BTE 36/2019 (cl.); CC AGEFE/FEPCES - BTE 25/2019 (cl.69.º).</w:t>
      </w:r>
    </w:p>
  </w:footnote>
  <w:footnote w:id="351">
    <w:p w14:paraId="44CF2C20" w14:textId="23A8E8A6" w:rsidR="004B7DBA" w:rsidRPr="004B5630" w:rsidRDefault="004B7DBA" w:rsidP="007337EB">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Pode, por </w:t>
      </w:r>
      <w:r w:rsidRPr="004B5630">
        <w:rPr>
          <w:rFonts w:eastAsia="Calibri" w:cstheme="minorHAnsi"/>
          <w:sz w:val="18"/>
          <w:szCs w:val="18"/>
        </w:rPr>
        <w:t>exemplo</w:t>
      </w:r>
      <w:r w:rsidRPr="004B5630">
        <w:rPr>
          <w:sz w:val="18"/>
          <w:szCs w:val="18"/>
        </w:rPr>
        <w:t xml:space="preserve">, corresponder a um valor fixo mensal,  </w:t>
      </w:r>
      <w:r w:rsidRPr="004B5630">
        <w:rPr>
          <w:rFonts w:cs="Calibri"/>
          <w:sz w:val="18"/>
          <w:szCs w:val="18"/>
        </w:rPr>
        <w:t>CC AGEFE/FEPCES - BTE 25/2019 (cl.69.º),</w:t>
      </w:r>
      <w:r w:rsidRPr="004B5630">
        <w:rPr>
          <w:sz w:val="18"/>
          <w:szCs w:val="18"/>
        </w:rPr>
        <w:t xml:space="preserve"> ou ser proporcional ao número de horas de serviço de disponibilidade, é o caso dos</w:t>
      </w:r>
      <w:r w:rsidRPr="004B5630">
        <w:rPr>
          <w:rFonts w:cstheme="minorHAnsi"/>
          <w:sz w:val="18"/>
          <w:szCs w:val="18"/>
        </w:rPr>
        <w:t xml:space="preserve"> </w:t>
      </w:r>
      <w:r w:rsidRPr="004B5630">
        <w:rPr>
          <w:rFonts w:cs="Calibri"/>
          <w:sz w:val="18"/>
          <w:szCs w:val="18"/>
        </w:rPr>
        <w:t>AE ViaPorto/SINFB – BTE 35/2019 (cl.52ª-A) e paralelos.</w:t>
      </w:r>
    </w:p>
  </w:footnote>
  <w:footnote w:id="352">
    <w:p w14:paraId="5ADCAE80" w14:textId="4519F940" w:rsidR="004B7DBA" w:rsidRPr="004B5630" w:rsidRDefault="004B7DBA" w:rsidP="007337EB">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Assim se verifica no AE NAVIGATOR/CONFESINT – BTE 17/2019 (cl. 33ª) e paralelos; </w:t>
      </w:r>
      <w:r w:rsidRPr="004B5630">
        <w:rPr>
          <w:rFonts w:cs="Calibri"/>
          <w:sz w:val="18"/>
          <w:szCs w:val="18"/>
        </w:rPr>
        <w:t>por outro lado, é frequente isentar os</w:t>
      </w:r>
      <w:r w:rsidRPr="004B5630">
        <w:rPr>
          <w:rFonts w:eastAsia="Calibri" w:cs="Calibri"/>
          <w:sz w:val="18"/>
          <w:szCs w:val="18"/>
        </w:rPr>
        <w:t xml:space="preserve"> trabalhadores em regime de turnos, nesse sentido, ver o </w:t>
      </w:r>
      <w:r w:rsidRPr="004B5630">
        <w:rPr>
          <w:rFonts w:cs="Calibri"/>
          <w:sz w:val="18"/>
          <w:szCs w:val="18"/>
        </w:rPr>
        <w:t>AC BRISA/SETACCOP e OUTROS – BTE 36/2019 (cl. 28ª</w:t>
      </w:r>
      <w:r w:rsidRPr="004B5630">
        <w:rPr>
          <w:rFonts w:eastAsia="Calibri" w:cs="Calibri"/>
          <w:sz w:val="18"/>
          <w:szCs w:val="18"/>
        </w:rPr>
        <w:t>,10).</w:t>
      </w:r>
    </w:p>
  </w:footnote>
  <w:footnote w:id="353">
    <w:p w14:paraId="5F1F4D66" w14:textId="50C416D9" w:rsidR="004B7DBA" w:rsidRPr="004B5630" w:rsidRDefault="004B7DBA" w:rsidP="007337EB">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cs="Calibri"/>
          <w:sz w:val="18"/>
          <w:szCs w:val="18"/>
        </w:rPr>
        <w:t xml:space="preserve">CC ABIMOTA/SINDEL – BTE 45/2019 (cl.59ª), fixa o limite 5 dias por trabalhador; já o AC BRISA/SETACCOP E OUTROS – BTE 36/2019 </w:t>
      </w:r>
      <w:r w:rsidRPr="004B5630">
        <w:rPr>
          <w:sz w:val="18"/>
          <w:szCs w:val="18"/>
        </w:rPr>
        <w:t>(cl.28º,8), limita a 1 semana por trabalhador.</w:t>
      </w:r>
    </w:p>
  </w:footnote>
  <w:footnote w:id="354">
    <w:p w14:paraId="4EE92748" w14:textId="41D1CEF0" w:rsidR="004B7DBA" w:rsidRPr="004B5630" w:rsidRDefault="004B7DBA" w:rsidP="007337EB">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 xml:space="preserve">Nesse sentido o </w:t>
      </w:r>
      <w:r w:rsidRPr="004B5630">
        <w:rPr>
          <w:rFonts w:cs="Calibri"/>
          <w:sz w:val="18"/>
          <w:szCs w:val="18"/>
        </w:rPr>
        <w:t xml:space="preserve">AE CARRISTUR/SITRA – BTE 47/2019 (cl.26ª,4) e os CC ANTROP/SNM –   BTE 35/2019 (cl.25ª), e paralelos, fixam limite mínimo diário de 30 minutos e máximo de 3 horas, para o regime de “pausa técnica”. </w:t>
      </w:r>
    </w:p>
  </w:footnote>
  <w:footnote w:id="355">
    <w:p w14:paraId="6194DE34" w14:textId="69E87819" w:rsidR="004B7DBA" w:rsidRPr="004B5630" w:rsidRDefault="004B7DBA" w:rsidP="007337EB">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 xml:space="preserve">AE ViaPorto/SINFB – BTE 35/2019 (cl.41ª) e paralelos impõe um período de 30 minutos; CC ABIMOTA/SINDEL – BTE 45/2019 (cl.59ª), </w:t>
      </w:r>
      <w:r w:rsidRPr="004B5630">
        <w:rPr>
          <w:sz w:val="18"/>
          <w:szCs w:val="18"/>
        </w:rPr>
        <w:t xml:space="preserve">fixa um período de 60 minutos [(=) BTE 47/2017]; </w:t>
      </w:r>
      <w:r w:rsidRPr="004B5630">
        <w:rPr>
          <w:rFonts w:eastAsia="Times New Roman" w:cs="Calibri"/>
          <w:sz w:val="18"/>
          <w:szCs w:val="18"/>
          <w:lang w:eastAsia="pt-PT"/>
        </w:rPr>
        <w:t xml:space="preserve">já o AC BRISA/SETACCOP E OUTROS – BTE 36/2019 </w:t>
      </w:r>
      <w:r w:rsidRPr="004B5630">
        <w:rPr>
          <w:sz w:val="18"/>
          <w:szCs w:val="18"/>
        </w:rPr>
        <w:t>(cl.28º,8) determina a comparência “o mais rapidamente possível”, no local indicado.</w:t>
      </w:r>
    </w:p>
  </w:footnote>
  <w:footnote w:id="356">
    <w:p w14:paraId="271D640F" w14:textId="21D05B4B" w:rsidR="004B7DBA" w:rsidRPr="004B5630" w:rsidRDefault="004B7DBA" w:rsidP="007337EB">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cs="Calibri"/>
          <w:sz w:val="18"/>
          <w:szCs w:val="18"/>
        </w:rPr>
        <w:t>CC ABIMOTA/SINDEL – BTE 45/2019 (cl.59ª,4),</w:t>
      </w:r>
    </w:p>
  </w:footnote>
  <w:footnote w:id="357">
    <w:p w14:paraId="2D944DE5" w14:textId="334D34E5" w:rsidR="004B7DBA" w:rsidRPr="004B5630" w:rsidRDefault="004B7DBA" w:rsidP="007337EB">
      <w:pPr>
        <w:pStyle w:val="Textodenotaderodap"/>
        <w:tabs>
          <w:tab w:val="left" w:pos="426"/>
        </w:tabs>
        <w:ind w:left="425" w:hanging="425"/>
        <w:rPr>
          <w:sz w:val="18"/>
          <w:szCs w:val="18"/>
        </w:rPr>
      </w:pPr>
      <w:r w:rsidRPr="004B5630">
        <w:rPr>
          <w:rStyle w:val="Refdenotaderodap"/>
          <w:sz w:val="18"/>
          <w:szCs w:val="18"/>
        </w:rPr>
        <w:footnoteRef/>
      </w:r>
      <w:r w:rsidRPr="004B5630">
        <w:rPr>
          <w:rFonts w:cs="Calibri"/>
          <w:sz w:val="18"/>
          <w:szCs w:val="18"/>
          <w:vertAlign w:val="superscript"/>
        </w:rPr>
        <w:t xml:space="preserve"> </w:t>
      </w:r>
      <w:r w:rsidRPr="004B5630">
        <w:rPr>
          <w:rFonts w:cs="Calibri"/>
          <w:sz w:val="18"/>
          <w:szCs w:val="18"/>
        </w:rPr>
        <w:tab/>
        <w:t xml:space="preserve">AC Indorama Portugal/COFESINT– BTE 31/2019 (cl.38.ª); AE PETROGAL/FIEQUIMETAL; PETROGAL/ SITESE </w:t>
      </w:r>
      <w:r w:rsidRPr="004B5630">
        <w:rPr>
          <w:sz w:val="18"/>
          <w:szCs w:val="18"/>
        </w:rPr>
        <w:t xml:space="preserve">e </w:t>
      </w:r>
      <w:r w:rsidRPr="004B5630">
        <w:rPr>
          <w:rFonts w:cs="Calibri"/>
          <w:sz w:val="18"/>
          <w:szCs w:val="18"/>
        </w:rPr>
        <w:t>PETROGAL/COFESINT –  todos BTE 35/2019 (cls. 27ª )</w:t>
      </w:r>
      <w:r w:rsidRPr="004B5630">
        <w:rPr>
          <w:sz w:val="18"/>
          <w:szCs w:val="18"/>
        </w:rPr>
        <w:t>, pagamento mínimo 2H/TS.</w:t>
      </w:r>
    </w:p>
  </w:footnote>
  <w:footnote w:id="358">
    <w:p w14:paraId="2D7D17BE" w14:textId="30549F78" w:rsidR="004B7DBA" w:rsidRPr="004B5630" w:rsidRDefault="004B7DBA" w:rsidP="007337EB">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 xml:space="preserve"> </w:t>
      </w:r>
      <w:r w:rsidRPr="004B5630">
        <w:rPr>
          <w:sz w:val="18"/>
          <w:szCs w:val="18"/>
        </w:rPr>
        <w:tab/>
        <w:t>AE NAVIGATOR/CONFESINT – BTE 17/2019 (A.III, cl.74º).</w:t>
      </w:r>
    </w:p>
  </w:footnote>
  <w:footnote w:id="359">
    <w:p w14:paraId="3304ADCA" w14:textId="344F172F" w:rsidR="004B7DBA" w:rsidRPr="004B5630" w:rsidRDefault="004B7DBA" w:rsidP="007337EB">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 xml:space="preserve">AC Infraestruturas de Portugal SNTSF - BTE 22/2019 (cl.32ª); AE Easyjet Airline Company/SNPVAC - BTE 28/2019 (cl.52ª e 53ª) e </w:t>
      </w:r>
      <w:r w:rsidRPr="004B5630">
        <w:rPr>
          <w:sz w:val="18"/>
          <w:szCs w:val="18"/>
        </w:rPr>
        <w:t xml:space="preserve">AC </w:t>
      </w:r>
      <w:r w:rsidRPr="004B5630">
        <w:rPr>
          <w:rFonts w:eastAsia="Times New Roman" w:cs="Calibri"/>
          <w:sz w:val="18"/>
          <w:szCs w:val="18"/>
          <w:lang w:eastAsia="pt-PT"/>
        </w:rPr>
        <w:t>BRISA/SETACCOP E OUTROS – BTE 36/2019 (cls. 28ª e 64ª). Este último prescinde do acordo do trabalhador, mas densifica as condições para acionar o regime de prevenção (cfr. anterior BTE 30/2016).</w:t>
      </w:r>
    </w:p>
    <w:p w14:paraId="558BE916" w14:textId="77777777" w:rsidR="004B7DBA" w:rsidRPr="004B5630" w:rsidRDefault="004B7DBA" w:rsidP="008F57AA">
      <w:pPr>
        <w:pStyle w:val="Textodenotaderodap"/>
        <w:tabs>
          <w:tab w:val="left" w:pos="426"/>
        </w:tabs>
        <w:ind w:left="426" w:right="-1" w:hanging="426"/>
      </w:pPr>
    </w:p>
  </w:footnote>
  <w:footnote w:id="360">
    <w:p w14:paraId="7379CE80" w14:textId="6BE0FA84" w:rsidR="004B7DBA" w:rsidRPr="004B5630" w:rsidRDefault="004B7DBA" w:rsidP="007337EB">
      <w:pPr>
        <w:tabs>
          <w:tab w:val="left" w:pos="426"/>
        </w:tabs>
        <w:spacing w:after="0" w:line="240" w:lineRule="auto"/>
        <w:ind w:left="425" w:hanging="425"/>
        <w:jc w:val="both"/>
        <w:rPr>
          <w:rFonts w:cs="Calibri"/>
          <w:sz w:val="18"/>
          <w:szCs w:val="18"/>
        </w:rPr>
      </w:pPr>
      <w:r w:rsidRPr="004B5630">
        <w:rPr>
          <w:rStyle w:val="Refdenotaderodap"/>
          <w:rFonts w:cs="Calibri"/>
          <w:sz w:val="18"/>
          <w:szCs w:val="18"/>
        </w:rPr>
        <w:footnoteRef/>
      </w:r>
      <w:r w:rsidRPr="004B5630">
        <w:rPr>
          <w:rFonts w:cs="Calibri"/>
          <w:sz w:val="18"/>
          <w:szCs w:val="18"/>
          <w:vertAlign w:val="superscript"/>
        </w:rPr>
        <w:t xml:space="preserve"> </w:t>
      </w:r>
      <w:r w:rsidRPr="004B5630">
        <w:rPr>
          <w:rFonts w:cs="Calibri"/>
          <w:sz w:val="18"/>
          <w:szCs w:val="18"/>
        </w:rPr>
        <w:tab/>
        <w:t>O trabalho suplementar não é regulado:</w:t>
      </w:r>
    </w:p>
    <w:p w14:paraId="22F3F8B7" w14:textId="68DB57F9" w:rsidR="004B7DBA" w:rsidRPr="004B5630" w:rsidRDefault="004B7DBA" w:rsidP="007337EB">
      <w:pPr>
        <w:pStyle w:val="PargrafodaLista"/>
        <w:tabs>
          <w:tab w:val="left" w:pos="426"/>
        </w:tabs>
        <w:spacing w:after="0" w:line="240" w:lineRule="auto"/>
        <w:ind w:left="425"/>
        <w:contextualSpacing w:val="0"/>
        <w:jc w:val="both"/>
        <w:rPr>
          <w:rFonts w:eastAsia="Times New Roman" w:cs="Calibri"/>
          <w:sz w:val="18"/>
          <w:szCs w:val="18"/>
          <w:lang w:eastAsia="pt-PT"/>
        </w:rPr>
      </w:pPr>
      <w:r w:rsidRPr="004B5630">
        <w:rPr>
          <w:rFonts w:cs="Calibri"/>
          <w:sz w:val="18"/>
          <w:szCs w:val="18"/>
        </w:rPr>
        <w:t xml:space="preserve">- nalgumas convenções onde a organização do tempo de trabalho assenta no regime de laboração continua, por escala: atividade de limpeza, </w:t>
      </w:r>
      <w:r w:rsidRPr="004B5630">
        <w:rPr>
          <w:rFonts w:eastAsia="Times New Roman" w:cs="Calibri"/>
          <w:sz w:val="18"/>
          <w:szCs w:val="18"/>
          <w:lang w:eastAsia="pt-PT"/>
        </w:rPr>
        <w:t xml:space="preserve">AE IBERLIM (l. aeronaves) /STADe AE IBERLIM (l. hospitais) /STAD – ambos BTE5/2019; transportes aéreos, AE RYANAIR/SPAC – BTE 48/2019 e </w:t>
      </w:r>
      <w:r w:rsidRPr="004B5630">
        <w:rPr>
          <w:rFonts w:eastAsia="Times New Roman" w:cs="Calibri"/>
          <w:i/>
          <w:sz w:val="18"/>
          <w:szCs w:val="18"/>
          <w:lang w:eastAsia="pt-PT"/>
        </w:rPr>
        <w:t>AE Easyjet Airline Company/SNPVAC</w:t>
      </w:r>
      <w:r w:rsidRPr="004B5630">
        <w:rPr>
          <w:rFonts w:eastAsia="Times New Roman" w:cs="Calibri"/>
          <w:sz w:val="18"/>
          <w:szCs w:val="18"/>
          <w:lang w:eastAsia="pt-PT"/>
        </w:rPr>
        <w:t xml:space="preserve"> - BTE 28/2019 (a única revisão global).</w:t>
      </w:r>
    </w:p>
    <w:p w14:paraId="049953D5" w14:textId="7D3C18A8" w:rsidR="004B7DBA" w:rsidRPr="004B5630" w:rsidRDefault="004B7DBA" w:rsidP="007337EB">
      <w:pPr>
        <w:pStyle w:val="PargrafodaLista"/>
        <w:tabs>
          <w:tab w:val="left" w:pos="426"/>
        </w:tabs>
        <w:spacing w:after="0" w:line="240" w:lineRule="auto"/>
        <w:ind w:left="425"/>
        <w:contextualSpacing w:val="0"/>
        <w:jc w:val="both"/>
        <w:rPr>
          <w:rFonts w:eastAsia="Times New Roman" w:cs="Calibri"/>
          <w:sz w:val="18"/>
          <w:szCs w:val="18"/>
          <w:lang w:eastAsia="pt-PT"/>
        </w:rPr>
      </w:pPr>
      <w:r w:rsidRPr="004B5630">
        <w:rPr>
          <w:rFonts w:eastAsia="Times New Roman" w:cs="Calibri"/>
          <w:sz w:val="18"/>
          <w:szCs w:val="18"/>
          <w:lang w:eastAsia="pt-PT"/>
        </w:rPr>
        <w:t>- no perímetro do setor público, nada referindo sobre o tema - AE AMBILITAL/STAL- BTE 23/2019   e AC CH – Montijo/FESAP – BTE 42/2019; ou remetendo para LTFP, AC CHU - Coimbra/FNAM – BTE 15/2019.</w:t>
      </w:r>
    </w:p>
    <w:p w14:paraId="0931D392" w14:textId="17A4CFCC" w:rsidR="004B7DBA" w:rsidRPr="004B5630" w:rsidRDefault="004B7DBA" w:rsidP="007337EB">
      <w:pPr>
        <w:pStyle w:val="PargrafodaLista"/>
        <w:tabs>
          <w:tab w:val="left" w:pos="426"/>
        </w:tabs>
        <w:spacing w:after="0" w:line="240" w:lineRule="auto"/>
        <w:ind w:left="425"/>
        <w:contextualSpacing w:val="0"/>
        <w:jc w:val="both"/>
        <w:rPr>
          <w:rFonts w:eastAsia="Times New Roman" w:cs="Calibri"/>
          <w:sz w:val="18"/>
          <w:szCs w:val="18"/>
          <w:lang w:eastAsia="pt-PT"/>
        </w:rPr>
      </w:pPr>
      <w:r w:rsidRPr="004B5630">
        <w:rPr>
          <w:rFonts w:eastAsia="Times New Roman" w:cs="Calibri"/>
          <w:sz w:val="18"/>
          <w:szCs w:val="18"/>
          <w:lang w:eastAsia="pt-PT"/>
        </w:rPr>
        <w:t>- no AE Fico Cables/SINDEL – BTE 45/2019, a cláusula de articulação (cl.1ª,3), remete para o IRCT do setor as matérias que não são por si reguladas [CC AIMMAP/SINDEL - BTE 10/2010, última alteração BTE 20/2019]. Solução prevista no art.482ª,5,al), CT.</w:t>
      </w:r>
    </w:p>
  </w:footnote>
  <w:footnote w:id="361">
    <w:p w14:paraId="6C1EFDF4" w14:textId="5D1E560F" w:rsidR="004B7DBA" w:rsidRPr="004B5630" w:rsidRDefault="004B7DBA" w:rsidP="007337EB">
      <w:pPr>
        <w:tabs>
          <w:tab w:val="left" w:pos="426"/>
        </w:tabs>
        <w:spacing w:after="0" w:line="240" w:lineRule="auto"/>
        <w:ind w:left="425" w:hanging="425"/>
        <w:jc w:val="both"/>
        <w:rPr>
          <w:rFonts w:eastAsia="Times New Roman" w:cs="Calibri"/>
          <w:sz w:val="18"/>
          <w:szCs w:val="18"/>
          <w:lang w:eastAsia="pt-PT"/>
        </w:rPr>
      </w:pPr>
      <w:r w:rsidRPr="004B5630">
        <w:rPr>
          <w:rStyle w:val="Refdenotaderodap"/>
          <w:rFonts w:cs="Calibri"/>
          <w:color w:val="002060"/>
          <w:sz w:val="18"/>
          <w:szCs w:val="18"/>
        </w:rPr>
        <w:footnoteRef/>
      </w:r>
      <w:r w:rsidRPr="004B5630">
        <w:rPr>
          <w:rFonts w:cs="Calibri"/>
          <w:color w:val="002060"/>
          <w:sz w:val="18"/>
          <w:szCs w:val="18"/>
          <w:vertAlign w:val="superscript"/>
        </w:rPr>
        <w:t xml:space="preserve"> </w:t>
      </w:r>
      <w:r w:rsidRPr="004B5630">
        <w:rPr>
          <w:rFonts w:cs="Calibri"/>
          <w:color w:val="002060"/>
          <w:sz w:val="18"/>
          <w:szCs w:val="18"/>
        </w:rPr>
        <w:tab/>
      </w:r>
      <w:r w:rsidRPr="004B5630">
        <w:rPr>
          <w:rStyle w:val="Refdenotaderodap"/>
          <w:rFonts w:cs="Calibri"/>
          <w:sz w:val="18"/>
          <w:szCs w:val="18"/>
          <w:vertAlign w:val="baseline"/>
        </w:rPr>
        <w:t>Destaca-</w:t>
      </w:r>
      <w:r w:rsidRPr="004B5630">
        <w:rPr>
          <w:rFonts w:cs="Calibri"/>
          <w:sz w:val="18"/>
          <w:szCs w:val="18"/>
        </w:rPr>
        <w:t xml:space="preserve">se, </w:t>
      </w:r>
      <w:r w:rsidRPr="004B5630">
        <w:rPr>
          <w:rStyle w:val="Refdenotaderodap"/>
          <w:rFonts w:cs="Calibri"/>
          <w:sz w:val="18"/>
          <w:szCs w:val="18"/>
          <w:vertAlign w:val="baseline"/>
        </w:rPr>
        <w:t xml:space="preserve">apenas, </w:t>
      </w:r>
      <w:r w:rsidRPr="004B5630">
        <w:rPr>
          <w:rFonts w:cs="Calibri"/>
          <w:sz w:val="18"/>
          <w:szCs w:val="18"/>
        </w:rPr>
        <w:t xml:space="preserve">o </w:t>
      </w:r>
      <w:r w:rsidRPr="004B5630">
        <w:rPr>
          <w:rFonts w:eastAsia="Times New Roman" w:cs="Calibri"/>
          <w:sz w:val="18"/>
          <w:szCs w:val="18"/>
          <w:lang w:eastAsia="pt-PT"/>
        </w:rPr>
        <w:t>AC SUPER BOCK/FESAHT – BTE 7/2019 (cls.39ª e 40ª), que altera BTE 4/2009 e BTE 40/2006</w:t>
      </w:r>
      <w:r w:rsidRPr="004B5630">
        <w:rPr>
          <w:rFonts w:eastAsia="Times New Roman" w:cs="Calibri"/>
          <w:color w:val="17365D" w:themeColor="text2" w:themeShade="BF"/>
          <w:sz w:val="18"/>
          <w:szCs w:val="18"/>
          <w:lang w:eastAsia="pt-PT"/>
        </w:rPr>
        <w:t xml:space="preserve">), cfr. infra nota (391). </w:t>
      </w:r>
      <w:r w:rsidRPr="004B5630">
        <w:rPr>
          <w:rStyle w:val="Refdenotaderodap"/>
          <w:rFonts w:cs="Calibri"/>
          <w:sz w:val="18"/>
          <w:szCs w:val="18"/>
          <w:vertAlign w:val="baseline"/>
        </w:rPr>
        <w:t>Noutras situações observam-se</w:t>
      </w:r>
      <w:r w:rsidRPr="004B5630">
        <w:rPr>
          <w:rFonts w:cs="Calibri"/>
          <w:sz w:val="18"/>
          <w:szCs w:val="18"/>
        </w:rPr>
        <w:t xml:space="preserve"> ligeiras atualizações  retributivas, cfr.</w:t>
      </w:r>
      <w:r w:rsidRPr="004B5630">
        <w:rPr>
          <w:rFonts w:eastAsia="Times New Roman" w:cs="Calibri"/>
          <w:sz w:val="18"/>
          <w:szCs w:val="18"/>
          <w:lang w:eastAsia="pt-PT"/>
        </w:rPr>
        <w:t>AC AVEIPORT/Sindicato 2013 TTP - Aveiro - BTE 21/2019 (cl.3ª).</w:t>
      </w:r>
    </w:p>
  </w:footnote>
  <w:footnote w:id="362">
    <w:p w14:paraId="7C015F64" w14:textId="2F78EB06" w:rsidR="004B7DBA" w:rsidRPr="004B5630" w:rsidRDefault="004B7DBA" w:rsidP="007337EB">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Neste tópico, como noutros, segue-se, maioritariamente, a lei. O </w:t>
      </w:r>
      <w:r w:rsidRPr="004B5630">
        <w:rPr>
          <w:rFonts w:eastAsia="Times New Roman" w:cs="Calibri"/>
          <w:sz w:val="18"/>
          <w:szCs w:val="18"/>
          <w:lang w:eastAsia="pt-PT"/>
        </w:rPr>
        <w:t>AE Parmalat Portugal/FIEQUIMETAL – BTE 6/2019 (cl.21ª,4); e nos AC LACTICOOP/SETAAB – BTE 18/2019 e LACTICOOP/SPLAAESTRMMCCM – BTE 30/2019 e LACTICOOP/SINDCES - BTE 28/2019 (cl.15ª, 3,b)). Os AE Morais Matias/FEVICCOM – BTE15/2019 (cl.</w:t>
      </w:r>
      <w:r w:rsidRPr="004B5630">
        <w:rPr>
          <w:sz w:val="18"/>
          <w:szCs w:val="18"/>
        </w:rPr>
        <w:t xml:space="preserve">62,1.a) e </w:t>
      </w:r>
      <w:r w:rsidRPr="004B5630">
        <w:rPr>
          <w:rFonts w:eastAsia="Times New Roman" w:cs="Calibri"/>
          <w:sz w:val="18"/>
          <w:szCs w:val="18"/>
          <w:lang w:eastAsia="pt-PT"/>
        </w:rPr>
        <w:t>AE JI - O Baloiço/SINTAP – BTE 18/2019 (cl. 34), preveem vários  grupos de trabalhadores desobrigados de prestar trabalho suplementar por razões de parentalidade</w:t>
      </w:r>
      <w:r w:rsidRPr="004B5630">
        <w:rPr>
          <w:sz w:val="18"/>
          <w:szCs w:val="18"/>
        </w:rPr>
        <w:t>.</w:t>
      </w:r>
    </w:p>
  </w:footnote>
  <w:footnote w:id="363">
    <w:p w14:paraId="19C785FD" w14:textId="78ABE819" w:rsidR="004B7DBA" w:rsidRPr="004B5630" w:rsidRDefault="004B7DBA" w:rsidP="00773895">
      <w:pPr>
        <w:tabs>
          <w:tab w:val="left" w:pos="426"/>
        </w:tabs>
        <w:spacing w:after="0" w:line="240" w:lineRule="auto"/>
        <w:ind w:left="425" w:hanging="425"/>
        <w:jc w:val="both"/>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O </w:t>
      </w:r>
      <w:r w:rsidRPr="004B5630">
        <w:rPr>
          <w:rFonts w:eastAsia="Times New Roman" w:cs="Calibri"/>
          <w:sz w:val="18"/>
          <w:szCs w:val="18"/>
          <w:lang w:eastAsia="pt-PT"/>
        </w:rPr>
        <w:t xml:space="preserve">CC ACIFF/CESP - BTE 23/2019 (cl.21ª,322ª) especifica aquilo que não cabe no conceito de </w:t>
      </w:r>
      <w:r w:rsidRPr="004B5630">
        <w:rPr>
          <w:rFonts w:eastAsia="Arial" w:cstheme="minorHAnsi"/>
          <w:sz w:val="18"/>
          <w:szCs w:val="18"/>
          <w:lang w:eastAsia="pt-PT" w:bidi="pt-PT"/>
        </w:rPr>
        <w:t>trabalho suplementar</w:t>
      </w:r>
      <w:r w:rsidRPr="004B5630">
        <w:rPr>
          <w:rFonts w:eastAsia="Times New Roman" w:cs="Calibri"/>
          <w:sz w:val="18"/>
          <w:szCs w:val="18"/>
          <w:lang w:eastAsia="pt-PT"/>
        </w:rPr>
        <w:t xml:space="preserve">; e o AE SCOTTURB/SITRA - BTE 35/2019 (cl.24ª e 40ª) introduz nova alínea (cl.24ª, al. e)), concretizando  que, para além de outras situações, as horas trabalhadas devido a  excesso de tráfico não entram para os  limites horários do trabalho suplementar (cfr. anterior BTE 9/1997 e 13/1999) . </w:t>
      </w:r>
    </w:p>
  </w:footnote>
  <w:footnote w:id="364">
    <w:p w14:paraId="166BE805" w14:textId="6C5B6B36" w:rsidR="004B7DBA" w:rsidRPr="004B5630" w:rsidRDefault="004B7DBA" w:rsidP="00773895">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Cfr. </w:t>
      </w:r>
      <w:r w:rsidRPr="004B5630">
        <w:rPr>
          <w:bCs/>
          <w:sz w:val="18"/>
          <w:szCs w:val="18"/>
        </w:rPr>
        <w:t xml:space="preserve">Relatórios sobre a Evolução da Negociação Coletiva em 2015, págs. </w:t>
      </w:r>
      <w:r w:rsidRPr="004B5630">
        <w:rPr>
          <w:sz w:val="18"/>
          <w:szCs w:val="18"/>
        </w:rPr>
        <w:t>94 – 101;</w:t>
      </w:r>
      <w:r w:rsidRPr="004B5630">
        <w:rPr>
          <w:bCs/>
          <w:sz w:val="18"/>
          <w:szCs w:val="18"/>
        </w:rPr>
        <w:t xml:space="preserve"> em 2016, págs.</w:t>
      </w:r>
      <w:r w:rsidRPr="004B5630">
        <w:rPr>
          <w:sz w:val="18"/>
          <w:szCs w:val="18"/>
        </w:rPr>
        <w:t xml:space="preserve"> 117-125;2017 </w:t>
      </w:r>
      <w:r w:rsidRPr="004B5630">
        <w:rPr>
          <w:bCs/>
          <w:sz w:val="18"/>
          <w:szCs w:val="18"/>
        </w:rPr>
        <w:t>págs.</w:t>
      </w:r>
      <w:r w:rsidRPr="004B5630">
        <w:rPr>
          <w:sz w:val="18"/>
          <w:szCs w:val="18"/>
        </w:rPr>
        <w:t xml:space="preserve">148-159; 2018 </w:t>
      </w:r>
      <w:r w:rsidRPr="004B5630">
        <w:rPr>
          <w:bCs/>
          <w:sz w:val="18"/>
          <w:szCs w:val="18"/>
        </w:rPr>
        <w:t>págs.149-156</w:t>
      </w:r>
      <w:r w:rsidRPr="004B5630">
        <w:rPr>
          <w:sz w:val="18"/>
          <w:szCs w:val="18"/>
        </w:rPr>
        <w:t xml:space="preserve"> (4.4.5), </w:t>
      </w:r>
      <w:hyperlink r:id="rId16" w:history="1">
        <w:r w:rsidRPr="004B5630">
          <w:rPr>
            <w:rStyle w:val="Hiperligao"/>
            <w:sz w:val="18"/>
            <w:szCs w:val="18"/>
          </w:rPr>
          <w:t>https://www.crlaborais.pt/</w:t>
        </w:r>
      </w:hyperlink>
    </w:p>
  </w:footnote>
  <w:footnote w:id="365">
    <w:p w14:paraId="44B0C8A1" w14:textId="5A55F872" w:rsidR="004B7DBA" w:rsidRPr="004B5630" w:rsidRDefault="004B7DBA" w:rsidP="00773895">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t xml:space="preserve">Por exemplo, </w:t>
      </w:r>
      <w:r w:rsidRPr="004B5630">
        <w:rPr>
          <w:rFonts w:eastAsia="Times New Roman" w:cs="Calibri"/>
          <w:sz w:val="18"/>
          <w:szCs w:val="18"/>
          <w:lang w:eastAsia="pt-PT"/>
        </w:rPr>
        <w:t>AE Europa&amp;C/ FIEQUIMETAL – BTE 8/2019 (cl.34ª) ; AE ViaPorto/APROF</w:t>
      </w:r>
      <w:r w:rsidRPr="004B5630">
        <w:rPr>
          <w:rFonts w:eastAsia="Times New Roman" w:cs="Calibri"/>
          <w:color w:val="002060"/>
          <w:sz w:val="18"/>
          <w:szCs w:val="18"/>
          <w:lang w:eastAsia="pt-PT"/>
        </w:rPr>
        <w:t>ER – BTE 33/</w:t>
      </w:r>
      <w:r w:rsidRPr="004B5630">
        <w:rPr>
          <w:rFonts w:eastAsia="Times New Roman" w:cs="Calibri"/>
          <w:sz w:val="18"/>
          <w:szCs w:val="18"/>
          <w:lang w:eastAsia="pt-PT"/>
        </w:rPr>
        <w:t>2019 (cl.) e paralelos; CC ACIBARCELOS/ SITSECCVAC - BTE 27/2019 (cl.12ª).</w:t>
      </w:r>
    </w:p>
  </w:footnote>
  <w:footnote w:id="366">
    <w:p w14:paraId="4D0DA6E6" w14:textId="5D5CA55C" w:rsidR="004B7DBA" w:rsidRPr="004B5630" w:rsidRDefault="004B7DBA" w:rsidP="00773895">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t xml:space="preserve">Remetem para a lei, convenções do setor dos seguros (K), por exemplo, </w:t>
      </w:r>
      <w:r w:rsidRPr="004B5630">
        <w:rPr>
          <w:rFonts w:eastAsia="Times New Roman" w:cs="Calibri"/>
          <w:sz w:val="18"/>
          <w:szCs w:val="18"/>
          <w:lang w:eastAsia="pt-PT"/>
        </w:rPr>
        <w:t>AC ZURICH/SINAPSA – BTE 17/2019 (cl.20ª); AC LUSITÂNIA/ SINAPSA - BTE 21/2019 (cl.21ª); AE Europ Assistance – Seguros/SINAPSA - BTE 29/2019 (cl.20ª)</w:t>
      </w:r>
      <w:r w:rsidRPr="004B5630">
        <w:rPr>
          <w:sz w:val="18"/>
          <w:szCs w:val="18"/>
        </w:rPr>
        <w:t>.</w:t>
      </w:r>
    </w:p>
  </w:footnote>
  <w:footnote w:id="367">
    <w:p w14:paraId="1FC89A4D" w14:textId="0FC05A55" w:rsidR="004B7DBA" w:rsidRPr="004B5630" w:rsidRDefault="004B7DBA" w:rsidP="00773895">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cs="Calibri"/>
          <w:sz w:val="18"/>
          <w:szCs w:val="18"/>
        </w:rPr>
        <w:t>CC ACIFF/CESP - BTE 23/2019 (cl.21ª, 3),</w:t>
      </w:r>
    </w:p>
  </w:footnote>
  <w:footnote w:id="368">
    <w:p w14:paraId="6DD44028" w14:textId="62FCC70E" w:rsidR="004B7DBA" w:rsidRPr="004B5630" w:rsidRDefault="004B7DBA" w:rsidP="00773895">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Por exemplo, </w:t>
      </w:r>
      <w:r w:rsidRPr="004B5630">
        <w:rPr>
          <w:rFonts w:eastAsia="Arial" w:cstheme="minorHAnsi"/>
          <w:sz w:val="18"/>
          <w:szCs w:val="18"/>
          <w:lang w:bidi="pt-PT"/>
        </w:rPr>
        <w:t>SCOTTURB/SITRA - BTE 35/2019 (cl.24ª).</w:t>
      </w:r>
    </w:p>
  </w:footnote>
  <w:footnote w:id="369">
    <w:p w14:paraId="02AE239D" w14:textId="60052E27" w:rsidR="004B7DBA" w:rsidRPr="004B5630" w:rsidRDefault="004B7DBA" w:rsidP="00773895">
      <w:pPr>
        <w:tabs>
          <w:tab w:val="left" w:pos="426"/>
        </w:tabs>
        <w:spacing w:after="0" w:line="240" w:lineRule="auto"/>
        <w:ind w:left="425" w:hanging="425"/>
        <w:jc w:val="both"/>
        <w:rPr>
          <w:rFonts w:eastAsia="Times New Roman" w:cs="Calibri"/>
          <w:sz w:val="18"/>
          <w:szCs w:val="18"/>
          <w:lang w:eastAsia="pt-PT"/>
        </w:rPr>
      </w:pPr>
      <w:r w:rsidRPr="004B5630">
        <w:rPr>
          <w:rStyle w:val="Refdenotaderodap"/>
          <w:rFonts w:cs="Calibri"/>
          <w:sz w:val="18"/>
          <w:szCs w:val="18"/>
        </w:rPr>
        <w:footnoteRef/>
      </w:r>
      <w:r w:rsidRPr="004B5630">
        <w:rPr>
          <w:rFonts w:cs="Calibri"/>
          <w:sz w:val="18"/>
          <w:szCs w:val="18"/>
        </w:rPr>
        <w:t xml:space="preserve"> </w:t>
      </w:r>
      <w:r w:rsidRPr="004B5630">
        <w:rPr>
          <w:rFonts w:cs="Calibri"/>
          <w:sz w:val="18"/>
          <w:szCs w:val="18"/>
        </w:rPr>
        <w:tab/>
      </w:r>
      <w:r w:rsidRPr="004B5630">
        <w:rPr>
          <w:rFonts w:eastAsia="Times New Roman" w:cs="Calibri"/>
          <w:sz w:val="18"/>
          <w:szCs w:val="18"/>
          <w:lang w:eastAsia="pt-PT"/>
        </w:rPr>
        <w:t>AE A. ENSINO BENTO J. CARAÇA/FENPROF – BTE 12/2019 (cl.30ª,6).</w:t>
      </w:r>
    </w:p>
  </w:footnote>
  <w:footnote w:id="370">
    <w:p w14:paraId="6D98F2DB" w14:textId="5E9C25AB" w:rsidR="004B7DBA" w:rsidRPr="004B5630" w:rsidRDefault="004B7DBA" w:rsidP="00503912">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vertAlign w:val="superscript"/>
        </w:rPr>
        <w:tab/>
      </w:r>
      <w:r w:rsidRPr="004B5630">
        <w:rPr>
          <w:sz w:val="18"/>
          <w:szCs w:val="18"/>
        </w:rPr>
        <w:t xml:space="preserve">Por exemplo, </w:t>
      </w:r>
      <w:r w:rsidRPr="004B5630">
        <w:rPr>
          <w:rFonts w:eastAsia="Times New Roman" w:cs="Calibri"/>
          <w:sz w:val="18"/>
          <w:szCs w:val="18"/>
          <w:lang w:eastAsia="pt-PT"/>
        </w:rPr>
        <w:t>AE Parques de Sintra/SINTAP – BTE 35/2019 (cl36ª.);</w:t>
      </w:r>
      <w:r w:rsidRPr="004B5630">
        <w:rPr>
          <w:sz w:val="18"/>
          <w:szCs w:val="18"/>
        </w:rPr>
        <w:t xml:space="preserve"> e </w:t>
      </w:r>
      <w:r w:rsidRPr="004B5630">
        <w:rPr>
          <w:rFonts w:eastAsia="Times New Roman" w:cs="Calibri"/>
          <w:sz w:val="18"/>
          <w:szCs w:val="18"/>
          <w:lang w:eastAsia="pt-PT"/>
        </w:rPr>
        <w:t xml:space="preserve">AE CAIMA/SITESE - BTE 24/2019 (cl.21ª e 24ª) [(=) </w:t>
      </w:r>
      <w:r w:rsidRPr="004B5630">
        <w:rPr>
          <w:sz w:val="18"/>
          <w:szCs w:val="18"/>
        </w:rPr>
        <w:t>AE CAIMA/FIEQUIMETAL – BTE 17/2018], fixando 200h.</w:t>
      </w:r>
    </w:p>
  </w:footnote>
  <w:footnote w:id="371">
    <w:p w14:paraId="1FA9BDF0" w14:textId="5F1B7365" w:rsidR="004B7DBA" w:rsidRPr="004B5630" w:rsidRDefault="004B7DBA" w:rsidP="00503912">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rStyle w:val="Refdenotaderodap"/>
          <w:sz w:val="18"/>
          <w:szCs w:val="18"/>
          <w:vertAlign w:val="baseline"/>
        </w:rPr>
        <w:tab/>
      </w:r>
      <w:r w:rsidRPr="004B5630">
        <w:rPr>
          <w:rFonts w:eastAsia="Times New Roman" w:cs="Calibri"/>
          <w:sz w:val="18"/>
          <w:szCs w:val="18"/>
          <w:lang w:eastAsia="pt-PT"/>
        </w:rPr>
        <w:t>AC OPERFOZ/SINPORFOZ – BTE 10/2019 (cl.</w:t>
      </w:r>
      <w:r w:rsidRPr="004B5630">
        <w:rPr>
          <w:sz w:val="18"/>
          <w:szCs w:val="18"/>
        </w:rPr>
        <w:t>32ª</w:t>
      </w:r>
      <w:r w:rsidRPr="004B5630">
        <w:rPr>
          <w:rFonts w:eastAsia="Times New Roman" w:cs="Calibri"/>
          <w:sz w:val="18"/>
          <w:szCs w:val="18"/>
          <w:lang w:eastAsia="pt-PT"/>
        </w:rPr>
        <w:t xml:space="preserve">) </w:t>
      </w:r>
      <w:r w:rsidRPr="004B5630">
        <w:rPr>
          <w:sz w:val="18"/>
          <w:szCs w:val="18"/>
        </w:rPr>
        <w:t>limite de 250 horas por ano, não incluindo o trabalho prestado ao sábado, domingo e feriados</w:t>
      </w:r>
      <w:r w:rsidRPr="004B5630">
        <w:rPr>
          <w:rFonts w:eastAsia="Times New Roman" w:cs="Calibri"/>
          <w:sz w:val="18"/>
          <w:szCs w:val="18"/>
          <w:lang w:eastAsia="pt-PT"/>
        </w:rPr>
        <w:t>; no CC AOP/SNETTCM – BTE 34/2019 (cl.29ª,4 e 5)</w:t>
      </w:r>
      <w:r w:rsidRPr="004B5630">
        <w:rPr>
          <w:sz w:val="18"/>
          <w:szCs w:val="18"/>
        </w:rPr>
        <w:t xml:space="preserve"> admite que o trabalho suplementar pode ir até 850h/ano por trabalhador, se autorizado conforme a lei.</w:t>
      </w:r>
    </w:p>
  </w:footnote>
  <w:footnote w:id="372">
    <w:p w14:paraId="4DE86CD7" w14:textId="0D202EA3" w:rsidR="004B7DBA" w:rsidRPr="004B5630" w:rsidRDefault="004B7DBA" w:rsidP="00503912">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CC ANCIPA/FESAHT - BTE 22/2019 (cl.24ª) TS 120H</w:t>
      </w:r>
    </w:p>
  </w:footnote>
  <w:footnote w:id="373">
    <w:p w14:paraId="68A446F9" w14:textId="77777777" w:rsidR="004B7DBA" w:rsidRPr="004B5630" w:rsidRDefault="004B7DBA" w:rsidP="00503912">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rFonts w:cs="Calibri"/>
          <w:sz w:val="18"/>
          <w:szCs w:val="18"/>
          <w:vertAlign w:val="superscript"/>
        </w:rPr>
        <w:t xml:space="preserve"> </w:t>
      </w:r>
      <w:r w:rsidRPr="004B5630">
        <w:rPr>
          <w:rFonts w:cs="Calibri"/>
          <w:sz w:val="18"/>
          <w:szCs w:val="18"/>
        </w:rPr>
        <w:t xml:space="preserve">  AE INATEL/SITESE –BTE 6/2019 (cl.33ª) e paralelos, fixa </w:t>
      </w:r>
      <w:r w:rsidRPr="004B5630">
        <w:rPr>
          <w:sz w:val="18"/>
          <w:szCs w:val="18"/>
        </w:rPr>
        <w:t xml:space="preserve"> 175 h.  </w:t>
      </w:r>
    </w:p>
  </w:footnote>
  <w:footnote w:id="374">
    <w:p w14:paraId="0143BA9E" w14:textId="68E3AA34" w:rsidR="004B7DBA" w:rsidRPr="004B5630" w:rsidRDefault="004B7DBA" w:rsidP="00503912">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Por exemplo, </w:t>
      </w:r>
      <w:r w:rsidRPr="004B5630">
        <w:rPr>
          <w:rFonts w:eastAsia="Times New Roman" w:cs="Calibri"/>
          <w:sz w:val="18"/>
          <w:szCs w:val="18"/>
          <w:lang w:eastAsia="pt-PT"/>
        </w:rPr>
        <w:t xml:space="preserve">AE Risto Rail Portugal/FESAHT - BTE 26/2019 (cl.31.ª); AE SUCH/FESAHT – BTE 34/2019 (cl.58ºª); </w:t>
      </w:r>
    </w:p>
  </w:footnote>
  <w:footnote w:id="375">
    <w:p w14:paraId="1E5AF20D" w14:textId="2BD78507" w:rsidR="004B7DBA" w:rsidRPr="004B5630" w:rsidRDefault="004B7DBA" w:rsidP="00503912">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 xml:space="preserve">CC ALIF/SETAAB – BTE 17/2019 (cl.23ª) e AE AHBV – ALGÉS/SNBP – BTE 36/2019 (cl.43ª), </w:t>
      </w:r>
      <w:r w:rsidRPr="004B5630">
        <w:rPr>
          <w:sz w:val="18"/>
          <w:szCs w:val="18"/>
        </w:rPr>
        <w:t>fixam 10 horas semanais de Trabalho suplementar, por trabalhador</w:t>
      </w:r>
      <w:r w:rsidRPr="004B5630">
        <w:rPr>
          <w:rFonts w:eastAsia="Times New Roman" w:cs="Calibri"/>
          <w:sz w:val="18"/>
          <w:szCs w:val="18"/>
          <w:lang w:eastAsia="pt-PT"/>
        </w:rPr>
        <w:t xml:space="preserve">. </w:t>
      </w:r>
    </w:p>
  </w:footnote>
  <w:footnote w:id="376">
    <w:p w14:paraId="2204AE79" w14:textId="77777777" w:rsidR="004B7DBA" w:rsidRPr="004B5630" w:rsidRDefault="004B7DBA" w:rsidP="00503912">
      <w:pPr>
        <w:pStyle w:val="Textodenotaderodap"/>
        <w:tabs>
          <w:tab w:val="left" w:pos="426"/>
        </w:tabs>
        <w:ind w:left="425" w:hanging="425"/>
        <w:rPr>
          <w:sz w:val="18"/>
          <w:szCs w:val="18"/>
        </w:rPr>
      </w:pPr>
      <w:r w:rsidRPr="004B5630">
        <w:rPr>
          <w:rStyle w:val="Refdenotaderodap"/>
          <w:sz w:val="18"/>
          <w:szCs w:val="18"/>
        </w:rPr>
        <w:footnoteRef/>
      </w:r>
      <w:r w:rsidRPr="004B5630">
        <w:rPr>
          <w:rStyle w:val="Refdenotaderodap"/>
          <w:sz w:val="18"/>
          <w:szCs w:val="18"/>
          <w:vertAlign w:val="baseline"/>
        </w:rPr>
        <w:tab/>
      </w:r>
      <w:r w:rsidRPr="004B5630">
        <w:rPr>
          <w:rFonts w:cs="Calibri"/>
          <w:sz w:val="18"/>
          <w:szCs w:val="18"/>
        </w:rPr>
        <w:t>CC ANCIPA/ SETAAB – BTE 18/2019 (cl.24º) [(=)</w:t>
      </w:r>
      <w:r w:rsidRPr="004B5630">
        <w:rPr>
          <w:sz w:val="18"/>
          <w:szCs w:val="18"/>
        </w:rPr>
        <w:t>BTE 40/2016], fixa 40 horas mensais, por trabalhador.</w:t>
      </w:r>
    </w:p>
  </w:footnote>
  <w:footnote w:id="377">
    <w:p w14:paraId="28A61D74" w14:textId="657739EA" w:rsidR="004B7DBA" w:rsidRPr="004B5630" w:rsidRDefault="004B7DBA" w:rsidP="00503912">
      <w:pPr>
        <w:pStyle w:val="Textodenotaderodap"/>
        <w:tabs>
          <w:tab w:val="left" w:pos="426"/>
        </w:tabs>
        <w:ind w:left="425" w:hanging="425"/>
        <w:rPr>
          <w:sz w:val="18"/>
          <w:szCs w:val="18"/>
        </w:rPr>
      </w:pPr>
      <w:r w:rsidRPr="004B5630">
        <w:rPr>
          <w:rStyle w:val="Refdenotaderodap"/>
          <w:sz w:val="18"/>
          <w:szCs w:val="18"/>
        </w:rPr>
        <w:footnoteRef/>
      </w:r>
      <w:r w:rsidRPr="004B5630">
        <w:rPr>
          <w:rFonts w:cs="Calibri"/>
          <w:sz w:val="18"/>
          <w:szCs w:val="18"/>
          <w:vertAlign w:val="superscript"/>
        </w:rPr>
        <w:t xml:space="preserve"> </w:t>
      </w:r>
      <w:r w:rsidRPr="004B5630">
        <w:rPr>
          <w:rFonts w:cs="Calibri"/>
          <w:sz w:val="18"/>
          <w:szCs w:val="18"/>
        </w:rPr>
        <w:tab/>
        <w:t xml:space="preserve">No CC ANTRAM/FECTRANS – BTE 45/2019 (cl.21ª), PNT diário, incluindo  trabalho suplementar, não pode  exceder 10 </w:t>
      </w:r>
      <w:r w:rsidRPr="004B5630">
        <w:rPr>
          <w:sz w:val="18"/>
          <w:szCs w:val="18"/>
        </w:rPr>
        <w:t>horas.</w:t>
      </w:r>
    </w:p>
  </w:footnote>
  <w:footnote w:id="378">
    <w:p w14:paraId="07C4C3E6" w14:textId="77777777" w:rsidR="004B7DBA" w:rsidRPr="004B5630" w:rsidRDefault="004B7DBA" w:rsidP="00503912">
      <w:pPr>
        <w:tabs>
          <w:tab w:val="left" w:pos="426"/>
        </w:tabs>
        <w:spacing w:after="0" w:line="240" w:lineRule="auto"/>
        <w:ind w:left="425" w:hanging="425"/>
        <w:jc w:val="both"/>
        <w:rPr>
          <w:rFonts w:eastAsia="Times New Roman" w:cs="Calibri"/>
          <w:sz w:val="18"/>
          <w:szCs w:val="18"/>
          <w:lang w:eastAsia="pt-PT"/>
        </w:rPr>
      </w:pPr>
      <w:r w:rsidRPr="004B5630">
        <w:rPr>
          <w:rStyle w:val="Refdenotaderodap"/>
          <w:color w:val="002060"/>
          <w:sz w:val="18"/>
          <w:szCs w:val="18"/>
        </w:rPr>
        <w:footnoteRef/>
      </w:r>
      <w:r w:rsidRPr="004B5630">
        <w:rPr>
          <w:rStyle w:val="Refdenotaderodap"/>
          <w:color w:val="002060"/>
          <w:sz w:val="18"/>
          <w:szCs w:val="18"/>
          <w:vertAlign w:val="baseline"/>
        </w:rPr>
        <w:tab/>
      </w:r>
      <w:r w:rsidRPr="004B5630">
        <w:rPr>
          <w:sz w:val="18"/>
          <w:szCs w:val="18"/>
        </w:rPr>
        <w:t xml:space="preserve">No </w:t>
      </w:r>
      <w:r w:rsidRPr="004B5630">
        <w:rPr>
          <w:rFonts w:eastAsia="Times New Roman" w:cs="Calibri"/>
          <w:sz w:val="18"/>
          <w:szCs w:val="18"/>
          <w:lang w:eastAsia="pt-PT"/>
        </w:rPr>
        <w:t xml:space="preserve">AE SCOTTURB/SITRA -– BTE 35/2019 </w:t>
      </w:r>
      <w:r w:rsidRPr="004B5630">
        <w:rPr>
          <w:sz w:val="18"/>
          <w:szCs w:val="18"/>
        </w:rPr>
        <w:t xml:space="preserve"> (cl.. 24.ª) admite-se a ultrapassagem dos limites do trabalho suplementar por: “a) Serviço de desempanagem de viatura; b) Demoras no embarque e desembarque de passageiros ou mercadorias; c) Serviços ocasionais” “e) congestionamento de tráfego “; e também nos CC </w:t>
      </w:r>
      <w:r w:rsidRPr="004B5630">
        <w:rPr>
          <w:rFonts w:eastAsia="Times New Roman" w:cs="Calibri"/>
          <w:sz w:val="18"/>
          <w:szCs w:val="18"/>
          <w:lang w:eastAsia="pt-PT"/>
        </w:rPr>
        <w:t xml:space="preserve">ANTROP/SNM (cl.25ª); ANTROP/STRUP e ANTROP/STTAMP –BTE 35/2019 (cl.26.º) </w:t>
      </w:r>
      <w:r w:rsidRPr="004B5630">
        <w:rPr>
          <w:rFonts w:eastAsia="Times New Roman" w:cs="Calibri"/>
          <w:sz w:val="18"/>
          <w:szCs w:val="18"/>
          <w:lang w:val="en-US" w:eastAsia="pt-PT"/>
        </w:rPr>
        <w:t>[(=)</w:t>
      </w:r>
      <w:r w:rsidRPr="004B5630">
        <w:rPr>
          <w:sz w:val="18"/>
          <w:szCs w:val="18"/>
          <w:lang w:val="en-US"/>
        </w:rPr>
        <w:t xml:space="preserve">ANTROP/SNM - BTE 21/2016]; ANTROP/STRUP - BTE 48/2015 (Cl. 26.ª) e ANTROP/STTAMP - BTE 25/2016 (cl.26.ª). </w:t>
      </w:r>
      <w:r w:rsidRPr="004B5630">
        <w:rPr>
          <w:sz w:val="18"/>
          <w:szCs w:val="18"/>
        </w:rPr>
        <w:t xml:space="preserve">Já o </w:t>
      </w:r>
      <w:r w:rsidRPr="004B5630">
        <w:rPr>
          <w:rFonts w:eastAsia="Times New Roman" w:cs="Calibri"/>
          <w:sz w:val="18"/>
          <w:szCs w:val="18"/>
          <w:lang w:eastAsia="pt-PT"/>
        </w:rPr>
        <w:t>CC ANTRAM/FECTRANS – BTE 45/2019 (cl.26ª,5)</w:t>
      </w:r>
      <w:r w:rsidRPr="004B5630">
        <w:rPr>
          <w:sz w:val="18"/>
          <w:szCs w:val="18"/>
        </w:rPr>
        <w:t xml:space="preserve"> só refere embarque e desembarque de passageiros e desempanagem de viatura.</w:t>
      </w:r>
    </w:p>
  </w:footnote>
  <w:footnote w:id="379">
    <w:p w14:paraId="229BF4BC" w14:textId="6D61FB9D" w:rsidR="004B7DBA" w:rsidRPr="004B5630" w:rsidRDefault="004B7DBA" w:rsidP="00503912">
      <w:pPr>
        <w:tabs>
          <w:tab w:val="left" w:pos="426"/>
          <w:tab w:val="left" w:pos="851"/>
        </w:tabs>
        <w:spacing w:after="0" w:line="240" w:lineRule="auto"/>
        <w:ind w:left="425" w:hanging="425"/>
        <w:jc w:val="both"/>
        <w:rPr>
          <w:rFonts w:cstheme="minorHAns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CC ANCIPA/ SETAAB – BTE 18/2019 (cl.25º).</w:t>
      </w:r>
    </w:p>
  </w:footnote>
  <w:footnote w:id="380">
    <w:p w14:paraId="54088588" w14:textId="70DD0010" w:rsidR="004B7DBA" w:rsidRPr="004B5630" w:rsidRDefault="004B7DBA" w:rsidP="00503912">
      <w:pPr>
        <w:pStyle w:val="Textodenotaderodap"/>
        <w:tabs>
          <w:tab w:val="left" w:pos="426"/>
          <w:tab w:val="left" w:pos="1416"/>
          <w:tab w:val="left" w:pos="2124"/>
          <w:tab w:val="left" w:pos="2832"/>
          <w:tab w:val="left" w:pos="3540"/>
          <w:tab w:val="center" w:pos="4039"/>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AE NAVIGATOR/CONFESINT – BTE 17/2019 (cl.27.ª) e convenções paralelas (cl.36ª).</w:t>
      </w:r>
    </w:p>
  </w:footnote>
  <w:footnote w:id="381">
    <w:p w14:paraId="65F7A18F" w14:textId="5AC98107" w:rsidR="004B7DBA" w:rsidRPr="004B5630" w:rsidRDefault="004B7DBA" w:rsidP="00503912">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rStyle w:val="Refdenotaderodap"/>
          <w:sz w:val="18"/>
          <w:szCs w:val="18"/>
        </w:rPr>
        <w:t xml:space="preserve"> </w:t>
      </w:r>
      <w:r w:rsidRPr="004B5630">
        <w:rPr>
          <w:sz w:val="18"/>
          <w:szCs w:val="18"/>
          <w:vertAlign w:val="superscript"/>
        </w:rPr>
        <w:tab/>
      </w:r>
      <w:r w:rsidRPr="004B5630">
        <w:rPr>
          <w:sz w:val="18"/>
          <w:szCs w:val="18"/>
        </w:rPr>
        <w:t xml:space="preserve">Por exemplo, </w:t>
      </w:r>
      <w:r w:rsidRPr="004B5630">
        <w:rPr>
          <w:rFonts w:eastAsia="Times New Roman" w:cs="Calibri"/>
          <w:sz w:val="18"/>
          <w:szCs w:val="18"/>
          <w:lang w:eastAsia="pt-PT"/>
        </w:rPr>
        <w:t>AC BRISA/SETACCOP E OUTROS – BTE 36/2019</w:t>
      </w:r>
      <w:r w:rsidRPr="004B5630">
        <w:rPr>
          <w:sz w:val="18"/>
          <w:szCs w:val="18"/>
        </w:rPr>
        <w:t xml:space="preserve"> (cl. 27ª,5)</w:t>
      </w:r>
      <w:r w:rsidRPr="004B5630">
        <w:rPr>
          <w:rFonts w:cs="Calibri"/>
          <w:sz w:val="18"/>
          <w:szCs w:val="18"/>
        </w:rPr>
        <w:t>;</w:t>
      </w:r>
      <w:r w:rsidRPr="004B5630">
        <w:rPr>
          <w:rFonts w:eastAsia="Times New Roman" w:cs="Calibri"/>
          <w:sz w:val="18"/>
          <w:szCs w:val="18"/>
          <w:lang w:eastAsia="pt-PT"/>
        </w:rPr>
        <w:t xml:space="preserve"> AC LACTICOOP/SETAAB – BTE 18/2019; LACTICOOP/SINDCES–BTE 28/2019 e LACTICOOP/SPLAAESTRMMCCM – BTE 30/2019 (cl.15ª,3).</w:t>
      </w:r>
    </w:p>
  </w:footnote>
  <w:footnote w:id="382">
    <w:p w14:paraId="67FDE9BA" w14:textId="0CEB9245" w:rsidR="004B7DBA" w:rsidRPr="004B5630" w:rsidRDefault="004B7DBA" w:rsidP="00503912">
      <w:pPr>
        <w:pStyle w:val="Textodenotaderodap"/>
        <w:tabs>
          <w:tab w:val="left" w:pos="426"/>
        </w:tabs>
        <w:ind w:left="425" w:hanging="425"/>
        <w:rPr>
          <w:sz w:val="18"/>
          <w:szCs w:val="18"/>
        </w:rPr>
      </w:pPr>
      <w:r w:rsidRPr="004B5630">
        <w:rPr>
          <w:rStyle w:val="Refdenotaderodap"/>
          <w:sz w:val="18"/>
          <w:szCs w:val="18"/>
        </w:rPr>
        <w:footnoteRef/>
      </w:r>
      <w:r w:rsidRPr="004B5630">
        <w:rPr>
          <w:rFonts w:cs="Calibri"/>
          <w:sz w:val="18"/>
          <w:szCs w:val="18"/>
        </w:rPr>
        <w:t xml:space="preserve"> </w:t>
      </w:r>
      <w:r w:rsidRPr="004B5630">
        <w:rPr>
          <w:rFonts w:cs="Calibri"/>
          <w:sz w:val="18"/>
          <w:szCs w:val="18"/>
        </w:rPr>
        <w:tab/>
        <w:t xml:space="preserve">Por exemplo: AE Parques de Sintra/SINTAP – BTE 35/2019 (cl.36ª,4 e 5); </w:t>
      </w:r>
      <w:r w:rsidRPr="004B5630">
        <w:rPr>
          <w:sz w:val="18"/>
          <w:szCs w:val="18"/>
        </w:rPr>
        <w:t>os</w:t>
      </w:r>
      <w:r w:rsidRPr="004B5630">
        <w:rPr>
          <w:rFonts w:cs="Calibri"/>
          <w:sz w:val="18"/>
          <w:szCs w:val="18"/>
        </w:rPr>
        <w:t xml:space="preserve"> AE INATEL/FESAHT –BTE 6/2019 (cl. 33ª,7) e paralelos</w:t>
      </w:r>
      <w:r w:rsidRPr="004B5630">
        <w:rPr>
          <w:sz w:val="18"/>
          <w:szCs w:val="18"/>
        </w:rPr>
        <w:t xml:space="preserve">; </w:t>
      </w:r>
      <w:r w:rsidRPr="004B5630">
        <w:rPr>
          <w:rFonts w:cs="Calibri"/>
          <w:sz w:val="18"/>
          <w:szCs w:val="18"/>
        </w:rPr>
        <w:t>CC ADIPA (Retalhistas) /SITESE – BTE 14/2019 (cl. 21ª).</w:t>
      </w:r>
    </w:p>
  </w:footnote>
  <w:footnote w:id="383">
    <w:p w14:paraId="12FC6B4D" w14:textId="3A550ED3" w:rsidR="004B7DBA" w:rsidRPr="004B5630" w:rsidRDefault="004B7DBA" w:rsidP="00503912">
      <w:pPr>
        <w:pStyle w:val="Textodenotaderodap"/>
        <w:tabs>
          <w:tab w:val="left" w:pos="426"/>
        </w:tabs>
        <w:ind w:left="425" w:hanging="425"/>
        <w:rPr>
          <w:strike/>
          <w:sz w:val="18"/>
          <w:szCs w:val="18"/>
        </w:rPr>
      </w:pPr>
      <w:r w:rsidRPr="004B5630">
        <w:rPr>
          <w:rStyle w:val="Refdenotaderodap"/>
          <w:rFonts w:cs="Calibri"/>
          <w:sz w:val="18"/>
          <w:szCs w:val="18"/>
        </w:rPr>
        <w:footnoteRef/>
      </w:r>
      <w:r w:rsidRPr="004B5630">
        <w:rPr>
          <w:sz w:val="18"/>
          <w:szCs w:val="18"/>
        </w:rPr>
        <w:t xml:space="preserve"> </w:t>
      </w:r>
      <w:r w:rsidRPr="004B5630">
        <w:rPr>
          <w:sz w:val="18"/>
          <w:szCs w:val="18"/>
        </w:rPr>
        <w:tab/>
        <w:t xml:space="preserve">Ver infra ponto   </w:t>
      </w:r>
      <w:r w:rsidRPr="004B5630">
        <w:rPr>
          <w:b/>
          <w:sz w:val="18"/>
          <w:szCs w:val="18"/>
        </w:rPr>
        <w:t>4.4.7.3</w:t>
      </w:r>
      <w:r w:rsidRPr="004B5630">
        <w:rPr>
          <w:sz w:val="18"/>
          <w:szCs w:val="18"/>
        </w:rPr>
        <w:t>. Conciliação entre a vida familiar e profissional (nota rodapé 536).</w:t>
      </w:r>
    </w:p>
  </w:footnote>
  <w:footnote w:id="384">
    <w:p w14:paraId="78AD1D92" w14:textId="19D60620" w:rsidR="004B7DBA" w:rsidRPr="004B5630" w:rsidRDefault="004B7DBA" w:rsidP="00503912">
      <w:pPr>
        <w:tabs>
          <w:tab w:val="left" w:pos="426"/>
        </w:tabs>
        <w:spacing w:after="0" w:line="240" w:lineRule="auto"/>
        <w:ind w:left="425" w:hanging="425"/>
        <w:jc w:val="both"/>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 xml:space="preserve">No </w:t>
      </w:r>
      <w:r w:rsidRPr="004B5630">
        <w:rPr>
          <w:rFonts w:eastAsia="Times New Roman" w:cs="Calibri"/>
          <w:sz w:val="18"/>
          <w:szCs w:val="18"/>
          <w:lang w:eastAsia="pt-PT"/>
        </w:rPr>
        <w:t>CC ACRAL/CESP – BTE 16/2019 e ACRAL/SITESE - BTE 24/2019 (ambos cl.22ª,3), são</w:t>
      </w:r>
      <w:r w:rsidRPr="004B5630">
        <w:rPr>
          <w:sz w:val="18"/>
          <w:szCs w:val="18"/>
        </w:rPr>
        <w:t xml:space="preserve"> motivos ponderosos: acidente; urgência; trabalho que não possa ser interrompido ou balanço, no limite de 30 dias/ano [(=) BTE 25/2018 (cl.25ª,3)]; </w:t>
      </w:r>
      <w:r w:rsidRPr="004B5630">
        <w:rPr>
          <w:rFonts w:eastAsia="Times New Roman" w:cs="Calibri"/>
          <w:sz w:val="18"/>
          <w:szCs w:val="18"/>
          <w:lang w:eastAsia="pt-PT"/>
        </w:rPr>
        <w:t>Nos CC ACILIS/CESP e ACILIS/SITESE – ambos BTE 31/2019 (cl.9ª) o trabalho suplementar é facultativo, salvo nos casos de balanço</w:t>
      </w:r>
      <w:r w:rsidRPr="004B5630">
        <w:rPr>
          <w:sz w:val="18"/>
          <w:szCs w:val="18"/>
        </w:rPr>
        <w:t xml:space="preserve">. No </w:t>
      </w:r>
      <w:r w:rsidRPr="004B5630">
        <w:rPr>
          <w:rFonts w:eastAsia="Times New Roman" w:cs="Calibri"/>
          <w:sz w:val="18"/>
          <w:szCs w:val="18"/>
          <w:lang w:eastAsia="pt-PT"/>
        </w:rPr>
        <w:t>CC ANCIPA/ SETAAB – BTE 18/2019</w:t>
      </w:r>
      <w:r w:rsidRPr="004B5630">
        <w:rPr>
          <w:rFonts w:eastAsia="Times New Roman" w:cs="Calibri"/>
          <w:sz w:val="20"/>
          <w:szCs w:val="20"/>
          <w:lang w:eastAsia="pt-PT"/>
        </w:rPr>
        <w:t xml:space="preserve"> </w:t>
      </w:r>
      <w:r w:rsidRPr="004B5630">
        <w:rPr>
          <w:rFonts w:eastAsia="Times New Roman" w:cs="Calibri"/>
          <w:sz w:val="18"/>
          <w:szCs w:val="18"/>
          <w:lang w:eastAsia="pt-PT"/>
        </w:rPr>
        <w:t>(cl.24ª,3 e 25º)</w:t>
      </w:r>
      <w:r w:rsidRPr="004B5630">
        <w:rPr>
          <w:sz w:val="18"/>
          <w:szCs w:val="18"/>
        </w:rPr>
        <w:t xml:space="preserve"> o </w:t>
      </w:r>
      <w:r w:rsidRPr="004B5630">
        <w:rPr>
          <w:rFonts w:eastAsia="Times New Roman" w:cs="Calibri"/>
          <w:sz w:val="18"/>
          <w:szCs w:val="18"/>
          <w:lang w:eastAsia="pt-PT"/>
        </w:rPr>
        <w:t xml:space="preserve">trabalho suplementar </w:t>
      </w:r>
      <w:r w:rsidRPr="004B5630">
        <w:rPr>
          <w:sz w:val="18"/>
          <w:szCs w:val="18"/>
        </w:rPr>
        <w:t>só obrigatório na eminência de prejuízos graves ou perante casos de força maior, mas o trabalhador pode invocar motivo atendível, como dificuldade de transporte.</w:t>
      </w:r>
    </w:p>
  </w:footnote>
  <w:footnote w:id="385">
    <w:p w14:paraId="24545783" w14:textId="03466C4E" w:rsidR="004B7DBA" w:rsidRPr="004B5630" w:rsidRDefault="004B7DBA" w:rsidP="00503912">
      <w:pPr>
        <w:pStyle w:val="Textodenotaderodap"/>
        <w:tabs>
          <w:tab w:val="left" w:pos="426"/>
        </w:tabs>
        <w:ind w:left="425" w:hanging="425"/>
        <w:rPr>
          <w:sz w:val="18"/>
          <w:szCs w:val="18"/>
        </w:rPr>
      </w:pPr>
      <w:r w:rsidRPr="004B5630">
        <w:rPr>
          <w:rStyle w:val="Refdenotaderodap"/>
          <w:color w:val="002060"/>
          <w:sz w:val="18"/>
          <w:szCs w:val="18"/>
        </w:rPr>
        <w:footnoteRef/>
      </w:r>
      <w:r w:rsidRPr="004B5630">
        <w:rPr>
          <w:rStyle w:val="Refdenotaderodap"/>
          <w:color w:val="002060"/>
          <w:sz w:val="18"/>
          <w:szCs w:val="18"/>
          <w:vertAlign w:val="baseline"/>
        </w:rPr>
        <w:tab/>
      </w:r>
      <w:r w:rsidRPr="004B5630">
        <w:rPr>
          <w:sz w:val="18"/>
          <w:szCs w:val="18"/>
        </w:rPr>
        <w:t xml:space="preserve">Por exemplo: </w:t>
      </w:r>
      <w:r w:rsidRPr="004B5630">
        <w:rPr>
          <w:rFonts w:cs="Calibri"/>
          <w:sz w:val="18"/>
          <w:szCs w:val="18"/>
        </w:rPr>
        <w:t xml:space="preserve">AC LACTICOOP/SPLAAESTRMMCCM – BTE 30/2019 </w:t>
      </w:r>
      <w:r w:rsidRPr="004B5630">
        <w:rPr>
          <w:sz w:val="18"/>
          <w:szCs w:val="18"/>
        </w:rPr>
        <w:t xml:space="preserve">(CL.15º,3); </w:t>
      </w:r>
      <w:r w:rsidRPr="004B5630">
        <w:rPr>
          <w:rFonts w:cs="Calibri"/>
          <w:sz w:val="18"/>
          <w:szCs w:val="18"/>
        </w:rPr>
        <w:t>AE JI-O Baloiço/SINTAP – BTE 18/2019 (cl. 34ª, 3) [(=)BTE 15/2018].</w:t>
      </w:r>
    </w:p>
  </w:footnote>
  <w:footnote w:id="386">
    <w:p w14:paraId="52ADFE9A" w14:textId="717F10BC" w:rsidR="004B7DBA" w:rsidRPr="004B5630" w:rsidRDefault="004B7DBA" w:rsidP="00503912">
      <w:pPr>
        <w:tabs>
          <w:tab w:val="left" w:pos="426"/>
        </w:tabs>
        <w:spacing w:after="0" w:line="240" w:lineRule="auto"/>
        <w:ind w:left="425" w:hanging="425"/>
        <w:jc w:val="both"/>
        <w:rPr>
          <w:sz w:val="18"/>
          <w:szCs w:val="18"/>
        </w:rPr>
      </w:pPr>
      <w:r w:rsidRPr="004B5630">
        <w:rPr>
          <w:rStyle w:val="Refdenotaderodap"/>
          <w:rFonts w:cs="Calibri"/>
          <w:sz w:val="18"/>
          <w:szCs w:val="18"/>
        </w:rPr>
        <w:footnoteRef/>
      </w:r>
      <w:r w:rsidRPr="004B5630">
        <w:rPr>
          <w:sz w:val="18"/>
          <w:szCs w:val="18"/>
          <w:vertAlign w:val="superscript"/>
        </w:rPr>
        <w:t xml:space="preserve"> </w:t>
      </w:r>
      <w:r w:rsidRPr="004B5630">
        <w:rPr>
          <w:sz w:val="18"/>
          <w:szCs w:val="18"/>
        </w:rPr>
        <w:tab/>
        <w:t>CC ACISDP/SITESE – BTE 18/2018 (cl. 8ª, 2). NO ACISTDS,</w:t>
      </w:r>
      <w:r w:rsidRPr="004B5630">
        <w:rPr>
          <w:rFonts w:eastAsia="Times New Roman" w:cs="Calibri"/>
          <w:sz w:val="18"/>
          <w:szCs w:val="18"/>
          <w:lang w:eastAsia="pt-PT"/>
        </w:rPr>
        <w:t xml:space="preserve"> CC ACISTDS/CESP – BTE 13/2019 </w:t>
      </w:r>
      <w:r w:rsidRPr="004B5630">
        <w:rPr>
          <w:sz w:val="18"/>
          <w:szCs w:val="18"/>
        </w:rPr>
        <w:t>(cl. 32ª,3), por acordo, salvo situações de força maior.</w:t>
      </w:r>
    </w:p>
  </w:footnote>
  <w:footnote w:id="387">
    <w:p w14:paraId="780D34C1" w14:textId="4A8916FF" w:rsidR="004B7DBA" w:rsidRPr="004B5630" w:rsidRDefault="004B7DBA" w:rsidP="00503912">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cs="Calibri"/>
          <w:sz w:val="18"/>
          <w:szCs w:val="18"/>
        </w:rPr>
        <w:t>Ver ponto 4.4.7, sobre o princípio da igualdade nas relações laborais.</w:t>
      </w:r>
    </w:p>
  </w:footnote>
  <w:footnote w:id="388">
    <w:p w14:paraId="2DADD603" w14:textId="572763BE" w:rsidR="004B7DBA" w:rsidRPr="004B5630" w:rsidRDefault="004B7DBA" w:rsidP="00503912">
      <w:pPr>
        <w:tabs>
          <w:tab w:val="left" w:pos="426"/>
        </w:tabs>
        <w:spacing w:after="0" w:line="240" w:lineRule="auto"/>
        <w:ind w:left="425" w:hanging="425"/>
        <w:jc w:val="both"/>
        <w:rPr>
          <w:rFonts w:eastAsia="Times New Roman" w:cs="Calibri"/>
          <w:sz w:val="18"/>
          <w:szCs w:val="18"/>
          <w:lang w:eastAsia="pt-PT"/>
        </w:rPr>
      </w:pPr>
      <w:r w:rsidRPr="004B5630">
        <w:rPr>
          <w:rStyle w:val="Refdenotaderodap"/>
          <w:rFonts w:cs="Calibri"/>
          <w:sz w:val="18"/>
          <w:szCs w:val="18"/>
        </w:rPr>
        <w:footnoteRef/>
      </w:r>
      <w:r w:rsidRPr="004B5630">
        <w:rPr>
          <w:rFonts w:cs="Calibri"/>
          <w:sz w:val="18"/>
          <w:szCs w:val="18"/>
          <w:vertAlign w:val="superscript"/>
        </w:rPr>
        <w:t xml:space="preserve"> </w:t>
      </w:r>
      <w:r w:rsidRPr="004B5630">
        <w:rPr>
          <w:rFonts w:eastAsia="Times New Roman" w:cs="Calibri"/>
          <w:sz w:val="18"/>
          <w:szCs w:val="18"/>
          <w:lang w:eastAsia="pt-PT"/>
        </w:rPr>
        <w:tab/>
        <w:t>Os CC ACILIS/CESP  e  ACILIS/SITESE – ambos  BTE 31/2019 (cl.9ª); CC ACRAL/CESP – BTE 16/2019 e  ACRAL/SITESE - BTE 24/2019 ( ambos cl.22ª,3).</w:t>
      </w:r>
    </w:p>
  </w:footnote>
  <w:footnote w:id="389">
    <w:p w14:paraId="00F7FB59" w14:textId="5EA13BDD" w:rsidR="004B7DBA" w:rsidRPr="004B5630" w:rsidRDefault="004B7DBA" w:rsidP="00503912">
      <w:pPr>
        <w:widowControl w:val="0"/>
        <w:tabs>
          <w:tab w:val="left" w:pos="426"/>
        </w:tabs>
        <w:autoSpaceDE w:val="0"/>
        <w:autoSpaceDN w:val="0"/>
        <w:spacing w:after="0" w:line="240" w:lineRule="auto"/>
        <w:ind w:left="425" w:hanging="425"/>
        <w:jc w:val="both"/>
        <w:rPr>
          <w:rFonts w:eastAsia="Arial" w:cs="Calibri"/>
          <w:i/>
          <w:sz w:val="18"/>
          <w:szCs w:val="18"/>
          <w:lang w:eastAsia="pt-PT" w:bidi="pt-PT"/>
        </w:rPr>
      </w:pPr>
      <w:r w:rsidRPr="004B5630">
        <w:rPr>
          <w:rStyle w:val="Refdenotaderodap"/>
          <w:rFonts w:cs="Calibri"/>
          <w:sz w:val="18"/>
          <w:szCs w:val="18"/>
        </w:rPr>
        <w:footnoteRef/>
      </w:r>
      <w:r w:rsidRPr="004B5630">
        <w:rPr>
          <w:rFonts w:cs="Calibri"/>
          <w:sz w:val="18"/>
          <w:szCs w:val="18"/>
        </w:rPr>
        <w:t xml:space="preserve"> </w:t>
      </w:r>
      <w:r w:rsidRPr="004B5630">
        <w:rPr>
          <w:rFonts w:cs="Calibri"/>
          <w:sz w:val="18"/>
          <w:szCs w:val="18"/>
        </w:rPr>
        <w:tab/>
        <w:t xml:space="preserve">Por exemplo: </w:t>
      </w:r>
      <w:r w:rsidRPr="004B5630">
        <w:rPr>
          <w:rFonts w:eastAsia="Times New Roman" w:cs="Calibri"/>
          <w:sz w:val="18"/>
          <w:szCs w:val="18"/>
          <w:lang w:eastAsia="pt-PT"/>
        </w:rPr>
        <w:t>CC ANCIPA (hortofrutícolas)/ SETAAB – BTE 18/2019 (cl.25º,3).</w:t>
      </w:r>
    </w:p>
  </w:footnote>
  <w:footnote w:id="390">
    <w:p w14:paraId="44723908" w14:textId="0A32150C" w:rsidR="004B7DBA" w:rsidRPr="004B5630" w:rsidRDefault="004B7DBA" w:rsidP="00503912">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cs="Calibri"/>
          <w:sz w:val="18"/>
          <w:szCs w:val="18"/>
        </w:rPr>
        <w:t>CC ANCIPA (batata frita)/ SETAAB – BTE 18/2019 (cl.24ª, 4 e 5 ).</w:t>
      </w:r>
    </w:p>
  </w:footnote>
  <w:footnote w:id="391">
    <w:p w14:paraId="6D02CE7B" w14:textId="15BBB9C6" w:rsidR="004B7DBA" w:rsidRPr="004B5630" w:rsidRDefault="004B7DBA" w:rsidP="00503912">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cs="Calibri"/>
          <w:sz w:val="18"/>
          <w:szCs w:val="18"/>
        </w:rPr>
        <w:t xml:space="preserve">CC ACISTDS/CESP – BTE 13/2019 </w:t>
      </w:r>
      <w:r w:rsidRPr="004B5630">
        <w:rPr>
          <w:sz w:val="18"/>
          <w:szCs w:val="18"/>
        </w:rPr>
        <w:t xml:space="preserve">(cl. 32ª,3), entende-se por casos de força maior, calamidades, incendio, roubo, acidentes. </w:t>
      </w:r>
    </w:p>
  </w:footnote>
  <w:footnote w:id="392">
    <w:p w14:paraId="1FB8438A" w14:textId="2F8A25CB" w:rsidR="004B7DBA" w:rsidRPr="004B5630" w:rsidRDefault="004B7DBA" w:rsidP="00503912">
      <w:pPr>
        <w:tabs>
          <w:tab w:val="left" w:pos="426"/>
        </w:tabs>
        <w:spacing w:after="0" w:line="240" w:lineRule="auto"/>
        <w:ind w:left="425" w:hanging="425"/>
        <w:jc w:val="both"/>
        <w:rPr>
          <w:rFonts w:eastAsia="Times New Roman" w:cs="Calibri"/>
          <w:sz w:val="18"/>
          <w:szCs w:val="18"/>
          <w:lang w:eastAsia="pt-PT"/>
        </w:rPr>
      </w:pPr>
      <w:r w:rsidRPr="004B5630">
        <w:rPr>
          <w:rStyle w:val="Refdenotaderodap"/>
          <w:color w:val="002060"/>
          <w:sz w:val="18"/>
          <w:szCs w:val="18"/>
        </w:rPr>
        <w:footnoteRef/>
      </w:r>
      <w:r w:rsidRPr="004B5630">
        <w:rPr>
          <w:color w:val="002060"/>
          <w:sz w:val="18"/>
          <w:szCs w:val="18"/>
          <w:vertAlign w:val="superscript"/>
        </w:rPr>
        <w:t xml:space="preserve"> </w:t>
      </w:r>
      <w:r w:rsidRPr="004B5630">
        <w:rPr>
          <w:color w:val="002060"/>
          <w:sz w:val="18"/>
          <w:szCs w:val="18"/>
        </w:rPr>
        <w:t xml:space="preserve">  </w:t>
      </w:r>
      <w:r w:rsidRPr="004B5630">
        <w:rPr>
          <w:color w:val="002060"/>
          <w:sz w:val="18"/>
          <w:szCs w:val="18"/>
        </w:rPr>
        <w:tab/>
      </w:r>
      <w:r w:rsidRPr="004B5630">
        <w:rPr>
          <w:rFonts w:eastAsia="Calibri"/>
          <w:sz w:val="18"/>
          <w:szCs w:val="18"/>
        </w:rPr>
        <w:t xml:space="preserve">Por exemplo: </w:t>
      </w:r>
      <w:r w:rsidRPr="004B5630">
        <w:rPr>
          <w:rFonts w:eastAsia="Times New Roman" w:cs="Calibri"/>
          <w:sz w:val="18"/>
          <w:szCs w:val="18"/>
          <w:lang w:eastAsia="pt-PT"/>
        </w:rPr>
        <w:t>CC GROQUIFAR-Farmacêuticos/ FIEQUIMETAL - BTE 19/2019 (cl.52ª).</w:t>
      </w:r>
    </w:p>
  </w:footnote>
  <w:footnote w:id="393">
    <w:p w14:paraId="7B03CC89" w14:textId="5BC53B59" w:rsidR="004B7DBA" w:rsidRPr="004B5630" w:rsidRDefault="004B7DBA" w:rsidP="00503912">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 xml:space="preserve"> </w:t>
      </w:r>
      <w:r w:rsidRPr="004B5630">
        <w:rPr>
          <w:sz w:val="18"/>
          <w:szCs w:val="18"/>
        </w:rPr>
        <w:tab/>
        <w:t xml:space="preserve">Por exemplo: considerando que a </w:t>
      </w:r>
      <w:r w:rsidRPr="004B5630">
        <w:rPr>
          <w:rFonts w:cs="Calibri"/>
          <w:sz w:val="18"/>
          <w:szCs w:val="18"/>
        </w:rPr>
        <w:t>remuneração mensal compreende a remuneração de base e todas as outras prestações periódicas</w:t>
      </w:r>
      <w:r w:rsidRPr="004B5630">
        <w:rPr>
          <w:sz w:val="18"/>
          <w:szCs w:val="18"/>
        </w:rPr>
        <w:t xml:space="preserve">, </w:t>
      </w:r>
      <w:r w:rsidRPr="004B5630">
        <w:rPr>
          <w:rFonts w:cs="Calibri"/>
          <w:sz w:val="18"/>
          <w:szCs w:val="18"/>
        </w:rPr>
        <w:t>CC ANCIPA (batata frita)/ SETAAB – BTE 18/2019 (cls.30ª e 33ª) e CC ANCIPA(hortofrutícolas)/ FESAHT – BTE 22/2019 (cls.28ª,31ª e 32ª )</w:t>
      </w:r>
    </w:p>
  </w:footnote>
  <w:footnote w:id="394">
    <w:p w14:paraId="5BCAA7F1" w14:textId="0D6CD21C" w:rsidR="004B7DBA" w:rsidRPr="004B5630" w:rsidRDefault="004B7DBA" w:rsidP="00503912">
      <w:pPr>
        <w:pStyle w:val="Textodenotaderodap"/>
        <w:tabs>
          <w:tab w:val="left" w:pos="426"/>
          <w:tab w:val="left" w:pos="708"/>
          <w:tab w:val="left" w:pos="1416"/>
          <w:tab w:val="left" w:pos="2124"/>
          <w:tab w:val="left" w:pos="2832"/>
          <w:tab w:val="left" w:pos="3540"/>
          <w:tab w:val="center" w:pos="4039"/>
        </w:tabs>
        <w:ind w:left="425" w:hanging="425"/>
        <w:rPr>
          <w:sz w:val="18"/>
          <w:szCs w:val="18"/>
        </w:rPr>
      </w:pPr>
      <w:r w:rsidRPr="004B5630">
        <w:rPr>
          <w:rStyle w:val="Refdenotaderodap"/>
          <w:sz w:val="18"/>
          <w:szCs w:val="18"/>
        </w:rPr>
        <w:footnoteRef/>
      </w:r>
      <w:r w:rsidRPr="004B5630">
        <w:rPr>
          <w:rStyle w:val="Refdenotaderodap"/>
          <w:sz w:val="18"/>
          <w:szCs w:val="18"/>
          <w:vertAlign w:val="baseline"/>
        </w:rPr>
        <w:t xml:space="preserve"> </w:t>
      </w:r>
      <w:r w:rsidRPr="004B5630">
        <w:rPr>
          <w:sz w:val="18"/>
          <w:szCs w:val="18"/>
        </w:rPr>
        <w:t xml:space="preserve"> </w:t>
      </w:r>
      <w:r w:rsidRPr="004B5630">
        <w:rPr>
          <w:sz w:val="18"/>
          <w:szCs w:val="18"/>
        </w:rPr>
        <w:tab/>
        <w:t>A amplitude dos valores praticados vem sendo acompanhada desde o Relatório do CRL sobre a Lei n.º 23/2012 (que analisa o universo de</w:t>
      </w:r>
      <w:r w:rsidRPr="004B5630">
        <w:rPr>
          <w:bCs/>
          <w:sz w:val="18"/>
          <w:szCs w:val="18"/>
        </w:rPr>
        <w:t xml:space="preserve"> IRCT publicados no período de agosto/2012 a dezembro/2014) </w:t>
      </w:r>
      <w:r w:rsidRPr="004B5630">
        <w:rPr>
          <w:sz w:val="18"/>
          <w:szCs w:val="18"/>
        </w:rPr>
        <w:t xml:space="preserve">e no âmbito dos relatórios anuais anteriores sobre a evolução da negociação coletiva. </w:t>
      </w:r>
    </w:p>
  </w:footnote>
  <w:footnote w:id="395">
    <w:p w14:paraId="0899B247" w14:textId="338AD4FB" w:rsidR="004B7DBA" w:rsidRPr="004B5630" w:rsidRDefault="004B7DBA" w:rsidP="009C5504">
      <w:pPr>
        <w:pStyle w:val="Textodenotaderodap"/>
        <w:tabs>
          <w:tab w:val="left" w:pos="426"/>
          <w:tab w:val="left" w:pos="708"/>
          <w:tab w:val="left" w:pos="1416"/>
          <w:tab w:val="left" w:pos="2124"/>
          <w:tab w:val="left" w:pos="2832"/>
          <w:tab w:val="left" w:pos="3540"/>
          <w:tab w:val="center" w:pos="4039"/>
        </w:tabs>
        <w:ind w:left="425" w:hanging="425"/>
        <w:rPr>
          <w:rStyle w:val="Refdenotaderodap"/>
          <w:sz w:val="18"/>
          <w:szCs w:val="18"/>
          <w:vertAlign w:val="baseline"/>
        </w:rPr>
      </w:pPr>
      <w:r w:rsidRPr="004B5630">
        <w:rPr>
          <w:rStyle w:val="Refdenotaderodap"/>
          <w:sz w:val="18"/>
          <w:szCs w:val="18"/>
        </w:rPr>
        <w:footnoteRef/>
      </w:r>
      <w:r w:rsidRPr="004B5630">
        <w:rPr>
          <w:rStyle w:val="Refdenotaderodap"/>
          <w:sz w:val="18"/>
          <w:szCs w:val="18"/>
        </w:rPr>
        <w:t xml:space="preserve"> </w:t>
      </w:r>
      <w:r w:rsidRPr="004B5630">
        <w:rPr>
          <w:sz w:val="18"/>
          <w:szCs w:val="18"/>
        </w:rPr>
        <w:tab/>
        <w:t>Existe um outro nível de complexidade, que não analisamos, e se prende com a falta de uniformidade no cômputo da base de cálculo destes acréscimos.</w:t>
      </w:r>
    </w:p>
  </w:footnote>
  <w:footnote w:id="396">
    <w:p w14:paraId="0B590C96" w14:textId="1C174B53" w:rsidR="004B7DBA" w:rsidRPr="004B5630" w:rsidRDefault="004B7DBA" w:rsidP="009C5504">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t>Por exemplo,</w:t>
      </w:r>
      <w:r w:rsidRPr="004B5630">
        <w:rPr>
          <w:rFonts w:eastAsia="Times New Roman" w:cs="Calibri"/>
          <w:sz w:val="18"/>
          <w:szCs w:val="18"/>
          <w:lang w:eastAsia="pt-PT"/>
        </w:rPr>
        <w:t xml:space="preserve"> CC ACIBARCELOS/ SITSECCVAC - BTE 27/2019 (cl. 14ª)</w:t>
      </w:r>
      <w:r w:rsidRPr="004B5630">
        <w:rPr>
          <w:sz w:val="18"/>
          <w:szCs w:val="18"/>
        </w:rPr>
        <w:t xml:space="preserve"> e </w:t>
      </w:r>
      <w:r w:rsidRPr="004B5630">
        <w:rPr>
          <w:rFonts w:eastAsia="Times New Roman" w:cs="Calibri"/>
          <w:sz w:val="18"/>
          <w:szCs w:val="18"/>
          <w:lang w:eastAsia="pt-PT"/>
        </w:rPr>
        <w:t>CC AABA/SETAAB – BTE 11/2019 (cl.40ª).</w:t>
      </w:r>
    </w:p>
  </w:footnote>
  <w:footnote w:id="397">
    <w:p w14:paraId="72449235" w14:textId="1C03B4E0" w:rsidR="004B7DBA" w:rsidRPr="004B5630" w:rsidRDefault="004B7DBA" w:rsidP="009C5504">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t>Por exemplo, CC ANIECA/FECTRANS –</w:t>
      </w:r>
      <w:r w:rsidRPr="004B5630">
        <w:rPr>
          <w:rFonts w:eastAsia="Times New Roman" w:cs="Calibri"/>
          <w:sz w:val="18"/>
          <w:szCs w:val="18"/>
          <w:lang w:eastAsia="pt-PT"/>
        </w:rPr>
        <w:t>– BTE 13/2019 (</w:t>
      </w:r>
      <w:r w:rsidRPr="004B5630">
        <w:rPr>
          <w:sz w:val="18"/>
          <w:szCs w:val="18"/>
        </w:rPr>
        <w:t xml:space="preserve">cls. 43ª e 44ª);  e </w:t>
      </w:r>
      <w:r w:rsidRPr="004B5630">
        <w:rPr>
          <w:rFonts w:eastAsia="Times New Roman" w:cs="Calibri"/>
          <w:sz w:val="18"/>
          <w:szCs w:val="18"/>
          <w:lang w:eastAsia="pt-PT"/>
        </w:rPr>
        <w:t xml:space="preserve">CC ANORECA/FECTRANS – BTE 17/2019 (cl.44ª), preservando os valores fixados em </w:t>
      </w:r>
      <w:r w:rsidRPr="004B5630">
        <w:rPr>
          <w:sz w:val="18"/>
          <w:szCs w:val="18"/>
        </w:rPr>
        <w:t xml:space="preserve">CC ANIECA/FECTRANS – BTE 10/2018 e BTE 13/2018, </w:t>
      </w:r>
      <w:r w:rsidRPr="004B5630">
        <w:rPr>
          <w:rFonts w:eastAsia="Times New Roman" w:cs="Calibri"/>
          <w:sz w:val="18"/>
          <w:szCs w:val="18"/>
          <w:lang w:eastAsia="pt-PT"/>
        </w:rPr>
        <w:t>respetivamente.</w:t>
      </w:r>
    </w:p>
  </w:footnote>
  <w:footnote w:id="398">
    <w:p w14:paraId="4BA9F28A" w14:textId="1C61BDA5" w:rsidR="004B7DBA" w:rsidRPr="004B5630" w:rsidRDefault="004B7DBA" w:rsidP="009C5504">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t xml:space="preserve">Por exemplo, </w:t>
      </w:r>
      <w:r w:rsidRPr="004B5630">
        <w:rPr>
          <w:rFonts w:eastAsia="Times New Roman" w:cs="Calibri"/>
          <w:sz w:val="18"/>
          <w:szCs w:val="18"/>
          <w:lang w:eastAsia="pt-PT"/>
        </w:rPr>
        <w:t>AC LUSITÂNIA/ SINAPSA - BTE 21/2019 (cl.</w:t>
      </w:r>
      <w:r w:rsidRPr="004B5630">
        <w:rPr>
          <w:rFonts w:cs="Calibri"/>
          <w:sz w:val="18"/>
          <w:szCs w:val="18"/>
        </w:rPr>
        <w:t xml:space="preserve"> 21</w:t>
      </w:r>
      <w:r w:rsidRPr="004B5630">
        <w:rPr>
          <w:rFonts w:eastAsia="Times New Roman" w:cs="Calibri"/>
          <w:sz w:val="18"/>
          <w:szCs w:val="18"/>
          <w:lang w:eastAsia="pt-PT"/>
        </w:rPr>
        <w:t>ª); AE Parques de Sintra/SINTAP – BTE 35/2019 (cl.</w:t>
      </w:r>
      <w:r w:rsidRPr="004B5630">
        <w:rPr>
          <w:rFonts w:cs="Calibri"/>
          <w:sz w:val="18"/>
          <w:szCs w:val="18"/>
        </w:rPr>
        <w:t xml:space="preserve"> ª36</w:t>
      </w:r>
      <w:r w:rsidRPr="004B5630">
        <w:rPr>
          <w:rFonts w:eastAsia="Times New Roman" w:cs="Calibri"/>
          <w:sz w:val="18"/>
          <w:szCs w:val="18"/>
          <w:lang w:eastAsia="pt-PT"/>
        </w:rPr>
        <w:t>);CC GROQUIFAR-Farmacêuticos/COFESINT - BTE 21/2019 (cl.); CC GROQUIFAR-Farmacêuticos/ FIEQUIMETAL - BTE 19/2019 (cl.52).</w:t>
      </w:r>
    </w:p>
  </w:footnote>
  <w:footnote w:id="399">
    <w:p w14:paraId="51CA7891" w14:textId="758B1E76" w:rsidR="004B7DBA" w:rsidRPr="004B5630" w:rsidRDefault="004B7DBA" w:rsidP="009C5504">
      <w:pPr>
        <w:tabs>
          <w:tab w:val="left" w:pos="426"/>
        </w:tabs>
        <w:spacing w:after="0" w:line="240" w:lineRule="auto"/>
        <w:ind w:left="425" w:hanging="425"/>
        <w:jc w:val="both"/>
        <w:rPr>
          <w:rFonts w:eastAsia="Times New Roman" w:cs="Calibri"/>
          <w:color w:val="002060"/>
          <w:sz w:val="18"/>
          <w:szCs w:val="18"/>
          <w:lang w:eastAsia="pt-PT"/>
        </w:rPr>
      </w:pPr>
      <w:r w:rsidRPr="004B5630">
        <w:rPr>
          <w:rStyle w:val="Refdenotaderodap"/>
          <w:sz w:val="18"/>
          <w:szCs w:val="18"/>
        </w:rPr>
        <w:footnoteRef/>
      </w:r>
      <w:r w:rsidRPr="004B5630">
        <w:rPr>
          <w:rStyle w:val="Refdenotaderodap"/>
          <w:sz w:val="18"/>
          <w:szCs w:val="18"/>
          <w:vertAlign w:val="baseline"/>
        </w:rPr>
        <w:t xml:space="preserve"> </w:t>
      </w:r>
      <w:r w:rsidRPr="004B5630">
        <w:rPr>
          <w:sz w:val="18"/>
          <w:szCs w:val="18"/>
        </w:rPr>
        <w:tab/>
        <w:t xml:space="preserve">Fixando valores acima dos mínimos anteriores a 2012 para dia útil, de descanso e feriado, por exemplo: os  </w:t>
      </w:r>
      <w:r w:rsidRPr="004B5630">
        <w:rPr>
          <w:rFonts w:eastAsia="Times New Roman" w:cs="Calibri"/>
          <w:sz w:val="18"/>
          <w:szCs w:val="18"/>
          <w:lang w:eastAsia="pt-PT"/>
        </w:rPr>
        <w:t xml:space="preserve">AE ViaPorto/STTAMP –  BTE 31/2019  (cl.55ª) e paralelo; AE Risto Rail Portugal/FESAHT - BTE 26/2019 (cl. 32ª e 40ª); AE PEFACO/FESAHT – BTE 6/2019;  AE SCOTTURB/SITRA -  BTE 35/2019 (cl.24ª), </w:t>
      </w:r>
      <w:r w:rsidRPr="004B5630">
        <w:rPr>
          <w:sz w:val="18"/>
          <w:szCs w:val="18"/>
        </w:rPr>
        <w:t>AE NAVIGATOR/CONFESINT – BTE 17/2019 (cl.63.ª) e paralelos</w:t>
      </w:r>
      <w:r w:rsidRPr="004B5630">
        <w:rPr>
          <w:rFonts w:eastAsia="Times New Roman" w:cs="Calibri"/>
          <w:sz w:val="18"/>
          <w:szCs w:val="18"/>
          <w:lang w:eastAsia="pt-PT"/>
        </w:rPr>
        <w:t>; AE ALMAMUSICA/SPGL – BTE 4/2019 (cl.40.º</w:t>
      </w:r>
      <w:r w:rsidRPr="004B5630">
        <w:rPr>
          <w:rFonts w:eastAsia="Times New Roman" w:cs="Calibri"/>
          <w:color w:val="002060"/>
          <w:sz w:val="18"/>
          <w:szCs w:val="18"/>
          <w:lang w:eastAsia="pt-PT"/>
        </w:rPr>
        <w:t>).</w:t>
      </w:r>
    </w:p>
  </w:footnote>
  <w:footnote w:id="400">
    <w:p w14:paraId="014C04FC" w14:textId="0F3A8E52" w:rsidR="004B7DBA" w:rsidRPr="006E6104" w:rsidRDefault="004B7DBA" w:rsidP="006E6104">
      <w:pPr>
        <w:pStyle w:val="Textodenotaderodap"/>
        <w:tabs>
          <w:tab w:val="left" w:pos="426"/>
        </w:tabs>
        <w:ind w:left="425" w:hanging="425"/>
        <w:rPr>
          <w:rFonts w:eastAsia="Arial" w:cstheme="minorHAnsi"/>
          <w:lang w:bidi="pt-PT"/>
        </w:rPr>
      </w:pPr>
      <w:r w:rsidRPr="004B5630">
        <w:rPr>
          <w:rStyle w:val="Refdenotaderodap"/>
        </w:rPr>
        <w:footnoteRef/>
      </w:r>
      <w:r w:rsidRPr="004B5630">
        <w:rPr>
          <w:vertAlign w:val="superscript"/>
        </w:rPr>
        <w:t xml:space="preserve"> </w:t>
      </w:r>
      <w:r w:rsidRPr="004B5630">
        <w:tab/>
      </w:r>
      <w:r w:rsidRPr="004B5630">
        <w:rPr>
          <w:rFonts w:eastAsia="Arial" w:cstheme="minorHAnsi"/>
          <w:sz w:val="18"/>
          <w:szCs w:val="18"/>
          <w:lang w:bidi="pt-PT"/>
        </w:rPr>
        <w:t>Há 9 em 91 convenções (10%) que remetem para a lei ou fixam os</w:t>
      </w:r>
      <w:r>
        <w:rPr>
          <w:rFonts w:eastAsia="Arial" w:cstheme="minorHAnsi"/>
          <w:sz w:val="18"/>
          <w:szCs w:val="18"/>
          <w:lang w:bidi="pt-PT"/>
        </w:rPr>
        <w:t xml:space="preserve"> </w:t>
      </w:r>
      <w:r w:rsidRPr="004B5630">
        <w:rPr>
          <w:rFonts w:eastAsia="Arial" w:cstheme="minorHAnsi"/>
          <w:sz w:val="18"/>
          <w:szCs w:val="18"/>
          <w:lang w:bidi="pt-PT"/>
        </w:rPr>
        <w:t>acréscimos remuneratórios legais  (25%;37,5%;50%).</w:t>
      </w:r>
      <w:r>
        <w:rPr>
          <w:rFonts w:eastAsia="Arial" w:cstheme="minorHAnsi"/>
          <w:sz w:val="18"/>
          <w:szCs w:val="18"/>
          <w:lang w:bidi="pt-PT"/>
        </w:rPr>
        <w:t xml:space="preserve"> Ver </w:t>
      </w:r>
      <w:r w:rsidRPr="006E6104">
        <w:rPr>
          <w:rFonts w:eastAsia="Arial" w:cstheme="minorHAnsi"/>
          <w:bCs/>
          <w:lang w:bidi="pt-PT"/>
        </w:rPr>
        <w:t xml:space="preserve">Anexo - Quadro </w:t>
      </w:r>
      <w:r w:rsidRPr="006E6104">
        <w:rPr>
          <w:rFonts w:eastAsia="Arial" w:cstheme="minorHAnsi"/>
          <w:bCs/>
          <w:lang w:bidi="pt-PT"/>
        </w:rPr>
        <w:fldChar w:fldCharType="begin"/>
      </w:r>
      <w:r w:rsidRPr="006E6104">
        <w:rPr>
          <w:rFonts w:eastAsia="Arial" w:cstheme="minorHAnsi"/>
          <w:bCs/>
          <w:lang w:bidi="pt-PT"/>
        </w:rPr>
        <w:instrText xml:space="preserve"> SEQ Anexo_-_Quadro \* ARABIC </w:instrText>
      </w:r>
      <w:r w:rsidRPr="006E6104">
        <w:rPr>
          <w:rFonts w:eastAsia="Arial" w:cstheme="minorHAnsi"/>
          <w:bCs/>
          <w:lang w:bidi="pt-PT"/>
        </w:rPr>
        <w:fldChar w:fldCharType="separate"/>
      </w:r>
      <w:r>
        <w:rPr>
          <w:rFonts w:eastAsia="Arial" w:cstheme="minorHAnsi"/>
          <w:b/>
          <w:noProof/>
          <w:lang w:bidi="pt-PT"/>
        </w:rPr>
        <w:t>Erro! Apenas o documento principal.</w:t>
      </w:r>
      <w:r w:rsidRPr="006E6104">
        <w:rPr>
          <w:rFonts w:eastAsia="Arial" w:cstheme="minorHAnsi"/>
          <w:lang w:bidi="pt-PT"/>
        </w:rPr>
        <w:fldChar w:fldCharType="end"/>
      </w:r>
      <w:r w:rsidRPr="006E6104">
        <w:rPr>
          <w:rFonts w:eastAsia="Arial" w:cstheme="minorHAnsi"/>
          <w:bCs/>
          <w:lang w:bidi="pt-PT"/>
        </w:rPr>
        <w:t xml:space="preserve"> - </w:t>
      </w:r>
      <w:r w:rsidRPr="006337CD">
        <w:rPr>
          <w:rFonts w:eastAsia="Arial" w:cstheme="minorHAnsi"/>
          <w:bCs/>
          <w:sz w:val="16"/>
          <w:szCs w:val="16"/>
          <w:lang w:bidi="pt-PT"/>
        </w:rPr>
        <w:t>TRABALHO SUPLEMENTAR</w:t>
      </w:r>
      <w:r w:rsidRPr="006E6104">
        <w:rPr>
          <w:rFonts w:eastAsia="Arial" w:cstheme="minorHAnsi"/>
          <w:bCs/>
          <w:lang w:bidi="pt-PT"/>
        </w:rPr>
        <w:t xml:space="preserve"> –</w:t>
      </w:r>
      <w:r>
        <w:rPr>
          <w:rFonts w:eastAsia="Arial" w:cstheme="minorHAnsi"/>
          <w:bCs/>
          <w:lang w:bidi="pt-PT"/>
        </w:rPr>
        <w:t xml:space="preserve"> </w:t>
      </w:r>
      <w:r w:rsidRPr="006E6104">
        <w:rPr>
          <w:rFonts w:eastAsia="Arial" w:cstheme="minorHAnsi"/>
          <w:lang w:bidi="pt-PT"/>
        </w:rPr>
        <w:t>Acréscimos Remuneratórios – 2019</w:t>
      </w:r>
    </w:p>
    <w:p w14:paraId="5F8023BF" w14:textId="161F9062" w:rsidR="004B7DBA" w:rsidRPr="004B5630" w:rsidRDefault="004B7DBA" w:rsidP="0031780F">
      <w:pPr>
        <w:pStyle w:val="Textodenotaderodap"/>
        <w:tabs>
          <w:tab w:val="left" w:pos="426"/>
        </w:tabs>
        <w:ind w:left="425" w:hanging="425"/>
        <w:rPr>
          <w:sz w:val="18"/>
          <w:szCs w:val="18"/>
        </w:rPr>
      </w:pPr>
    </w:p>
  </w:footnote>
  <w:footnote w:id="401">
    <w:p w14:paraId="51E844C1" w14:textId="5A6C86AC" w:rsidR="004B7DBA" w:rsidRPr="004B5630" w:rsidRDefault="004B7DBA" w:rsidP="0031780F">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cs="Calibri"/>
          <w:sz w:val="18"/>
          <w:szCs w:val="18"/>
        </w:rPr>
        <w:t>AC SUPER BOCK/FESAHT – BTE 7/2019 (cls.39ª e 40ª), reduz o acréscimo remuneratório do trabalho suplementar em dia de descanso semanal ou feriado de (+)150% para (+)120%; reduzindo igualmente, de 200% para 120%, o acréscimo remuneratório devido a trabalhador que preste trabalho suplementar em dia de descanso</w:t>
      </w:r>
      <w:r>
        <w:rPr>
          <w:rFonts w:cs="Calibri"/>
          <w:sz w:val="18"/>
          <w:szCs w:val="18"/>
        </w:rPr>
        <w:t xml:space="preserve"> </w:t>
      </w:r>
      <w:r w:rsidRPr="004B5630">
        <w:rPr>
          <w:rFonts w:cs="Calibri"/>
          <w:sz w:val="18"/>
          <w:szCs w:val="18"/>
        </w:rPr>
        <w:t>semanal obrigatório e que opte pela substituição do gozo do descanso compensatório por trabalho remunerado [ cfr. BTE: 4/2009 e  40/2006].</w:t>
      </w:r>
    </w:p>
  </w:footnote>
  <w:footnote w:id="402">
    <w:p w14:paraId="56A28F4E" w14:textId="6A99EAF1" w:rsidR="004B7DBA" w:rsidRPr="004B5630" w:rsidRDefault="004B7DBA" w:rsidP="001C54C8">
      <w:pPr>
        <w:tabs>
          <w:tab w:val="left" w:pos="426"/>
        </w:tabs>
        <w:spacing w:after="0" w:line="240" w:lineRule="auto"/>
        <w:ind w:left="425" w:hanging="425"/>
        <w:jc w:val="both"/>
        <w:rPr>
          <w:sz w:val="18"/>
          <w:szCs w:val="18"/>
        </w:rPr>
      </w:pPr>
      <w:r w:rsidRPr="004B5630">
        <w:rPr>
          <w:rStyle w:val="Refdenotaderodap"/>
          <w:rFonts w:cs="Calibri"/>
          <w:sz w:val="18"/>
          <w:szCs w:val="18"/>
        </w:rPr>
        <w:footnoteRef/>
      </w:r>
      <w:r w:rsidRPr="004B5630">
        <w:rPr>
          <w:sz w:val="18"/>
          <w:szCs w:val="18"/>
          <w:vertAlign w:val="superscript"/>
        </w:rPr>
        <w:t xml:space="preserve"> </w:t>
      </w:r>
      <w:r w:rsidRPr="004B5630">
        <w:rPr>
          <w:sz w:val="18"/>
          <w:szCs w:val="18"/>
        </w:rPr>
        <w:tab/>
      </w:r>
      <w:r w:rsidRPr="004B5630">
        <w:rPr>
          <w:rFonts w:cs="Calibri"/>
          <w:sz w:val="18"/>
          <w:szCs w:val="18"/>
        </w:rPr>
        <w:t xml:space="preserve">Por exemplo: </w:t>
      </w:r>
      <w:r w:rsidRPr="004B5630">
        <w:rPr>
          <w:rFonts w:eastAsia="Times New Roman" w:cs="Calibri"/>
          <w:sz w:val="18"/>
          <w:szCs w:val="18"/>
          <w:lang w:eastAsia="pt-PT"/>
        </w:rPr>
        <w:t>AE JI - O Baloiço/SINTAP – BTE 18/2019 (cl. 34.ª,6).</w:t>
      </w:r>
    </w:p>
  </w:footnote>
  <w:footnote w:id="403">
    <w:p w14:paraId="35609275" w14:textId="77B1EE84" w:rsidR="004B7DBA" w:rsidRPr="004B5630" w:rsidRDefault="004B7DBA" w:rsidP="001C54C8">
      <w:pPr>
        <w:tabs>
          <w:tab w:val="left" w:pos="426"/>
        </w:tabs>
        <w:spacing w:after="0" w:line="240" w:lineRule="auto"/>
        <w:ind w:left="425" w:hanging="425"/>
        <w:jc w:val="both"/>
        <w:rPr>
          <w:sz w:val="18"/>
          <w:szCs w:val="18"/>
        </w:rPr>
      </w:pPr>
      <w:r w:rsidRPr="004B5630">
        <w:rPr>
          <w:rStyle w:val="Refdenotaderodap"/>
          <w:sz w:val="18"/>
          <w:szCs w:val="18"/>
        </w:rPr>
        <w:footnoteRef/>
      </w:r>
      <w:r w:rsidRPr="004B5630">
        <w:rPr>
          <w:rStyle w:val="Refdenotaderodap"/>
          <w:sz w:val="18"/>
          <w:szCs w:val="18"/>
        </w:rPr>
        <w:t xml:space="preserve"> </w:t>
      </w:r>
      <w:r w:rsidRPr="004B5630">
        <w:rPr>
          <w:sz w:val="18"/>
          <w:szCs w:val="18"/>
        </w:rPr>
        <w:tab/>
        <w:t xml:space="preserve">Por exemplo: </w:t>
      </w:r>
      <w:r w:rsidRPr="004B5630">
        <w:rPr>
          <w:rFonts w:eastAsia="Times New Roman" w:cs="Calibri"/>
          <w:sz w:val="18"/>
          <w:szCs w:val="18"/>
          <w:lang w:eastAsia="pt-PT"/>
        </w:rPr>
        <w:t xml:space="preserve">AE CAIMA/SITESE - BTE 24/2019 </w:t>
      </w:r>
      <w:r w:rsidRPr="004B5630">
        <w:rPr>
          <w:sz w:val="18"/>
          <w:szCs w:val="18"/>
        </w:rPr>
        <w:t>(cl. 21ª, 4 e 5 e 24ª) [(=) AE CAIMA/FIEQUIMETAL – BTE 17/2018]; AE NAVIGATOR/CONFESINT – BTE 17/2019 (cl.37, 6.ª) e convenções paralelas</w:t>
      </w:r>
      <w:r w:rsidRPr="004B5630">
        <w:rPr>
          <w:rFonts w:eastAsia="Times New Roman" w:cs="Calibri"/>
          <w:sz w:val="18"/>
          <w:szCs w:val="18"/>
          <w:lang w:eastAsia="pt-PT"/>
        </w:rPr>
        <w:t>.</w:t>
      </w:r>
    </w:p>
  </w:footnote>
  <w:footnote w:id="404">
    <w:p w14:paraId="54DF544A" w14:textId="1DB658E6" w:rsidR="004B7DBA" w:rsidRPr="004B5630" w:rsidRDefault="004B7DBA" w:rsidP="001C54C8">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rStyle w:val="Refdenotaderodap"/>
          <w:sz w:val="18"/>
          <w:szCs w:val="18"/>
        </w:rPr>
        <w:t xml:space="preserve"> </w:t>
      </w:r>
      <w:r w:rsidRPr="004B5630">
        <w:rPr>
          <w:sz w:val="18"/>
          <w:szCs w:val="18"/>
        </w:rPr>
        <w:tab/>
        <w:t xml:space="preserve">Por exemplo: </w:t>
      </w:r>
      <w:r w:rsidRPr="004B5630">
        <w:rPr>
          <w:rFonts w:eastAsia="Times New Roman" w:cs="Calibri"/>
          <w:sz w:val="18"/>
          <w:szCs w:val="18"/>
          <w:lang w:eastAsia="pt-PT"/>
        </w:rPr>
        <w:t>AC BRISA/SETACCOP – BTE 36/2019 (cl.</w:t>
      </w:r>
      <w:r w:rsidRPr="004B5630">
        <w:rPr>
          <w:rFonts w:cs="Calibri"/>
          <w:sz w:val="18"/>
          <w:szCs w:val="18"/>
        </w:rPr>
        <w:t>27ª,7-9 e 11-13).</w:t>
      </w:r>
    </w:p>
  </w:footnote>
  <w:footnote w:id="405">
    <w:p w14:paraId="16B18728" w14:textId="4BC0490D" w:rsidR="004B7DBA" w:rsidRPr="004B5630" w:rsidRDefault="004B7DBA" w:rsidP="001C54C8">
      <w:pPr>
        <w:tabs>
          <w:tab w:val="left" w:pos="426"/>
        </w:tabs>
        <w:spacing w:after="0" w:line="240" w:lineRule="auto"/>
        <w:ind w:left="425" w:hanging="425"/>
        <w:jc w:val="both"/>
        <w:rPr>
          <w:rFonts w:cs="Calibri"/>
          <w:sz w:val="18"/>
          <w:szCs w:val="18"/>
        </w:rPr>
      </w:pPr>
      <w:r w:rsidRPr="004B5630">
        <w:rPr>
          <w:rStyle w:val="Refdenotaderodap"/>
          <w:rFonts w:cs="Calibri"/>
          <w:sz w:val="18"/>
          <w:szCs w:val="18"/>
        </w:rPr>
        <w:footnoteRef/>
      </w:r>
      <w:r w:rsidRPr="004B5630">
        <w:rPr>
          <w:sz w:val="18"/>
          <w:szCs w:val="18"/>
          <w:vertAlign w:val="superscript"/>
        </w:rPr>
        <w:t xml:space="preserve"> </w:t>
      </w:r>
      <w:r w:rsidRPr="004B5630">
        <w:rPr>
          <w:sz w:val="18"/>
          <w:szCs w:val="18"/>
        </w:rPr>
        <w:tab/>
      </w:r>
      <w:r w:rsidRPr="004B5630">
        <w:rPr>
          <w:rFonts w:cs="Calibri"/>
          <w:sz w:val="18"/>
          <w:szCs w:val="18"/>
        </w:rPr>
        <w:t xml:space="preserve">Por exemplo: </w:t>
      </w:r>
      <w:r w:rsidRPr="004B5630">
        <w:rPr>
          <w:rFonts w:eastAsia="Times New Roman" w:cs="Calibri"/>
          <w:sz w:val="18"/>
          <w:szCs w:val="18"/>
          <w:lang w:eastAsia="pt-PT"/>
        </w:rPr>
        <w:t xml:space="preserve">CC GROQUIFAR-Farmacêuticos/ FIEQUIMETAL - BTE 19/2019 (cl.52ª,) </w:t>
      </w:r>
      <w:r w:rsidRPr="004B5630">
        <w:rPr>
          <w:rFonts w:cs="Calibri"/>
          <w:sz w:val="18"/>
          <w:szCs w:val="18"/>
        </w:rPr>
        <w:t xml:space="preserve">trabalho suplementar em dia de semana diurno  (+) 50% e  noturno (+) 150% . O </w:t>
      </w:r>
      <w:r w:rsidRPr="004B5630">
        <w:rPr>
          <w:rFonts w:eastAsia="Times New Roman" w:cs="Calibri"/>
          <w:sz w:val="18"/>
          <w:szCs w:val="18"/>
          <w:lang w:eastAsia="pt-PT"/>
        </w:rPr>
        <w:t>CC ACISTDS/CESP – BTE 13/2019 (cl.32ª,33ª e 34ª)</w:t>
      </w:r>
      <w:r w:rsidRPr="004B5630">
        <w:rPr>
          <w:rFonts w:cs="Calibri"/>
          <w:sz w:val="18"/>
          <w:szCs w:val="18"/>
        </w:rPr>
        <w:t xml:space="preserve"> remunera o trabalho suplementar dia útil (+)100% e feriado (+) 150% (cl.33ª) e o trabalho noturno (+) 50% (cl.34ª).</w:t>
      </w:r>
    </w:p>
  </w:footnote>
  <w:footnote w:id="406">
    <w:p w14:paraId="339ACF11" w14:textId="5E608849" w:rsidR="004B7DBA" w:rsidRPr="004B5630" w:rsidRDefault="004B7DBA" w:rsidP="001C54C8">
      <w:pPr>
        <w:tabs>
          <w:tab w:val="left" w:pos="426"/>
        </w:tabs>
        <w:spacing w:after="0" w:line="240" w:lineRule="auto"/>
        <w:ind w:left="425" w:hanging="425"/>
        <w:jc w:val="both"/>
        <w:rPr>
          <w:rFonts w:eastAsia="Times New Roman" w:cs="Calibri"/>
          <w:sz w:val="18"/>
          <w:szCs w:val="18"/>
          <w:lang w:eastAsia="pt-PT"/>
        </w:rPr>
      </w:pPr>
      <w:r w:rsidRPr="004B5630">
        <w:rPr>
          <w:rStyle w:val="Refdenotaderodap"/>
          <w:rFonts w:cs="Calibri"/>
          <w:sz w:val="18"/>
          <w:szCs w:val="18"/>
        </w:rPr>
        <w:footnoteRef/>
      </w:r>
      <w:r w:rsidRPr="004B5630">
        <w:rPr>
          <w:sz w:val="18"/>
          <w:szCs w:val="18"/>
          <w:vertAlign w:val="superscript"/>
        </w:rPr>
        <w:t xml:space="preserve"> </w:t>
      </w:r>
      <w:r w:rsidRPr="004B5630">
        <w:rPr>
          <w:sz w:val="18"/>
          <w:szCs w:val="18"/>
        </w:rPr>
        <w:tab/>
        <w:t xml:space="preserve">Por exemplo: </w:t>
      </w:r>
      <w:r w:rsidRPr="004B5630">
        <w:rPr>
          <w:rFonts w:eastAsia="Times New Roman" w:cs="Calibri"/>
          <w:sz w:val="18"/>
          <w:szCs w:val="18"/>
          <w:lang w:eastAsia="pt-PT"/>
        </w:rPr>
        <w:t>AC OPERFOZ/SINPORFOZ – BTE 10/2019 (cl.</w:t>
      </w:r>
      <w:r w:rsidRPr="004B5630">
        <w:rPr>
          <w:sz w:val="18"/>
          <w:szCs w:val="18"/>
        </w:rPr>
        <w:t>30ª</w:t>
      </w:r>
      <w:r w:rsidRPr="004B5630">
        <w:rPr>
          <w:rFonts w:eastAsia="Times New Roman" w:cs="Calibri"/>
          <w:sz w:val="18"/>
          <w:szCs w:val="18"/>
          <w:lang w:eastAsia="pt-PT"/>
        </w:rPr>
        <w:t>); CC AOP/SNETTCM – BTE 34/2019 (cl.30ª).</w:t>
      </w:r>
    </w:p>
  </w:footnote>
  <w:footnote w:id="407">
    <w:p w14:paraId="54DD82DC" w14:textId="0D532159" w:rsidR="004B7DBA" w:rsidRPr="004B5630" w:rsidRDefault="004B7DBA" w:rsidP="001C54C8">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Em sentido diferente, o AE</w:t>
      </w:r>
      <w:r w:rsidRPr="004B5630">
        <w:rPr>
          <w:rFonts w:cs="Calibri"/>
          <w:sz w:val="18"/>
          <w:szCs w:val="18"/>
        </w:rPr>
        <w:t xml:space="preserve"> BMO PORTUGAL/ SNQTB – BTE 5/2019</w:t>
      </w:r>
      <w:r w:rsidRPr="004B5630">
        <w:rPr>
          <w:sz w:val="18"/>
          <w:szCs w:val="18"/>
        </w:rPr>
        <w:t xml:space="preserve"> (cl.33ª,1), considera direito dos trabalhadores estudantes a adoção de horários flexíveis, que permita a frequência das aulas.</w:t>
      </w:r>
    </w:p>
  </w:footnote>
  <w:footnote w:id="408">
    <w:p w14:paraId="50F21B0C" w14:textId="5D370AD6" w:rsidR="004B7DBA" w:rsidRPr="004B5630" w:rsidRDefault="004B7DBA" w:rsidP="0068539B">
      <w:pPr>
        <w:pStyle w:val="Textodenotaderodap"/>
        <w:tabs>
          <w:tab w:val="left" w:pos="426"/>
        </w:tabs>
        <w:ind w:left="426" w:right="-1" w:hanging="426"/>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Cfr </w:t>
      </w:r>
      <w:r w:rsidRPr="004B5630">
        <w:rPr>
          <w:i/>
          <w:sz w:val="18"/>
          <w:szCs w:val="18"/>
        </w:rPr>
        <w:t>supra</w:t>
      </w:r>
      <w:r w:rsidRPr="004B5630">
        <w:rPr>
          <w:sz w:val="18"/>
          <w:szCs w:val="18"/>
        </w:rPr>
        <w:t xml:space="preserve"> </w:t>
      </w:r>
      <w:r w:rsidRPr="004B5630">
        <w:rPr>
          <w:rFonts w:cstheme="minorHAnsi"/>
          <w:i/>
          <w:sz w:val="18"/>
          <w:szCs w:val="18"/>
        </w:rPr>
        <w:t xml:space="preserve">4.4  </w:t>
      </w:r>
      <w:r w:rsidRPr="004B5630">
        <w:rPr>
          <w:sz w:val="18"/>
          <w:szCs w:val="18"/>
        </w:rPr>
        <w:t xml:space="preserve"> sobre a redução do numero de revisões globais e  crescimento de revisões parciais.</w:t>
      </w:r>
    </w:p>
  </w:footnote>
  <w:footnote w:id="409">
    <w:p w14:paraId="3759FD82" w14:textId="45553BF7" w:rsidR="004B7DBA" w:rsidRPr="004B5630" w:rsidRDefault="004B7DBA" w:rsidP="008F57AA">
      <w:pPr>
        <w:pStyle w:val="Textodenotaderodap"/>
        <w:tabs>
          <w:tab w:val="left" w:pos="426"/>
        </w:tabs>
        <w:ind w:left="426" w:right="-1" w:hanging="426"/>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cs="Calibri"/>
          <w:sz w:val="18"/>
          <w:szCs w:val="18"/>
        </w:rPr>
        <w:t>AE INATEL/SINTAP– BTE 6/2019 (cl. 29ª,1, b)) e paralelos.</w:t>
      </w:r>
    </w:p>
  </w:footnote>
  <w:footnote w:id="410">
    <w:p w14:paraId="125F2B56" w14:textId="11DD536B" w:rsidR="004B7DBA" w:rsidRPr="004B5630" w:rsidRDefault="004B7DBA" w:rsidP="008F57AA">
      <w:pPr>
        <w:pStyle w:val="Textodenotaderodap"/>
        <w:tabs>
          <w:tab w:val="left" w:pos="426"/>
        </w:tabs>
        <w:ind w:left="426" w:right="-1" w:hanging="426"/>
        <w:rPr>
          <w:sz w:val="18"/>
          <w:szCs w:val="18"/>
        </w:rPr>
      </w:pPr>
      <w:r w:rsidRPr="004B5630">
        <w:rPr>
          <w:rStyle w:val="Refdenotaderodap"/>
          <w:sz w:val="18"/>
          <w:szCs w:val="18"/>
        </w:rPr>
        <w:footnoteRef/>
      </w:r>
      <w:r w:rsidRPr="004B5630">
        <w:rPr>
          <w:sz w:val="18"/>
          <w:szCs w:val="18"/>
          <w:lang w:val="en-US"/>
        </w:rPr>
        <w:t xml:space="preserve">  </w:t>
      </w:r>
      <w:r w:rsidRPr="004B5630">
        <w:rPr>
          <w:sz w:val="18"/>
          <w:szCs w:val="18"/>
          <w:lang w:val="en-US"/>
        </w:rPr>
        <w:tab/>
      </w:r>
      <w:r w:rsidRPr="004B5630">
        <w:rPr>
          <w:rFonts w:cs="Calibri"/>
          <w:sz w:val="18"/>
          <w:szCs w:val="18"/>
          <w:lang w:val="en-US"/>
        </w:rPr>
        <w:t xml:space="preserve">AE SCOTTURB/SITRA -– BTE 35/2019 (cl. </w:t>
      </w:r>
      <w:r w:rsidRPr="004B5630">
        <w:rPr>
          <w:rFonts w:cs="Calibri"/>
          <w:sz w:val="18"/>
          <w:szCs w:val="18"/>
        </w:rPr>
        <w:t>Anexo V, 2ª).</w:t>
      </w:r>
    </w:p>
  </w:footnote>
  <w:footnote w:id="411">
    <w:p w14:paraId="680E442D" w14:textId="21827B19" w:rsidR="004B7DBA" w:rsidRPr="004B5630" w:rsidRDefault="004B7DBA" w:rsidP="008F57AA">
      <w:pPr>
        <w:tabs>
          <w:tab w:val="left" w:pos="426"/>
        </w:tabs>
        <w:spacing w:after="0" w:line="240" w:lineRule="auto"/>
        <w:ind w:left="426" w:right="-1" w:hanging="426"/>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t xml:space="preserve">Por exemplo, </w:t>
      </w:r>
      <w:r w:rsidRPr="004B5630">
        <w:rPr>
          <w:rFonts w:eastAsia="Times New Roman" w:cs="Calibri"/>
          <w:sz w:val="18"/>
          <w:szCs w:val="18"/>
          <w:lang w:eastAsia="pt-PT"/>
        </w:rPr>
        <w:t>AC Fidelidade / SINAPSA e AE Seguradoras Unidas/SINAPSA – ambos BTE 5/2019 (cl.6ª) e16ª,2, b), respetivamente)</w:t>
      </w:r>
    </w:p>
  </w:footnote>
  <w:footnote w:id="412">
    <w:p w14:paraId="065A6C8F" w14:textId="50CCBBB5" w:rsidR="004B7DBA" w:rsidRPr="004B5630" w:rsidRDefault="004B7DBA" w:rsidP="008F57AA">
      <w:pPr>
        <w:pStyle w:val="Textodenotaderodap"/>
        <w:tabs>
          <w:tab w:val="left" w:pos="426"/>
        </w:tabs>
        <w:ind w:left="426" w:right="-1" w:hanging="426"/>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Por </w:t>
      </w:r>
      <w:r w:rsidRPr="004B5630">
        <w:rPr>
          <w:rFonts w:eastAsia="Calibri" w:cstheme="minorHAnsi"/>
          <w:sz w:val="18"/>
          <w:szCs w:val="18"/>
        </w:rPr>
        <w:t>exemplo</w:t>
      </w:r>
      <w:r w:rsidRPr="004B5630">
        <w:rPr>
          <w:sz w:val="18"/>
          <w:szCs w:val="18"/>
        </w:rPr>
        <w:t>, de segunda a sexta, entre as 7h e as 20h, com a possibilidade de trabalhar ao sábado e compensar na segunda seguinte, os CC ANIECA/FECTRANS –</w:t>
      </w:r>
      <w:r w:rsidRPr="004B5630">
        <w:rPr>
          <w:rFonts w:cs="Calibri"/>
          <w:sz w:val="18"/>
          <w:szCs w:val="18"/>
        </w:rPr>
        <w:t xml:space="preserve"> BTE 13/2019  e ANORECA/FECTRANS – BTE 17/2019 (ambos cl.24ª)</w:t>
      </w:r>
      <w:r w:rsidRPr="004B5630">
        <w:rPr>
          <w:sz w:val="18"/>
          <w:szCs w:val="18"/>
        </w:rPr>
        <w:t xml:space="preserve"> [ (=) BTE  10/2018 e  13/2018, respetivamente] </w:t>
      </w:r>
    </w:p>
  </w:footnote>
  <w:footnote w:id="413">
    <w:p w14:paraId="5603673D" w14:textId="5F0628D9" w:rsidR="004B7DBA" w:rsidRPr="004B5630" w:rsidRDefault="004B7DBA" w:rsidP="008F57AA">
      <w:pPr>
        <w:pStyle w:val="Textodenotaderodap"/>
        <w:tabs>
          <w:tab w:val="left" w:pos="426"/>
        </w:tabs>
        <w:ind w:left="426" w:right="-1" w:hanging="426"/>
        <w:rPr>
          <w:rStyle w:val="Refdenotaderodap"/>
          <w:sz w:val="18"/>
          <w:szCs w:val="18"/>
          <w:vertAlign w:val="baseline"/>
        </w:rPr>
      </w:pPr>
      <w:r w:rsidRPr="004B5630">
        <w:rPr>
          <w:rStyle w:val="Refdenotaderodap"/>
          <w:sz w:val="18"/>
          <w:szCs w:val="18"/>
        </w:rPr>
        <w:footnoteRef/>
      </w:r>
      <w:r w:rsidRPr="004B5630">
        <w:rPr>
          <w:rStyle w:val="Refdenotaderodap"/>
          <w:sz w:val="18"/>
          <w:szCs w:val="18"/>
          <w:vertAlign w:val="baseline"/>
        </w:rPr>
        <w:t xml:space="preserve">  </w:t>
      </w:r>
      <w:r w:rsidRPr="004B5630">
        <w:rPr>
          <w:sz w:val="18"/>
          <w:szCs w:val="18"/>
        </w:rPr>
        <w:tab/>
      </w:r>
      <w:r w:rsidRPr="004B5630">
        <w:rPr>
          <w:rStyle w:val="Refdenotaderodap"/>
          <w:sz w:val="18"/>
          <w:szCs w:val="18"/>
          <w:vertAlign w:val="baseline"/>
        </w:rPr>
        <w:t>AE INATEL/SINTAP  –  BTE 6/2019 (cl. 21ª,1,b)) e paralelos</w:t>
      </w:r>
      <w:r w:rsidRPr="004B5630">
        <w:rPr>
          <w:sz w:val="18"/>
          <w:szCs w:val="18"/>
        </w:rPr>
        <w:t>.</w:t>
      </w:r>
    </w:p>
  </w:footnote>
  <w:footnote w:id="414">
    <w:p w14:paraId="5B9C7F54" w14:textId="6AB197C9" w:rsidR="004B7DBA" w:rsidRPr="004B5630" w:rsidRDefault="004B7DBA" w:rsidP="008F57AA">
      <w:pPr>
        <w:tabs>
          <w:tab w:val="left" w:pos="426"/>
        </w:tabs>
        <w:spacing w:after="0" w:line="240" w:lineRule="auto"/>
        <w:ind w:left="426" w:right="-1" w:hanging="426"/>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AE AIG EUROPE/STAS – BTE 17/2019 (cl.21ª)</w:t>
      </w:r>
      <w:r w:rsidRPr="004B5630">
        <w:rPr>
          <w:sz w:val="18"/>
          <w:szCs w:val="18"/>
        </w:rPr>
        <w:t>.</w:t>
      </w:r>
    </w:p>
  </w:footnote>
  <w:footnote w:id="415">
    <w:p w14:paraId="1DCD9023" w14:textId="10F9CF0F" w:rsidR="004B7DBA" w:rsidRPr="004B5630" w:rsidRDefault="004B7DBA" w:rsidP="008F57AA">
      <w:pPr>
        <w:tabs>
          <w:tab w:val="left" w:pos="426"/>
        </w:tabs>
        <w:spacing w:after="0" w:line="240" w:lineRule="auto"/>
        <w:ind w:left="426" w:right="-1" w:hanging="426"/>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 xml:space="preserve">  </w:t>
      </w:r>
      <w:r w:rsidRPr="004B5630">
        <w:rPr>
          <w:sz w:val="18"/>
          <w:szCs w:val="18"/>
        </w:rPr>
        <w:tab/>
      </w:r>
      <w:r w:rsidRPr="004B5630">
        <w:rPr>
          <w:rFonts w:eastAsia="Times New Roman" w:cs="Calibri"/>
          <w:sz w:val="18"/>
          <w:szCs w:val="18"/>
          <w:lang w:eastAsia="pt-PT"/>
        </w:rPr>
        <w:t>CC GROQUIFAR-Farmacêuticos/ FIEQUIMETAL - BTE 19/2019 (cl.20ª) e AE Parques de Sintra/SINTAP – BTE ; 35/2019 (cl.</w:t>
      </w:r>
      <w:r w:rsidRPr="004B5630">
        <w:rPr>
          <w:rFonts w:cs="Calibri"/>
          <w:sz w:val="18"/>
          <w:szCs w:val="18"/>
        </w:rPr>
        <w:t xml:space="preserve"> ª36</w:t>
      </w:r>
      <w:r w:rsidRPr="004B5630">
        <w:rPr>
          <w:rFonts w:eastAsia="Times New Roman" w:cs="Calibri"/>
          <w:sz w:val="18"/>
          <w:szCs w:val="18"/>
          <w:lang w:eastAsia="pt-PT"/>
        </w:rPr>
        <w:t>), admite as três  possibilidades compensação diária; semanal ou mensal.</w:t>
      </w:r>
    </w:p>
  </w:footnote>
  <w:footnote w:id="416">
    <w:p w14:paraId="721F414A" w14:textId="50646F8F" w:rsidR="004B7DBA" w:rsidRPr="004B5630" w:rsidRDefault="004B7DBA" w:rsidP="00336F1C">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cs="Calibri"/>
          <w:sz w:val="18"/>
          <w:szCs w:val="18"/>
        </w:rPr>
        <w:t>AC Indorama Portugal/COFESINT – BTE 31/2019 [cl.28.ª,1, e)].</w:t>
      </w:r>
    </w:p>
  </w:footnote>
  <w:footnote w:id="417">
    <w:p w14:paraId="3418A507" w14:textId="16B3011F" w:rsidR="004B7DBA" w:rsidRPr="004B5630" w:rsidRDefault="004B7DBA" w:rsidP="00B97F2B">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 xml:space="preserve">Admitem a transição para o mês seguinte dos saldos horários: o </w:t>
      </w:r>
      <w:r w:rsidRPr="004B5630">
        <w:rPr>
          <w:rFonts w:cs="Calibri"/>
          <w:sz w:val="18"/>
          <w:szCs w:val="18"/>
        </w:rPr>
        <w:t xml:space="preserve">AE SCOTTURB/SITRA -– BTE 35/2019 (cl. Anexo V,4ª), desde que não afete o normal funcionamento do serviço e no limite saldo de 8horas; e </w:t>
      </w:r>
      <w:r w:rsidRPr="004B5630">
        <w:rPr>
          <w:sz w:val="18"/>
          <w:szCs w:val="18"/>
        </w:rPr>
        <w:t xml:space="preserve">o </w:t>
      </w:r>
      <w:r w:rsidRPr="004B5630">
        <w:rPr>
          <w:rFonts w:cs="Calibri"/>
          <w:sz w:val="18"/>
          <w:szCs w:val="18"/>
        </w:rPr>
        <w:t xml:space="preserve">AE AHBV – ALGÉS/SNBP – BTE 36/2019 (cl.34ª, 5 e 6), concedendo um saldo de 8 horas, se for negativo, e 10horas, se for positivo, para além deste limite, o </w:t>
      </w:r>
      <w:r w:rsidRPr="004B5630">
        <w:rPr>
          <w:sz w:val="18"/>
          <w:szCs w:val="18"/>
        </w:rPr>
        <w:t xml:space="preserve">débito é  computado como falta injustificada e o saldo positivo será  anulado. </w:t>
      </w:r>
    </w:p>
  </w:footnote>
  <w:footnote w:id="418">
    <w:p w14:paraId="307FBBCF" w14:textId="2622C7A3" w:rsidR="004B7DBA" w:rsidRPr="004B5630" w:rsidRDefault="004B7DBA" w:rsidP="00B97F2B">
      <w:pPr>
        <w:tabs>
          <w:tab w:val="left" w:pos="426"/>
        </w:tabs>
        <w:spacing w:after="0" w:line="240" w:lineRule="auto"/>
        <w:ind w:left="425" w:hanging="425"/>
        <w:jc w:val="both"/>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 xml:space="preserve">Por exemplo, </w:t>
      </w:r>
      <w:r w:rsidRPr="004B5630">
        <w:rPr>
          <w:rFonts w:eastAsia="Times New Roman" w:cs="Calibri"/>
          <w:sz w:val="18"/>
          <w:szCs w:val="18"/>
          <w:lang w:eastAsia="pt-PT"/>
        </w:rPr>
        <w:t>AC Fidelidade / SINAPSA – BTE 5/2019 (cl. 6ª,1, c)); AE EMARP/STAL E EMARP/SINTAP –  ambos BTE 35/2019 (cl.42ª-A); AE Parques de Sintra/SINTAP – BTE 35/2019 (cl.32ª.).</w:t>
      </w:r>
    </w:p>
  </w:footnote>
  <w:footnote w:id="419">
    <w:p w14:paraId="2F54CBDE" w14:textId="058D110E" w:rsidR="004B7DBA" w:rsidRPr="004B5630" w:rsidRDefault="004B7DBA" w:rsidP="00B97F2B">
      <w:pPr>
        <w:tabs>
          <w:tab w:val="left" w:pos="426"/>
        </w:tabs>
        <w:spacing w:after="0" w:line="240" w:lineRule="auto"/>
        <w:ind w:left="425" w:hanging="425"/>
        <w:jc w:val="both"/>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O </w:t>
      </w:r>
      <w:r w:rsidRPr="004B5630">
        <w:rPr>
          <w:rFonts w:eastAsia="Times New Roman" w:cs="Calibri"/>
          <w:sz w:val="18"/>
          <w:szCs w:val="18"/>
          <w:lang w:eastAsia="pt-PT"/>
        </w:rPr>
        <w:t xml:space="preserve">AE SCOTTURB/SITRA – BTE 35/2019 (Anexo V,3ª, 4 e 5), estabelece ao trabalhador um conjunto de deveres (“de zelo”) como contrapartida </w:t>
      </w:r>
      <w:r w:rsidRPr="004B5630">
        <w:rPr>
          <w:sz w:val="18"/>
          <w:szCs w:val="18"/>
        </w:rPr>
        <w:t xml:space="preserve">do direito de gestão individual do seu horário de trabalho, incluindo, cumprimento de tarefas programadas; participação em reuniões; ou realização de outras atividades, mesmo que se prologuem para além dos períodos de presença obrigatória e trabalho suplementar. </w:t>
      </w:r>
    </w:p>
  </w:footnote>
  <w:footnote w:id="420">
    <w:p w14:paraId="631DCB0E" w14:textId="7F694B08" w:rsidR="004B7DBA" w:rsidRPr="004B5630" w:rsidRDefault="004B7DBA" w:rsidP="00B97F2B">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rFonts w:eastAsia="Times New Roman" w:cs="Calibri"/>
          <w:sz w:val="18"/>
          <w:szCs w:val="18"/>
          <w:lang w:eastAsia="pt-PT"/>
        </w:rPr>
        <w:t xml:space="preserve"> </w:t>
      </w:r>
      <w:r w:rsidRPr="004B5630">
        <w:rPr>
          <w:rFonts w:eastAsia="Times New Roman" w:cs="Calibri"/>
          <w:sz w:val="18"/>
          <w:szCs w:val="18"/>
          <w:lang w:eastAsia="pt-PT"/>
        </w:rPr>
        <w:tab/>
        <w:t>AC Infraestruturas de Portugal SNTSF - BTE 22/2019 (cl.19) e AC BRISA/SETACCOP – BTE 36/2019 (cl.</w:t>
      </w:r>
      <w:r w:rsidRPr="004B5630">
        <w:rPr>
          <w:rFonts w:cs="Calibri"/>
          <w:sz w:val="18"/>
          <w:szCs w:val="18"/>
        </w:rPr>
        <w:t>24ª)</w:t>
      </w:r>
      <w:r w:rsidRPr="004B5630">
        <w:rPr>
          <w:sz w:val="18"/>
          <w:szCs w:val="18"/>
        </w:rPr>
        <w:t xml:space="preserve"> [BTE 30/2016].</w:t>
      </w:r>
    </w:p>
  </w:footnote>
  <w:footnote w:id="421">
    <w:p w14:paraId="0903B5E6" w14:textId="185D5EBA" w:rsidR="004B7DBA" w:rsidRPr="004B5630" w:rsidRDefault="004B7DBA" w:rsidP="00B97F2B">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cs="Calibri"/>
          <w:sz w:val="18"/>
          <w:szCs w:val="18"/>
        </w:rPr>
        <w:t>AC BRISA/SETACCOP – BTE 36/2019 (cl.24ª)</w:t>
      </w:r>
      <w:r w:rsidRPr="004B5630">
        <w:rPr>
          <w:sz w:val="18"/>
          <w:szCs w:val="18"/>
        </w:rPr>
        <w:t xml:space="preserve"> [BTE 30/2016].</w:t>
      </w:r>
    </w:p>
  </w:footnote>
  <w:footnote w:id="422">
    <w:p w14:paraId="6E65FBEA" w14:textId="767F7BBA" w:rsidR="004B7DBA" w:rsidRPr="004B5630" w:rsidRDefault="004B7DBA" w:rsidP="00B97F2B">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 xml:space="preserve">AE AIG/EUROP ASSISTANCE/SINAPSA – BTE 17/2019 (cl. 21ª), ver </w:t>
      </w:r>
      <w:r w:rsidRPr="004B5630">
        <w:rPr>
          <w:i/>
          <w:sz w:val="18"/>
          <w:szCs w:val="18"/>
        </w:rPr>
        <w:t>infra</w:t>
      </w:r>
      <w:r w:rsidRPr="004B5630">
        <w:rPr>
          <w:sz w:val="18"/>
          <w:szCs w:val="18"/>
        </w:rPr>
        <w:t xml:space="preserve"> 4.4.9 </w:t>
      </w:r>
    </w:p>
  </w:footnote>
  <w:footnote w:id="423">
    <w:p w14:paraId="597E2529" w14:textId="6101F3DE" w:rsidR="004B7DBA" w:rsidRPr="004B5630" w:rsidRDefault="004B7DBA" w:rsidP="00B97F2B">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Cfr. </w:t>
      </w:r>
      <w:r w:rsidRPr="004B5630">
        <w:rPr>
          <w:bCs/>
          <w:i/>
          <w:sz w:val="18"/>
          <w:szCs w:val="18"/>
        </w:rPr>
        <w:t xml:space="preserve">Relatório sobre a Evolução da Negociação Coletiva em </w:t>
      </w:r>
      <w:r w:rsidRPr="004B5630">
        <w:rPr>
          <w:i/>
          <w:sz w:val="18"/>
          <w:szCs w:val="18"/>
        </w:rPr>
        <w:t>2018</w:t>
      </w:r>
      <w:r w:rsidRPr="004B5630">
        <w:rPr>
          <w:sz w:val="18"/>
          <w:szCs w:val="18"/>
        </w:rPr>
        <w:t xml:space="preserve"> </w:t>
      </w:r>
      <w:r w:rsidRPr="004B5630">
        <w:rPr>
          <w:bCs/>
          <w:sz w:val="18"/>
          <w:szCs w:val="18"/>
        </w:rPr>
        <w:t>p.159-156</w:t>
      </w:r>
      <w:r w:rsidRPr="004B5630">
        <w:rPr>
          <w:sz w:val="18"/>
          <w:szCs w:val="18"/>
        </w:rPr>
        <w:t xml:space="preserve"> (4.4.5.2, al.i)).</w:t>
      </w:r>
    </w:p>
  </w:footnote>
  <w:footnote w:id="424">
    <w:p w14:paraId="57647820" w14:textId="228977D0" w:rsidR="004B7DBA" w:rsidRPr="004B5630" w:rsidRDefault="004B7DBA" w:rsidP="00B97F2B">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No ano em analise, a maioria das convenções dos transportes (por exemplo da ANTROP;</w:t>
      </w:r>
      <w:r w:rsidRPr="004B5630">
        <w:rPr>
          <w:rFonts w:cs="Calibri"/>
          <w:sz w:val="18"/>
          <w:szCs w:val="18"/>
        </w:rPr>
        <w:t xml:space="preserve"> CARRISTUR e </w:t>
      </w:r>
      <w:r w:rsidRPr="004B5630">
        <w:rPr>
          <w:sz w:val="18"/>
          <w:szCs w:val="18"/>
        </w:rPr>
        <w:t xml:space="preserve">ANTRAM), do </w:t>
      </w:r>
      <w:r w:rsidRPr="004B5630">
        <w:rPr>
          <w:rFonts w:eastAsia="Calibri" w:cstheme="minorHAnsi"/>
          <w:sz w:val="18"/>
          <w:szCs w:val="18"/>
        </w:rPr>
        <w:t>comercio e algumas convenções da Industria</w:t>
      </w:r>
      <w:r w:rsidRPr="004B5630">
        <w:rPr>
          <w:sz w:val="18"/>
          <w:szCs w:val="18"/>
        </w:rPr>
        <w:t xml:space="preserve">, disciplinam a gestão dos tempos de trabalho, essencialmente, por escala ou horários fixos e móveis. </w:t>
      </w:r>
    </w:p>
  </w:footnote>
  <w:footnote w:id="425">
    <w:p w14:paraId="4461427C" w14:textId="0B26ACBB" w:rsidR="004B7DBA" w:rsidRPr="004B5630" w:rsidRDefault="004B7DBA" w:rsidP="00B97F2B">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Por exemplo, </w:t>
      </w:r>
      <w:r w:rsidRPr="004B5630">
        <w:rPr>
          <w:rFonts w:eastAsia="Times New Roman" w:cs="Calibri"/>
          <w:sz w:val="18"/>
          <w:szCs w:val="18"/>
          <w:lang w:eastAsia="pt-PT"/>
        </w:rPr>
        <w:t>AE A. ENSINO BENTO J. CARAÇA/FENPROF – BTE 12/2019 (cl.29).</w:t>
      </w:r>
    </w:p>
  </w:footnote>
  <w:footnote w:id="426">
    <w:p w14:paraId="6240673C" w14:textId="35C76F58" w:rsidR="004B7DBA" w:rsidRPr="004B5630" w:rsidRDefault="004B7DBA" w:rsidP="00B97F2B">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Por exemplo, </w:t>
      </w:r>
      <w:r w:rsidRPr="004B5630">
        <w:rPr>
          <w:rFonts w:eastAsia="Times New Roman" w:cs="Calibri"/>
          <w:sz w:val="18"/>
          <w:szCs w:val="18"/>
          <w:lang w:eastAsia="pt-PT"/>
        </w:rPr>
        <w:t>CC AEVP/SINTICABA – BTE 6/2019 (cl.15ª).</w:t>
      </w:r>
    </w:p>
  </w:footnote>
  <w:footnote w:id="427">
    <w:p w14:paraId="5BC560FB" w14:textId="623398CB" w:rsidR="004B7DBA" w:rsidRPr="004B5630" w:rsidRDefault="004B7DBA" w:rsidP="00B97F2B">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t xml:space="preserve">Por exemplo, </w:t>
      </w:r>
      <w:r w:rsidRPr="004B5630">
        <w:rPr>
          <w:rFonts w:eastAsia="Times New Roman" w:cs="Calibri"/>
          <w:sz w:val="18"/>
          <w:szCs w:val="18"/>
          <w:lang w:eastAsia="pt-PT"/>
        </w:rPr>
        <w:t xml:space="preserve">AE BMO PORTUGAL/SNQTB – BTE 5/2019 </w:t>
      </w:r>
      <w:r w:rsidRPr="004B5630">
        <w:rPr>
          <w:sz w:val="18"/>
          <w:szCs w:val="18"/>
        </w:rPr>
        <w:t xml:space="preserve">(cl. 48.ª, 1 e2) [(=) AE F&amp;C Portugal/SBSI - BTE 9/2018] . Noutro sentido, há convenções que excluem do regime de Isenção de horário de trabalho certos grupos de trabalhadores, assim, </w:t>
      </w:r>
      <w:r w:rsidRPr="004B5630">
        <w:rPr>
          <w:rFonts w:eastAsia="Times New Roman" w:cs="Calibri"/>
          <w:sz w:val="18"/>
          <w:szCs w:val="18"/>
          <w:lang w:eastAsia="pt-PT"/>
        </w:rPr>
        <w:t xml:space="preserve">AC ZURICH/SINAPSA – BTE 17/2019 (cl.18ª), </w:t>
      </w:r>
      <w:r w:rsidRPr="004B5630">
        <w:rPr>
          <w:sz w:val="18"/>
          <w:szCs w:val="18"/>
        </w:rPr>
        <w:t>funções de atendimento ou assistência</w:t>
      </w:r>
      <w:r w:rsidRPr="004B5630">
        <w:rPr>
          <w:rFonts w:eastAsia="Times New Roman" w:cs="Calibri"/>
          <w:sz w:val="18"/>
          <w:szCs w:val="18"/>
          <w:lang w:eastAsia="pt-PT"/>
        </w:rPr>
        <w:t>; e AESIRF STCP/SPEUE – BTE 3/2019 (cl.21ª) para vigilantes de transporte e operadores de valores.</w:t>
      </w:r>
      <w:r w:rsidRPr="004B5630">
        <w:rPr>
          <w:rFonts w:eastAsia="Times New Roman" w:cs="Calibri"/>
          <w:sz w:val="18"/>
          <w:szCs w:val="18"/>
          <w:lang w:eastAsia="pt-PT"/>
        </w:rPr>
        <w:tab/>
      </w:r>
    </w:p>
  </w:footnote>
  <w:footnote w:id="428">
    <w:p w14:paraId="3E266483" w14:textId="40AB5DA7" w:rsidR="004B7DBA" w:rsidRPr="004B5630" w:rsidRDefault="004B7DBA" w:rsidP="00B97F2B">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t xml:space="preserve">Vejam-se, por exemplo, duas convenções que, para além das situações legais, admitem alargar o regime de IHT a outros grupos, com fundamentos próximos do </w:t>
      </w:r>
      <w:r w:rsidRPr="004B5630">
        <w:rPr>
          <w:rFonts w:eastAsia="Times New Roman" w:cs="Calibri"/>
          <w:sz w:val="18"/>
          <w:szCs w:val="18"/>
          <w:lang w:eastAsia="pt-PT"/>
        </w:rPr>
        <w:t>regime disponibilidade e prevenção</w:t>
      </w:r>
      <w:r w:rsidRPr="004B5630">
        <w:rPr>
          <w:sz w:val="18"/>
          <w:szCs w:val="18"/>
        </w:rPr>
        <w:t xml:space="preserve">: o </w:t>
      </w:r>
      <w:r w:rsidRPr="004B5630">
        <w:rPr>
          <w:rFonts w:eastAsia="Times New Roman" w:cs="Calibri"/>
          <w:sz w:val="18"/>
          <w:szCs w:val="18"/>
          <w:lang w:eastAsia="pt-PT"/>
        </w:rPr>
        <w:t>CC ALIF/SETAAB – BTE 17/2019 [cl.</w:t>
      </w:r>
      <w:r w:rsidRPr="004B5630">
        <w:rPr>
          <w:sz w:val="18"/>
          <w:szCs w:val="18"/>
        </w:rPr>
        <w:t xml:space="preserve"> 20ª,1,a) e b)</w:t>
      </w:r>
      <w:r w:rsidRPr="004B5630">
        <w:rPr>
          <w:rFonts w:eastAsia="Times New Roman" w:cs="Calibri"/>
          <w:sz w:val="18"/>
          <w:szCs w:val="18"/>
          <w:lang w:eastAsia="pt-PT"/>
        </w:rPr>
        <w:t>], a</w:t>
      </w:r>
      <w:r w:rsidRPr="004B5630">
        <w:rPr>
          <w:sz w:val="18"/>
          <w:szCs w:val="18"/>
        </w:rPr>
        <w:t xml:space="preserve"> trabalhadores cuja profissão possa exigir atuações imprevistas e ocasionais, fundados em razões comerciais ou económicas;</w:t>
      </w:r>
      <w:r w:rsidRPr="004B5630">
        <w:rPr>
          <w:rFonts w:eastAsia="Times New Roman" w:cs="Calibri"/>
          <w:sz w:val="18"/>
          <w:szCs w:val="18"/>
          <w:lang w:eastAsia="pt-PT"/>
        </w:rPr>
        <w:t xml:space="preserve"> e o AC Infraestruturas de Portugal SNTSF - BTE 22/2019 (cl.20.º) a trabalhadores que assegurem a continuidade do serviço ou a regularidade da operação.</w:t>
      </w:r>
    </w:p>
  </w:footnote>
  <w:footnote w:id="429">
    <w:p w14:paraId="61EABB92" w14:textId="46D767D2" w:rsidR="004B7DBA" w:rsidRPr="004B5630" w:rsidRDefault="004B7DBA" w:rsidP="00B97F2B">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Os </w:t>
      </w:r>
      <w:r w:rsidRPr="004B5630">
        <w:rPr>
          <w:rFonts w:eastAsia="Times New Roman" w:cs="Calibri"/>
          <w:sz w:val="18"/>
          <w:szCs w:val="18"/>
          <w:lang w:eastAsia="pt-PT"/>
        </w:rPr>
        <w:t>CC ANCIPA/SETAAB BTE 18/2019 (cl.27ª,2)</w:t>
      </w:r>
      <w:r w:rsidRPr="004B5630">
        <w:rPr>
          <w:sz w:val="18"/>
          <w:szCs w:val="18"/>
        </w:rPr>
        <w:t xml:space="preserve"> </w:t>
      </w:r>
      <w:r w:rsidRPr="004B5630">
        <w:rPr>
          <w:rFonts w:eastAsia="Times New Roman" w:cs="Calibri"/>
          <w:sz w:val="18"/>
          <w:szCs w:val="18"/>
          <w:lang w:eastAsia="pt-PT"/>
        </w:rPr>
        <w:t>e ANCIPA/FESAHT - BTE 22/2019 (25ª;2); AE LOURES PARQUE/STAL – BTE 7/2019 (cl.</w:t>
      </w:r>
      <w:r w:rsidRPr="004B5630">
        <w:rPr>
          <w:sz w:val="18"/>
          <w:szCs w:val="18"/>
        </w:rPr>
        <w:t>30ª</w:t>
      </w:r>
      <w:r w:rsidRPr="004B5630">
        <w:rPr>
          <w:rFonts w:eastAsia="Times New Roman" w:cs="Calibri"/>
          <w:sz w:val="18"/>
          <w:szCs w:val="18"/>
          <w:lang w:eastAsia="pt-PT"/>
        </w:rPr>
        <w:t>).</w:t>
      </w:r>
    </w:p>
  </w:footnote>
  <w:footnote w:id="430">
    <w:p w14:paraId="052AC2E8" w14:textId="3350C4FC" w:rsidR="004B7DBA" w:rsidRPr="004B5630" w:rsidRDefault="004B7DBA" w:rsidP="00B97F2B">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 xml:space="preserve">Por exemplo, </w:t>
      </w:r>
      <w:r w:rsidRPr="004B5630">
        <w:rPr>
          <w:rFonts w:cs="Calibri"/>
          <w:sz w:val="18"/>
          <w:szCs w:val="18"/>
        </w:rPr>
        <w:t>AE Seguradoras Unidas</w:t>
      </w:r>
      <w:r w:rsidRPr="004B5630">
        <w:rPr>
          <w:sz w:val="18"/>
          <w:szCs w:val="18"/>
        </w:rPr>
        <w:t>/SINAPSA - BTE 5/2019 (cl. 17.ª, 1).</w:t>
      </w:r>
    </w:p>
  </w:footnote>
  <w:footnote w:id="431">
    <w:p w14:paraId="54840337" w14:textId="3EFA9862" w:rsidR="004B7DBA" w:rsidRPr="004B5630" w:rsidRDefault="004B7DBA" w:rsidP="00B97F2B">
      <w:pPr>
        <w:tabs>
          <w:tab w:val="left" w:pos="426"/>
        </w:tabs>
        <w:spacing w:after="0" w:line="240" w:lineRule="auto"/>
        <w:ind w:left="425" w:hanging="425"/>
        <w:jc w:val="both"/>
        <w:rPr>
          <w:rFonts w:eastAsia="Times New Roman" w:cs="Calibri"/>
          <w:sz w:val="20"/>
          <w:szCs w:val="20"/>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Por exemplo, </w:t>
      </w:r>
      <w:r w:rsidRPr="004B5630">
        <w:rPr>
          <w:rFonts w:eastAsia="Times New Roman" w:cs="Calibri"/>
          <w:sz w:val="18"/>
          <w:szCs w:val="18"/>
          <w:lang w:eastAsia="pt-PT"/>
        </w:rPr>
        <w:t>AC Indorama Portugal/COFESINT – BTE 31/2019 (cls</w:t>
      </w:r>
      <w:r w:rsidRPr="004B5630">
        <w:rPr>
          <w:sz w:val="18"/>
          <w:szCs w:val="18"/>
        </w:rPr>
        <w:t xml:space="preserve"> </w:t>
      </w:r>
      <w:r w:rsidRPr="004B5630">
        <w:rPr>
          <w:rFonts w:eastAsia="Times New Roman" w:cs="Calibri"/>
          <w:sz w:val="18"/>
          <w:szCs w:val="18"/>
          <w:lang w:eastAsia="pt-PT"/>
        </w:rPr>
        <w:t>31.ª;67ª); CC GROQUIFAR-Farmacêuticos/ FIEQUIMETAL - BTE 19/2019 (cl.21ª,35ª); CC ANILACT/SETAAB – BTE 13/2019 (cl.18ª].</w:t>
      </w:r>
      <w:r w:rsidRPr="004B5630">
        <w:rPr>
          <w:rFonts w:eastAsia="Times New Roman" w:cs="Calibri"/>
          <w:sz w:val="18"/>
          <w:szCs w:val="18"/>
          <w:lang w:eastAsia="pt-PT"/>
        </w:rPr>
        <w:tab/>
      </w:r>
    </w:p>
  </w:footnote>
  <w:footnote w:id="432">
    <w:p w14:paraId="677C3303" w14:textId="7C643277" w:rsidR="004B7DBA" w:rsidRPr="004B5630" w:rsidRDefault="004B7DBA" w:rsidP="008F57AA">
      <w:pPr>
        <w:tabs>
          <w:tab w:val="left" w:pos="426"/>
        </w:tabs>
        <w:spacing w:after="0" w:line="240" w:lineRule="auto"/>
        <w:ind w:left="426" w:right="-1" w:hanging="426"/>
        <w:jc w:val="both"/>
        <w:rPr>
          <w:rFonts w:eastAsia="Times New Roman"/>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t xml:space="preserve">Por exemplo, </w:t>
      </w:r>
      <w:r w:rsidRPr="004B5630">
        <w:rPr>
          <w:rFonts w:eastAsia="Times New Roman" w:cs="Calibri"/>
          <w:sz w:val="18"/>
          <w:szCs w:val="18"/>
          <w:lang w:eastAsia="pt-PT"/>
        </w:rPr>
        <w:t>AE Parques de Sintra/SINTAP – BTE 35/2019 (cl.31ª;67ª); CC CNIS/FEPCES – BTE 41/2019 (cl.</w:t>
      </w:r>
      <w:r w:rsidRPr="004B5630">
        <w:rPr>
          <w:rFonts w:eastAsia="Times New Roman"/>
          <w:sz w:val="18"/>
          <w:szCs w:val="18"/>
          <w:lang w:eastAsia="pt-PT"/>
        </w:rPr>
        <w:t>34ª; 64ª</w:t>
      </w:r>
      <w:r w:rsidRPr="004B5630">
        <w:rPr>
          <w:rFonts w:eastAsia="Times New Roman" w:cs="Calibri"/>
          <w:sz w:val="18"/>
          <w:szCs w:val="18"/>
          <w:lang w:eastAsia="pt-PT"/>
        </w:rPr>
        <w:t>).</w:t>
      </w:r>
    </w:p>
  </w:footnote>
  <w:footnote w:id="433">
    <w:p w14:paraId="22BDF8B9" w14:textId="5FE67D49" w:rsidR="004B7DBA" w:rsidRPr="004B5630" w:rsidRDefault="004B7DBA" w:rsidP="006D3DEE">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Por exemplo, </w:t>
      </w:r>
      <w:r w:rsidRPr="004B5630">
        <w:rPr>
          <w:rFonts w:cs="Calibri"/>
          <w:sz w:val="18"/>
          <w:szCs w:val="18"/>
        </w:rPr>
        <w:t>AC ZURICH/SINAPSA – BTE 17/2019 (cl.18ª e 38ª) e demais convenções do setor dos seguros admitindo as modalidades: não observância do PNT e alargamento do PNT diário até cinco horas semanais.</w:t>
      </w:r>
    </w:p>
  </w:footnote>
  <w:footnote w:id="434">
    <w:p w14:paraId="6CFB83A2" w14:textId="305F74CD" w:rsidR="004B7DBA" w:rsidRPr="004B5630" w:rsidRDefault="004B7DBA" w:rsidP="006D3DEE">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Por exemplo, </w:t>
      </w:r>
      <w:r w:rsidRPr="004B5630">
        <w:rPr>
          <w:rFonts w:eastAsia="Times New Roman" w:cs="Calibri"/>
          <w:sz w:val="18"/>
          <w:szCs w:val="18"/>
          <w:lang w:eastAsia="pt-PT"/>
        </w:rPr>
        <w:t>AE LOURES PARQUE/STAL – BTE 7/2019 (cl.</w:t>
      </w:r>
      <w:r w:rsidRPr="004B5630">
        <w:rPr>
          <w:sz w:val="18"/>
          <w:szCs w:val="18"/>
        </w:rPr>
        <w:t>30ª</w:t>
      </w:r>
      <w:r w:rsidRPr="004B5630">
        <w:rPr>
          <w:rFonts w:eastAsia="Times New Roman" w:cs="Calibri"/>
          <w:sz w:val="18"/>
          <w:szCs w:val="18"/>
          <w:lang w:eastAsia="pt-PT"/>
        </w:rPr>
        <w:t>).</w:t>
      </w:r>
      <w:r w:rsidRPr="004B5630">
        <w:rPr>
          <w:sz w:val="18"/>
          <w:szCs w:val="18"/>
        </w:rPr>
        <w:tab/>
      </w:r>
    </w:p>
  </w:footnote>
  <w:footnote w:id="435">
    <w:p w14:paraId="07F5C10F" w14:textId="4FEE5F23" w:rsidR="004B7DBA" w:rsidRPr="004B5630" w:rsidRDefault="004B7DBA" w:rsidP="006D3DEE">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Por exemplo </w:t>
      </w:r>
      <w:r w:rsidRPr="004B5630">
        <w:rPr>
          <w:rFonts w:cs="Calibri"/>
          <w:sz w:val="18"/>
          <w:szCs w:val="18"/>
        </w:rPr>
        <w:t>CC CNIS/FEPCES – BTE 41/2019 (cl.34ª).</w:t>
      </w:r>
    </w:p>
  </w:footnote>
  <w:footnote w:id="436">
    <w:p w14:paraId="79FC22CE" w14:textId="4DA3728A" w:rsidR="004B7DBA" w:rsidRPr="004B5630" w:rsidRDefault="004B7DBA" w:rsidP="006D3DEE">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Assim, </w:t>
      </w:r>
      <w:r w:rsidRPr="004B5630">
        <w:rPr>
          <w:rFonts w:cs="Calibri"/>
          <w:sz w:val="18"/>
          <w:szCs w:val="18"/>
        </w:rPr>
        <w:t>AE EMARP/STAL E EMARP/SINTAP –  ambos BTE 35/2019 (cl.26ª).</w:t>
      </w:r>
    </w:p>
  </w:footnote>
  <w:footnote w:id="437">
    <w:p w14:paraId="58D0282E" w14:textId="36DC64C2" w:rsidR="004B7DBA" w:rsidRPr="004B5630" w:rsidRDefault="004B7DBA" w:rsidP="006D3DEE">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Por exemplo, nos AE AIG/EUROP ASSISTANCE/SINAPSA – BTE 17/2019 (cl. 22ª,2) e  </w:t>
      </w:r>
      <w:r w:rsidRPr="004B5630">
        <w:rPr>
          <w:rFonts w:cs="Calibri"/>
          <w:sz w:val="18"/>
          <w:szCs w:val="18"/>
        </w:rPr>
        <w:t xml:space="preserve">AE ViaPorto/ STTAMP - BTE 31/2019 (cl.33ª) e paralelos, consideram </w:t>
      </w:r>
      <w:r w:rsidRPr="004B5630">
        <w:rPr>
          <w:sz w:val="18"/>
          <w:szCs w:val="18"/>
        </w:rPr>
        <w:t>trabalho suplementar</w:t>
      </w:r>
      <w:r w:rsidRPr="004B5630">
        <w:rPr>
          <w:rFonts w:cs="Calibri"/>
          <w:sz w:val="18"/>
          <w:szCs w:val="18"/>
        </w:rPr>
        <w:t xml:space="preserve"> as  horas trabalhadas  para alem do PNT</w:t>
      </w:r>
      <w:r w:rsidRPr="004B5630">
        <w:rPr>
          <w:sz w:val="18"/>
          <w:szCs w:val="18"/>
        </w:rPr>
        <w:t xml:space="preserve"> </w:t>
      </w:r>
      <w:r w:rsidRPr="004B5630">
        <w:rPr>
          <w:rFonts w:cs="Calibri"/>
          <w:sz w:val="18"/>
          <w:szCs w:val="18"/>
        </w:rPr>
        <w:t>.</w:t>
      </w:r>
    </w:p>
  </w:footnote>
  <w:footnote w:id="438">
    <w:p w14:paraId="44A2438E" w14:textId="10EAC43D" w:rsidR="004B7DBA" w:rsidRPr="004B5630" w:rsidRDefault="004B7DBA" w:rsidP="006D3DEE">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Por exemplo, </w:t>
      </w:r>
      <w:r w:rsidRPr="004B5630">
        <w:rPr>
          <w:rFonts w:eastAsia="Times New Roman" w:cs="Calibri"/>
          <w:sz w:val="18"/>
          <w:szCs w:val="18"/>
          <w:lang w:eastAsia="pt-PT"/>
        </w:rPr>
        <w:t>CC AEVP/SINTICABA – BTE 6/2019 (cl.15ª).</w:t>
      </w:r>
    </w:p>
  </w:footnote>
  <w:footnote w:id="439">
    <w:p w14:paraId="20066612" w14:textId="44455601" w:rsidR="004B7DBA" w:rsidRPr="004B5630" w:rsidRDefault="004B7DBA" w:rsidP="006D3DEE">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vertAlign w:val="superscript"/>
        </w:rPr>
        <w:tab/>
      </w:r>
      <w:r w:rsidRPr="004B5630">
        <w:rPr>
          <w:rFonts w:cs="Calibri"/>
          <w:sz w:val="18"/>
          <w:szCs w:val="18"/>
        </w:rPr>
        <w:t>AE Europa&amp;C/ FIEQUIMETAL – BTE 8/2019 (cl.32ª) e AE The Navigator Company/COFESINT – BTE 17/2019 (</w:t>
      </w:r>
      <w:r w:rsidRPr="004B5630">
        <w:rPr>
          <w:sz w:val="18"/>
          <w:szCs w:val="18"/>
        </w:rPr>
        <w:t>cl.34ª)</w:t>
      </w:r>
      <w:r w:rsidRPr="004B5630">
        <w:rPr>
          <w:rFonts w:cs="Calibri"/>
          <w:sz w:val="18"/>
          <w:szCs w:val="18"/>
        </w:rPr>
        <w:t xml:space="preserve"> e paralelos.</w:t>
      </w:r>
    </w:p>
  </w:footnote>
  <w:footnote w:id="440">
    <w:p w14:paraId="30867EF5" w14:textId="6963925E" w:rsidR="004B7DBA" w:rsidRPr="004B5630" w:rsidRDefault="004B7DBA" w:rsidP="006D3DEE">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eastAsia="Times New Roman" w:cs="Calibri"/>
          <w:sz w:val="18"/>
          <w:szCs w:val="18"/>
          <w:lang w:eastAsia="pt-PT"/>
        </w:rPr>
        <w:t>AE SUCH/FESAHT - BTE 21/2019 (cl.55.ª) (+20%/ mês); AE PEFACO/FESAHT – BTE 6/2019 (cl.35.ª)  (+28%/ mês ); AE LOURES PARQUE/STAL – BTE 7/2019 (cl.41.ª) (+16 %/ mês )</w:t>
      </w:r>
    </w:p>
  </w:footnote>
  <w:footnote w:id="441">
    <w:p w14:paraId="32C13C3F" w14:textId="2DDAC7D3" w:rsidR="004B7DBA" w:rsidRPr="004B5630" w:rsidRDefault="004B7DBA" w:rsidP="006D3DEE">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Por exemplo, </w:t>
      </w:r>
      <w:r w:rsidRPr="004B5630">
        <w:rPr>
          <w:rFonts w:eastAsia="Times New Roman" w:cs="Calibri"/>
          <w:sz w:val="18"/>
          <w:szCs w:val="18"/>
          <w:lang w:eastAsia="pt-PT"/>
        </w:rPr>
        <w:t>CC ALIF/SETAAB – BTE 17/2019 (cl.</w:t>
      </w:r>
      <w:r w:rsidRPr="004B5630">
        <w:rPr>
          <w:sz w:val="18"/>
          <w:szCs w:val="18"/>
        </w:rPr>
        <w:t xml:space="preserve">20ª,3)  atribui </w:t>
      </w:r>
      <w:r w:rsidRPr="004B5630">
        <w:rPr>
          <w:rFonts w:eastAsia="Times New Roman" w:cs="Calibri"/>
          <w:sz w:val="18"/>
          <w:szCs w:val="18"/>
          <w:lang w:eastAsia="pt-PT"/>
        </w:rPr>
        <w:t xml:space="preserve">acréscimos, à </w:t>
      </w:r>
      <w:r w:rsidRPr="004B5630">
        <w:rPr>
          <w:sz w:val="18"/>
          <w:szCs w:val="18"/>
        </w:rPr>
        <w:t xml:space="preserve">remuneração base, </w:t>
      </w:r>
      <w:r w:rsidRPr="004B5630">
        <w:rPr>
          <w:rFonts w:eastAsia="Times New Roman" w:cs="Calibri"/>
          <w:sz w:val="18"/>
          <w:szCs w:val="18"/>
          <w:lang w:eastAsia="pt-PT"/>
        </w:rPr>
        <w:t>de</w:t>
      </w:r>
      <w:r w:rsidRPr="004B5630">
        <w:rPr>
          <w:sz w:val="18"/>
          <w:szCs w:val="18"/>
        </w:rPr>
        <w:t xml:space="preserve"> 25% para IHT  sem sujeição ao PNT  e +10% restantes situações;  </w:t>
      </w:r>
      <w:r w:rsidRPr="004B5630">
        <w:rPr>
          <w:rFonts w:eastAsia="Times New Roman" w:cs="Calibri"/>
          <w:sz w:val="18"/>
          <w:szCs w:val="18"/>
          <w:lang w:eastAsia="pt-PT"/>
        </w:rPr>
        <w:t>AC ZURICH/SINAPSA – BTE 17/2019 (cl.38ª), fixa  acréscimos de 25% e 15%.</w:t>
      </w:r>
    </w:p>
  </w:footnote>
  <w:footnote w:id="442">
    <w:p w14:paraId="3A30FC0D" w14:textId="753BE49C" w:rsidR="004B7DBA" w:rsidRPr="004B5630" w:rsidRDefault="004B7DBA" w:rsidP="003C4BC9">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Por exemplo, </w:t>
      </w:r>
      <w:r w:rsidRPr="004B5630">
        <w:rPr>
          <w:rFonts w:cs="Calibri"/>
          <w:sz w:val="18"/>
          <w:szCs w:val="18"/>
        </w:rPr>
        <w:t xml:space="preserve">AE CAIMA/SITESE - BTE 24/2019 </w:t>
      </w:r>
      <w:r w:rsidRPr="004B5630">
        <w:rPr>
          <w:sz w:val="18"/>
          <w:szCs w:val="18"/>
        </w:rPr>
        <w:t xml:space="preserve">(cl. 22.ª,2) [(=)AE CAIMA/FIEQUIMETAL – BTE 17/2018]; </w:t>
      </w:r>
      <w:r w:rsidRPr="004B5630">
        <w:rPr>
          <w:rFonts w:cs="Calibri"/>
          <w:sz w:val="18"/>
          <w:szCs w:val="18"/>
        </w:rPr>
        <w:t xml:space="preserve">AE PEFACO/FESAHT – BTE 6/2019 (cl.35.ª); </w:t>
      </w:r>
      <w:r w:rsidRPr="004B5630">
        <w:rPr>
          <w:rFonts w:eastAsia="Times New Roman" w:cs="Calibri"/>
          <w:sz w:val="18"/>
          <w:szCs w:val="18"/>
          <w:lang w:eastAsia="pt-PT"/>
        </w:rPr>
        <w:t xml:space="preserve">AE   INATEL/SITESE –   BTE 6/2019 </w:t>
      </w:r>
      <w:r w:rsidRPr="004B5630">
        <w:rPr>
          <w:rFonts w:cs="Calibri"/>
          <w:sz w:val="18"/>
          <w:szCs w:val="18"/>
        </w:rPr>
        <w:t xml:space="preserve">(CL.34ª,2-5) e paralelos, pagam 2H de trabalho suplementar diárias para IHT sem limite do PNT . </w:t>
      </w:r>
    </w:p>
  </w:footnote>
  <w:footnote w:id="443">
    <w:p w14:paraId="04425D49" w14:textId="5BE3A54B" w:rsidR="004B7DBA" w:rsidRPr="004B5630" w:rsidRDefault="004B7DBA" w:rsidP="003C4BC9">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AC Cooperativa Agrícola da Tocha e outras/SETAAB - BTE 18/2019 (cl. 23.ª, 2) [(=)BTE 29/2018].</w:t>
      </w:r>
    </w:p>
  </w:footnote>
  <w:footnote w:id="444">
    <w:p w14:paraId="010175D7" w14:textId="00313A9C" w:rsidR="004B7DBA" w:rsidRPr="004B5630" w:rsidRDefault="004B7DBA" w:rsidP="003C4BC9">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cs="Calibri"/>
          <w:sz w:val="18"/>
          <w:szCs w:val="18"/>
        </w:rPr>
        <w:t xml:space="preserve">AE BMO PORTUGAL/SNQTB – BTE 5/2019 </w:t>
      </w:r>
      <w:r w:rsidRPr="004B5630">
        <w:rPr>
          <w:sz w:val="18"/>
          <w:szCs w:val="18"/>
        </w:rPr>
        <w:t>(cl. 48.ª, 6 e 87) [(=)AE F&amp;C Portugal/SBSI - BTE 9/2018 ]  cessação IHT fim do prazo ou pela empresa com pré-aviso 2 meses; pagamento (+)3m.</w:t>
      </w:r>
    </w:p>
  </w:footnote>
  <w:footnote w:id="445">
    <w:p w14:paraId="3012750D" w14:textId="444FB286" w:rsidR="004B7DBA" w:rsidRPr="004B5630" w:rsidRDefault="004B7DBA" w:rsidP="003C4BC9">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AC GENERALI/SINAPSA – BTE 13/2019 (cl.)</w:t>
      </w:r>
      <w:r w:rsidRPr="004B5630">
        <w:rPr>
          <w:sz w:val="18"/>
          <w:szCs w:val="18"/>
        </w:rPr>
        <w:t xml:space="preserve"> </w:t>
      </w:r>
      <w:r w:rsidRPr="004B5630">
        <w:rPr>
          <w:rFonts w:eastAsia="Times New Roman" w:cs="Calibri"/>
          <w:sz w:val="18"/>
          <w:szCs w:val="18"/>
          <w:lang w:eastAsia="pt-PT"/>
        </w:rPr>
        <w:t>por acordo ou denúncia do empregador, pré-aviso 3m.</w:t>
      </w:r>
    </w:p>
  </w:footnote>
  <w:footnote w:id="446">
    <w:p w14:paraId="4F213330" w14:textId="2DD3847D" w:rsidR="004B7DBA" w:rsidRPr="004B5630" w:rsidRDefault="004B7DBA" w:rsidP="003C4BC9">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AE Europ Assistance – Seguros/SINAPSA - BTE 29/2019 (cl.35ª,5), com pré-aviso do empregador de 3 meses.</w:t>
      </w:r>
    </w:p>
  </w:footnote>
  <w:footnote w:id="447">
    <w:p w14:paraId="47B59802" w14:textId="411DB06D" w:rsidR="004B7DBA" w:rsidRPr="004B5630" w:rsidRDefault="004B7DBA" w:rsidP="003C4BC9">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cs="Calibri"/>
          <w:sz w:val="18"/>
          <w:szCs w:val="18"/>
        </w:rPr>
        <w:t>CC ADIPA (Retalhistas)/SITESE – BTE 14/2019 (cl.17.º) [(=) BTE 44/2015];</w:t>
      </w:r>
    </w:p>
  </w:footnote>
  <w:footnote w:id="448">
    <w:p w14:paraId="1C956589" w14:textId="612E1997" w:rsidR="004B7DBA" w:rsidRPr="004B5630" w:rsidRDefault="004B7DBA" w:rsidP="00D966C6">
      <w:pPr>
        <w:tabs>
          <w:tab w:val="left" w:pos="426"/>
          <w:tab w:val="left" w:pos="851"/>
        </w:tabs>
        <w:spacing w:after="0" w:line="240" w:lineRule="auto"/>
        <w:ind w:left="425" w:hanging="425"/>
        <w:jc w:val="both"/>
        <w:rPr>
          <w:rFonts w:cstheme="minorHAnsi"/>
          <w:sz w:val="18"/>
          <w:szCs w:val="18"/>
          <w:lang w:eastAsia="pt-PT"/>
        </w:rPr>
      </w:pPr>
      <w:r w:rsidRPr="004B5630">
        <w:rPr>
          <w:sz w:val="18"/>
          <w:szCs w:val="18"/>
          <w:vertAlign w:val="superscript"/>
        </w:rPr>
        <w:t xml:space="preserve"> </w:t>
      </w:r>
      <w:r w:rsidRPr="004B5630">
        <w:rPr>
          <w:rStyle w:val="Refdenotaderodap"/>
          <w:sz w:val="18"/>
          <w:szCs w:val="18"/>
        </w:rPr>
        <w:footnoteRef/>
      </w:r>
      <w:r w:rsidRPr="004B5630">
        <w:rPr>
          <w:sz w:val="18"/>
          <w:szCs w:val="18"/>
        </w:rPr>
        <w:t xml:space="preserve"> </w:t>
      </w:r>
      <w:r w:rsidRPr="004B5630">
        <w:rPr>
          <w:sz w:val="18"/>
          <w:szCs w:val="18"/>
        </w:rPr>
        <w:tab/>
        <w:t xml:space="preserve">Relatório anual sobre a evolução da negociação coletiva em 2016, págs. 126 e ss., em 2017, págs. 167 e ss. e em 2018, págs. 164 e  ss. </w:t>
      </w:r>
      <w:hyperlink r:id="rId17" w:history="1">
        <w:r w:rsidRPr="004B5630">
          <w:rPr>
            <w:rStyle w:val="Hiperligao"/>
            <w:rFonts w:cstheme="minorHAnsi"/>
            <w:color w:val="auto"/>
            <w:sz w:val="18"/>
            <w:szCs w:val="18"/>
            <w:lang w:eastAsia="pt-PT"/>
          </w:rPr>
          <w:t>https://www.crlaborais.pt</w:t>
        </w:r>
      </w:hyperlink>
      <w:r w:rsidRPr="004B5630">
        <w:rPr>
          <w:rStyle w:val="Hiperligao"/>
          <w:rFonts w:cstheme="minorHAnsi"/>
          <w:color w:val="auto"/>
          <w:sz w:val="18"/>
          <w:szCs w:val="18"/>
          <w:lang w:eastAsia="pt-PT"/>
        </w:rPr>
        <w:t>.</w:t>
      </w:r>
    </w:p>
  </w:footnote>
  <w:footnote w:id="449">
    <w:p w14:paraId="2A650652" w14:textId="12D1219B" w:rsidR="004B7DBA" w:rsidRPr="004B5630" w:rsidRDefault="004B7DBA" w:rsidP="00D966C6">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 xml:space="preserve">A análise é desenvolvida no ponto 4.4.3. </w:t>
      </w:r>
    </w:p>
  </w:footnote>
  <w:footnote w:id="450">
    <w:p w14:paraId="00B0518F" w14:textId="2BFEA69D" w:rsidR="004B7DBA" w:rsidRPr="004B5630" w:rsidRDefault="004B7DBA" w:rsidP="00D966C6">
      <w:pPr>
        <w:tabs>
          <w:tab w:val="left" w:pos="426"/>
        </w:tabs>
        <w:spacing w:after="0" w:line="240" w:lineRule="auto"/>
        <w:ind w:left="425" w:right="57" w:hanging="425"/>
        <w:jc w:val="both"/>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Por exemplo, o</w:t>
      </w:r>
      <w:r w:rsidRPr="004B5630">
        <w:rPr>
          <w:rFonts w:eastAsia="Times New Roman" w:cs="Calibri"/>
          <w:sz w:val="18"/>
          <w:szCs w:val="18"/>
          <w:lang w:eastAsia="pt-PT"/>
        </w:rPr>
        <w:t xml:space="preserve"> CC CAP/SETAAB – BTE 8/2019 (cl.75ª), AE EMARP/SINTAP – BTE 35/2019(cl.A.-V) AE SATA Internacional/SPAC – BTE 37/2019 (cl.12ª, a)).</w:t>
      </w:r>
    </w:p>
  </w:footnote>
  <w:footnote w:id="451">
    <w:p w14:paraId="07357F4B" w14:textId="23EA3377" w:rsidR="004B7DBA" w:rsidRPr="004B5630" w:rsidRDefault="004B7DBA" w:rsidP="00D966C6">
      <w:pPr>
        <w:tabs>
          <w:tab w:val="left" w:pos="426"/>
        </w:tabs>
        <w:spacing w:after="0" w:line="240" w:lineRule="auto"/>
        <w:ind w:left="425" w:right="57" w:hanging="425"/>
        <w:jc w:val="both"/>
        <w:rPr>
          <w:rFonts w:eastAsia="Times New Roman" w:cs="Calibri"/>
          <w:sz w:val="18"/>
          <w:szCs w:val="18"/>
          <w:lang w:eastAsia="pt-PT"/>
        </w:rPr>
      </w:pPr>
      <w:r w:rsidRPr="004B5630">
        <w:rPr>
          <w:sz w:val="18"/>
          <w:szCs w:val="18"/>
          <w:vertAlign w:val="superscript"/>
        </w:rPr>
        <w:footnoteRef/>
      </w:r>
      <w:r w:rsidRPr="004B5630">
        <w:rPr>
          <w:sz w:val="18"/>
          <w:szCs w:val="18"/>
          <w:vertAlign w:val="superscript"/>
        </w:rPr>
        <w:t xml:space="preserve"> </w:t>
      </w:r>
      <w:r w:rsidRPr="004B5630">
        <w:rPr>
          <w:sz w:val="18"/>
          <w:szCs w:val="18"/>
        </w:rPr>
        <w:t xml:space="preserve"> </w:t>
      </w:r>
      <w:r w:rsidRPr="004B5630">
        <w:rPr>
          <w:sz w:val="18"/>
          <w:szCs w:val="18"/>
        </w:rPr>
        <w:tab/>
        <w:t>Por exemplo</w:t>
      </w:r>
      <w:bookmarkStart w:id="726" w:name="_Hlk37782633"/>
      <w:r w:rsidRPr="004B5630">
        <w:rPr>
          <w:sz w:val="18"/>
          <w:szCs w:val="18"/>
        </w:rPr>
        <w:t xml:space="preserve">, </w:t>
      </w:r>
      <w:r w:rsidRPr="004B5630">
        <w:rPr>
          <w:rFonts w:eastAsia="Times New Roman" w:cs="Calibri"/>
          <w:sz w:val="18"/>
          <w:szCs w:val="18"/>
          <w:lang w:eastAsia="pt-PT"/>
        </w:rPr>
        <w:t xml:space="preserve">CC CNEF/SEPLEU – BTE 5/2019 (cl.3ª,i)); </w:t>
      </w:r>
      <w:bookmarkEnd w:id="726"/>
      <w:r w:rsidRPr="004B5630">
        <w:rPr>
          <w:rFonts w:eastAsia="Times New Roman" w:cs="Calibri"/>
          <w:sz w:val="18"/>
          <w:szCs w:val="18"/>
          <w:lang w:eastAsia="pt-PT"/>
        </w:rPr>
        <w:t>AE LOURES PARQUE/STAL – BTE 7/2019 (cl.17.º,1.j)).</w:t>
      </w:r>
    </w:p>
  </w:footnote>
  <w:footnote w:id="452">
    <w:p w14:paraId="2A611765" w14:textId="076D4C3E" w:rsidR="004B7DBA" w:rsidRPr="004B5630" w:rsidRDefault="004B7DBA" w:rsidP="00D966C6">
      <w:pPr>
        <w:tabs>
          <w:tab w:val="left" w:pos="426"/>
        </w:tabs>
        <w:spacing w:after="0" w:line="240" w:lineRule="auto"/>
        <w:ind w:left="425" w:right="57" w:hanging="425"/>
        <w:jc w:val="both"/>
        <w:rPr>
          <w:rFonts w:eastAsia="Times New Roman" w:cs="Calibri"/>
          <w:sz w:val="18"/>
          <w:szCs w:val="18"/>
          <w:lang w:eastAsia="pt-PT"/>
        </w:rPr>
      </w:pPr>
      <w:r w:rsidRPr="004B5630">
        <w:rPr>
          <w:rStyle w:val="Refdenotaderodap"/>
          <w:sz w:val="18"/>
          <w:szCs w:val="18"/>
        </w:rPr>
        <w:footnoteRef/>
      </w:r>
      <w:r w:rsidRPr="004B5630">
        <w:rPr>
          <w:rStyle w:val="Refdenotaderodap"/>
          <w:sz w:val="18"/>
          <w:szCs w:val="18"/>
        </w:rPr>
        <w:t xml:space="preserve"> </w:t>
      </w:r>
      <w:r w:rsidRPr="004B5630">
        <w:rPr>
          <w:sz w:val="18"/>
          <w:szCs w:val="18"/>
        </w:rPr>
        <w:t xml:space="preserve">  </w:t>
      </w:r>
      <w:r w:rsidRPr="004B5630">
        <w:rPr>
          <w:sz w:val="18"/>
          <w:szCs w:val="18"/>
        </w:rPr>
        <w:tab/>
        <w:t xml:space="preserve">Nesse sentido, </w:t>
      </w:r>
      <w:r w:rsidRPr="004B5630">
        <w:rPr>
          <w:rFonts w:eastAsia="Times New Roman" w:cs="Calibri"/>
          <w:sz w:val="18"/>
          <w:szCs w:val="18"/>
          <w:lang w:eastAsia="pt-PT"/>
        </w:rPr>
        <w:t>AE INATEL/FESAHT, INATEL/SINTAP  e INATEL/SITESE –  todos BTE 6/2019 (cl.23ª,d) e i)).</w:t>
      </w:r>
    </w:p>
  </w:footnote>
  <w:footnote w:id="453">
    <w:p w14:paraId="69CB570B" w14:textId="6CD57603" w:rsidR="004B7DBA" w:rsidRPr="004B5630" w:rsidRDefault="004B7DBA" w:rsidP="00D966C6">
      <w:pPr>
        <w:pStyle w:val="Textodenotaderodap"/>
        <w:tabs>
          <w:tab w:val="left" w:pos="426"/>
        </w:tabs>
        <w:ind w:left="425" w:right="57"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 Esta regra entrou em vigor em outubro de 2019, quando 85% das convenções de 2019 já haviam sido publicadas.  </w:t>
      </w:r>
    </w:p>
  </w:footnote>
  <w:footnote w:id="454">
    <w:p w14:paraId="38D71EEB" w14:textId="37A93DC9" w:rsidR="004B7DBA" w:rsidRPr="004B5630" w:rsidRDefault="004B7DBA" w:rsidP="00D966C6">
      <w:pPr>
        <w:tabs>
          <w:tab w:val="left" w:pos="426"/>
        </w:tabs>
        <w:spacing w:after="0" w:line="240" w:lineRule="auto"/>
        <w:ind w:left="425" w:right="57" w:hanging="425"/>
        <w:jc w:val="both"/>
        <w:rPr>
          <w:rFonts w:eastAsia="Times New Roman" w:cs="Calibri"/>
          <w:sz w:val="18"/>
          <w:szCs w:val="18"/>
          <w:lang w:eastAsia="pt-PT"/>
        </w:rPr>
      </w:pPr>
      <w:r w:rsidRPr="004B5630">
        <w:rPr>
          <w:rStyle w:val="Refdenotaderodap"/>
          <w:sz w:val="18"/>
          <w:szCs w:val="18"/>
        </w:rPr>
        <w:footnoteRef/>
      </w:r>
      <w:r w:rsidRPr="004B5630">
        <w:rPr>
          <w:rStyle w:val="Refdenotaderodap"/>
          <w:sz w:val="18"/>
          <w:szCs w:val="18"/>
          <w:vertAlign w:val="baseline"/>
        </w:rPr>
        <w:t xml:space="preserve"> </w:t>
      </w:r>
      <w:r w:rsidRPr="004B5630">
        <w:rPr>
          <w:sz w:val="18"/>
          <w:szCs w:val="18"/>
        </w:rPr>
        <w:tab/>
        <w:t xml:space="preserve"> Por exemplo, os </w:t>
      </w:r>
      <w:r w:rsidRPr="004B5630">
        <w:rPr>
          <w:rFonts w:eastAsia="Times New Roman" w:cs="Calibri"/>
          <w:sz w:val="18"/>
          <w:szCs w:val="18"/>
          <w:lang w:eastAsia="pt-PT"/>
        </w:rPr>
        <w:t>CC ACRAL/CESP – BTE 16/2019 e ACRAL/SITESE - BTE 24/2019 (ambos Anexo IV nota)</w:t>
      </w:r>
      <w:r w:rsidRPr="004B5630">
        <w:rPr>
          <w:sz w:val="18"/>
          <w:szCs w:val="18"/>
        </w:rPr>
        <w:t>.</w:t>
      </w:r>
    </w:p>
  </w:footnote>
  <w:footnote w:id="455">
    <w:p w14:paraId="2FC9FE54" w14:textId="45AC6F59" w:rsidR="004B7DBA" w:rsidRPr="004B5630" w:rsidRDefault="004B7DBA" w:rsidP="00D966C6">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Por exemplo, </w:t>
      </w:r>
      <w:r w:rsidRPr="004B5630">
        <w:rPr>
          <w:rFonts w:cs="Calibri"/>
          <w:sz w:val="18"/>
          <w:szCs w:val="18"/>
        </w:rPr>
        <w:t>AE Risto Rail Portugal/FESAHT - BTE 26/2019</w:t>
      </w:r>
      <w:r w:rsidRPr="004B5630">
        <w:rPr>
          <w:sz w:val="18"/>
          <w:szCs w:val="18"/>
        </w:rPr>
        <w:t xml:space="preserve"> (cl. 13ª,c) e l)).</w:t>
      </w:r>
    </w:p>
  </w:footnote>
  <w:footnote w:id="456">
    <w:p w14:paraId="732EB800" w14:textId="6E109CBF" w:rsidR="004B7DBA" w:rsidRPr="004B5630" w:rsidRDefault="004B7DBA" w:rsidP="00D966C6">
      <w:pPr>
        <w:tabs>
          <w:tab w:val="left" w:pos="426"/>
        </w:tabs>
        <w:spacing w:after="0" w:line="240" w:lineRule="auto"/>
        <w:ind w:left="425" w:hanging="425"/>
        <w:jc w:val="both"/>
        <w:rPr>
          <w:rStyle w:val="Refdenotaderodap"/>
          <w:rFonts w:eastAsia="Times New Roman" w:cs="Calibri"/>
          <w:strike/>
          <w:sz w:val="18"/>
          <w:szCs w:val="18"/>
          <w:vertAlign w:val="baseline"/>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Por exemplo: </w:t>
      </w:r>
      <w:r w:rsidRPr="004B5630">
        <w:rPr>
          <w:rFonts w:eastAsia="Times New Roman" w:cs="Calibri"/>
          <w:sz w:val="18"/>
          <w:szCs w:val="18"/>
          <w:lang w:eastAsia="pt-PT"/>
        </w:rPr>
        <w:t xml:space="preserve">AE OPERESTIVA/STPSET - BTE 26/2019 (cl.27ª,d)). </w:t>
      </w:r>
    </w:p>
  </w:footnote>
  <w:footnote w:id="457">
    <w:p w14:paraId="6255CFE2" w14:textId="58ECF0AB" w:rsidR="004B7DBA" w:rsidRPr="004B5630" w:rsidRDefault="004B7DBA" w:rsidP="00D966C6">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t xml:space="preserve">Por exemplo: </w:t>
      </w:r>
      <w:r w:rsidRPr="004B5630">
        <w:rPr>
          <w:rFonts w:eastAsia="Times New Roman" w:cs="Calibri"/>
          <w:sz w:val="18"/>
          <w:szCs w:val="18"/>
          <w:lang w:eastAsia="pt-PT"/>
        </w:rPr>
        <w:t xml:space="preserve">AE ALMAMUSICA/SPGL – BTE 4/2019 [cl.5ª,m)]; CC AESIRF/ASSP - BTE 26/2019 (cl13.º,2); </w:t>
      </w:r>
      <w:r w:rsidRPr="004B5630">
        <w:rPr>
          <w:rFonts w:cs="Calibri"/>
          <w:sz w:val="18"/>
          <w:szCs w:val="18"/>
        </w:rPr>
        <w:t xml:space="preserve">e também no  </w:t>
      </w:r>
      <w:r w:rsidRPr="004B5630">
        <w:rPr>
          <w:rFonts w:eastAsia="Times New Roman" w:cs="Calibri"/>
          <w:sz w:val="18"/>
          <w:szCs w:val="18"/>
          <w:lang w:eastAsia="pt-PT"/>
        </w:rPr>
        <w:t>AE OPERESTIVA/STPSET - BTE 26/2019 (cl.29ª,i) e 90ª), onde a recusa injustificada de frequência da formação profissional, pode ter reflexos na progressão do trabalhador.</w:t>
      </w:r>
    </w:p>
  </w:footnote>
  <w:footnote w:id="458">
    <w:p w14:paraId="111502EC" w14:textId="2DF4A26F" w:rsidR="004B7DBA" w:rsidRPr="004B5630" w:rsidRDefault="004B7DBA" w:rsidP="00D966C6">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cs="Calibri"/>
          <w:sz w:val="18"/>
          <w:szCs w:val="18"/>
        </w:rPr>
        <w:t xml:space="preserve">A formação profissional pode surgir, simultaneamente, enquanto direito e dever do trabalhador, por exemplo, CC ADIPA (Retalhistas)/ SITESE – BTE 14/2019 (cl.) e AE Seguradoras Unidas/SINAPSA – BTE 5/2019 e AE AIG EUROPE/STAS – BTE 17/2019 (ambos cl.8.º-2.c)); ou enquanto dever de ambas as partes, assim, AC BRISA/SETACCOP – BTE 36/2019 (cl.78.º,2) e </w:t>
      </w:r>
      <w:r w:rsidRPr="004B5630">
        <w:rPr>
          <w:sz w:val="18"/>
          <w:szCs w:val="18"/>
        </w:rPr>
        <w:t xml:space="preserve"> </w:t>
      </w:r>
      <w:r w:rsidRPr="004B5630">
        <w:rPr>
          <w:rFonts w:cs="Calibri"/>
          <w:sz w:val="18"/>
          <w:szCs w:val="18"/>
        </w:rPr>
        <w:t xml:space="preserve">CC ANTRAM/FECTRANS – BTE 45/2019 </w:t>
      </w:r>
      <w:r w:rsidRPr="004B5630">
        <w:rPr>
          <w:sz w:val="18"/>
          <w:szCs w:val="18"/>
        </w:rPr>
        <w:t>(cls. 12.ª, 1 h); 69ª e 85ª,1 e 2).</w:t>
      </w:r>
    </w:p>
  </w:footnote>
  <w:footnote w:id="459">
    <w:p w14:paraId="6E1DC7D6" w14:textId="18A9DA1D" w:rsidR="004B7DBA" w:rsidRPr="004B5630" w:rsidRDefault="004B7DBA" w:rsidP="00D966C6">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Por exemplo, o </w:t>
      </w:r>
      <w:r w:rsidRPr="004B5630">
        <w:rPr>
          <w:rFonts w:eastAsia="Times New Roman" w:cs="Calibri"/>
          <w:sz w:val="18"/>
          <w:szCs w:val="18"/>
          <w:lang w:eastAsia="pt-PT"/>
        </w:rPr>
        <w:t>AE OPERESTIVA/STPSET - BTE 26/2019 (cl.89º,2); CC ANIECA/FECTRANS – BTE 13/2019 e CC ANORECA/FECTRANS – BTE 17/2019 (ambos cl.</w:t>
      </w:r>
      <w:r w:rsidRPr="004B5630">
        <w:rPr>
          <w:rFonts w:cs="Calibri"/>
          <w:sz w:val="18"/>
          <w:szCs w:val="18"/>
        </w:rPr>
        <w:t xml:space="preserve"> </w:t>
      </w:r>
      <w:r w:rsidRPr="004B5630">
        <w:rPr>
          <w:sz w:val="18"/>
          <w:szCs w:val="18"/>
        </w:rPr>
        <w:t>11.ª, 7</w:t>
      </w:r>
      <w:r w:rsidRPr="004B5630">
        <w:rPr>
          <w:rFonts w:cs="Calibri"/>
          <w:sz w:val="18"/>
          <w:szCs w:val="18"/>
        </w:rPr>
        <w:t xml:space="preserve">) [(=) respetivamente, </w:t>
      </w:r>
      <w:r w:rsidRPr="004B5630">
        <w:rPr>
          <w:sz w:val="18"/>
          <w:szCs w:val="18"/>
        </w:rPr>
        <w:t xml:space="preserve">BTE 10/2018  e BTE 13/2018]; </w:t>
      </w:r>
      <w:r w:rsidRPr="004B5630">
        <w:rPr>
          <w:rFonts w:eastAsia="Times New Roman" w:cs="Calibri"/>
          <w:sz w:val="18"/>
          <w:szCs w:val="18"/>
          <w:lang w:eastAsia="pt-PT"/>
        </w:rPr>
        <w:t>AC BRISA/SETACCOP – BTE 36/2019 (cl.78.º,1).</w:t>
      </w:r>
    </w:p>
  </w:footnote>
  <w:footnote w:id="460">
    <w:p w14:paraId="07884E1D" w14:textId="1D0A2B36" w:rsidR="004B7DBA" w:rsidRPr="004B5630" w:rsidRDefault="004B7DBA" w:rsidP="00D966C6">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rStyle w:val="Refdenotaderodap"/>
          <w:sz w:val="18"/>
          <w:szCs w:val="18"/>
        </w:rPr>
        <w:t xml:space="preserve"> </w:t>
      </w:r>
      <w:r w:rsidRPr="004B5630">
        <w:rPr>
          <w:sz w:val="18"/>
          <w:szCs w:val="18"/>
        </w:rPr>
        <w:tab/>
        <w:t xml:space="preserve">Por exemplo, os </w:t>
      </w:r>
      <w:r w:rsidRPr="004B5630">
        <w:rPr>
          <w:rFonts w:eastAsia="Times New Roman" w:cs="Calibri"/>
          <w:sz w:val="18"/>
          <w:szCs w:val="18"/>
          <w:lang w:eastAsia="pt-PT"/>
        </w:rPr>
        <w:t>AE PETROGAL/SITESE, PETROGAL/FIEQUIMETAL e PETROGAL/COFESINT – todos BTE 35/2019 (cl.104ª); AE RYANAIR/SPAC – BTE 48/2019 (7.2); AE UCS/SIMA – BTE 14/2019 (cl.64º).</w:t>
      </w:r>
    </w:p>
  </w:footnote>
  <w:footnote w:id="461">
    <w:p w14:paraId="13295B45" w14:textId="4D26370C" w:rsidR="004B7DBA" w:rsidRPr="004B5630" w:rsidRDefault="004B7DBA" w:rsidP="00D966C6">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rStyle w:val="Refdenotaderodap"/>
          <w:sz w:val="18"/>
          <w:szCs w:val="18"/>
        </w:rPr>
        <w:t xml:space="preserve"> </w:t>
      </w:r>
      <w:r w:rsidRPr="004B5630">
        <w:rPr>
          <w:sz w:val="18"/>
          <w:szCs w:val="18"/>
        </w:rPr>
        <w:t xml:space="preserve"> </w:t>
      </w:r>
      <w:r w:rsidRPr="004B5630">
        <w:rPr>
          <w:rFonts w:cs="Calibri"/>
          <w:sz w:val="18"/>
          <w:szCs w:val="18"/>
        </w:rPr>
        <w:t xml:space="preserve"> </w:t>
      </w:r>
      <w:r w:rsidRPr="004B5630">
        <w:rPr>
          <w:rFonts w:cs="Calibri"/>
          <w:sz w:val="18"/>
          <w:szCs w:val="18"/>
        </w:rPr>
        <w:tab/>
      </w:r>
      <w:r w:rsidRPr="004B5630">
        <w:rPr>
          <w:rFonts w:eastAsia="Times New Roman" w:cs="Calibri"/>
          <w:sz w:val="18"/>
          <w:szCs w:val="18"/>
          <w:lang w:eastAsia="pt-PT"/>
        </w:rPr>
        <w:t>AE The Navigator Company/ FETESE – BTE 45/2019 (cl.4ª,3) e paralelos.</w:t>
      </w:r>
    </w:p>
  </w:footnote>
  <w:footnote w:id="462">
    <w:p w14:paraId="349F2A67" w14:textId="6BDD56CE" w:rsidR="004B7DBA" w:rsidRPr="004B5630" w:rsidRDefault="004B7DBA" w:rsidP="00D966C6">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 xml:space="preserve"> </w:t>
      </w:r>
      <w:r w:rsidRPr="004B5630">
        <w:rPr>
          <w:sz w:val="18"/>
          <w:szCs w:val="18"/>
        </w:rPr>
        <w:tab/>
        <w:t>A</w:t>
      </w:r>
      <w:r w:rsidRPr="004B5630">
        <w:rPr>
          <w:rFonts w:eastAsia="Times New Roman" w:cs="Calibri"/>
          <w:sz w:val="18"/>
          <w:szCs w:val="18"/>
          <w:lang w:eastAsia="pt-PT"/>
        </w:rPr>
        <w:t>C Indorama Portugal/COFESINT – BTE 31/2019 (cl.3ª).</w:t>
      </w:r>
    </w:p>
  </w:footnote>
  <w:footnote w:id="463">
    <w:p w14:paraId="592A7E12" w14:textId="7AC04898" w:rsidR="004B7DBA" w:rsidRPr="004B5630" w:rsidRDefault="004B7DBA" w:rsidP="00D966C6">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rFonts w:cstheme="minorHAnsi"/>
          <w:sz w:val="18"/>
          <w:szCs w:val="18"/>
        </w:rPr>
        <w:t xml:space="preserve"> </w:t>
      </w:r>
      <w:r w:rsidRPr="004B5630">
        <w:rPr>
          <w:rFonts w:cstheme="minorHAnsi"/>
          <w:sz w:val="18"/>
          <w:szCs w:val="18"/>
        </w:rPr>
        <w:tab/>
        <w:t xml:space="preserve">Exemplo, </w:t>
      </w:r>
      <w:r w:rsidRPr="004B5630">
        <w:rPr>
          <w:rFonts w:eastAsia="Times New Roman" w:cs="Calibri"/>
          <w:sz w:val="18"/>
          <w:szCs w:val="18"/>
          <w:lang w:eastAsia="pt-PT"/>
        </w:rPr>
        <w:t>AE CARRISTUR/SITRA – BTE 47/2019 (cl.8ª,3), AE Easyjet Airline Company/ SNPVAC - BTE 28/2019 (cl.32)</w:t>
      </w:r>
    </w:p>
    <w:p w14:paraId="4E334B69" w14:textId="77777777" w:rsidR="004B7DBA" w:rsidRPr="004B5630" w:rsidRDefault="004B7DBA" w:rsidP="00D966C6">
      <w:pPr>
        <w:pStyle w:val="Textodenotaderodap"/>
        <w:tabs>
          <w:tab w:val="left" w:pos="426"/>
        </w:tabs>
        <w:ind w:left="425" w:hanging="425"/>
        <w:rPr>
          <w:sz w:val="18"/>
          <w:szCs w:val="18"/>
        </w:rPr>
      </w:pPr>
      <w:r w:rsidRPr="004B5630">
        <w:rPr>
          <w:sz w:val="18"/>
          <w:szCs w:val="18"/>
        </w:rPr>
        <w:t xml:space="preserve"> </w:t>
      </w:r>
      <w:r w:rsidRPr="004B5630">
        <w:rPr>
          <w:sz w:val="18"/>
          <w:szCs w:val="18"/>
        </w:rPr>
        <w:tab/>
        <w:t>no setor portuário há carreiras cujo acesso requer formação profissional.</w:t>
      </w:r>
    </w:p>
  </w:footnote>
  <w:footnote w:id="464">
    <w:p w14:paraId="20E0D0F1" w14:textId="67972FCD" w:rsidR="004B7DBA" w:rsidRPr="004B5630" w:rsidRDefault="004B7DBA" w:rsidP="00D966C6">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AC LUSITÂNIA/SINAPSA - BTE 21/2019 (cl.6ª).</w:t>
      </w:r>
    </w:p>
  </w:footnote>
  <w:footnote w:id="465">
    <w:p w14:paraId="6BBC6033" w14:textId="73BC25E2" w:rsidR="004B7DBA" w:rsidRPr="004B5630" w:rsidRDefault="004B7DBA" w:rsidP="00D966C6">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Os </w:t>
      </w:r>
      <w:r w:rsidRPr="004B5630">
        <w:rPr>
          <w:rFonts w:eastAsia="Times New Roman" w:cs="Calibri"/>
          <w:sz w:val="18"/>
          <w:szCs w:val="18"/>
          <w:lang w:eastAsia="pt-PT"/>
        </w:rPr>
        <w:t>AE PETROGAL/SITESE, AE PETROGAL/FIEQUIMETAL e PETROGAL/COFESINT – todos BTE 35/2019 (cl.106ª); AE BMO PORTUGAL/SNQTB – BTE 5/2019 (cl.23ª e 34ª).</w:t>
      </w:r>
    </w:p>
  </w:footnote>
  <w:footnote w:id="466">
    <w:p w14:paraId="34C37CA3" w14:textId="6D1CDF7B" w:rsidR="004B7DBA" w:rsidRPr="004B5630" w:rsidRDefault="004B7DBA" w:rsidP="00D966C6">
      <w:pPr>
        <w:tabs>
          <w:tab w:val="left" w:pos="426"/>
        </w:tabs>
        <w:spacing w:after="0" w:line="240" w:lineRule="auto"/>
        <w:ind w:left="425" w:hanging="425"/>
        <w:jc w:val="both"/>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cfr. art.112.º, n.4, CT :“O período experimental, (…) é reduzido ou excluído, consoante a duração de anterior contrato a termo para a mesma atividade, de contrato de trabalho temporário executado no mesmo posto de trabalho, de contrato de prestação de serviços para o mesmo objeto, ou ainda de estágio profissional para a mesma atividade, tenha sido inferior ou igual ou superior à duração daquele, desde que em qualquer dos casos sejam celebrados pelo mesmo empregador.”</w:t>
      </w:r>
    </w:p>
  </w:footnote>
  <w:footnote w:id="467">
    <w:p w14:paraId="4A9159A6" w14:textId="5B6DF3E3" w:rsidR="004B7DBA" w:rsidRPr="004B5630" w:rsidRDefault="004B7DBA" w:rsidP="00D966C6">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t xml:space="preserve">Em 2019, são 30 as convenções que referem a contratação de menores. A maioria remete para cumprimento da lei. Por exemplo </w:t>
      </w:r>
      <w:r w:rsidRPr="004B5630">
        <w:rPr>
          <w:rFonts w:cstheme="minorHAnsi"/>
          <w:sz w:val="18"/>
          <w:szCs w:val="18"/>
        </w:rPr>
        <w:t xml:space="preserve">CC APEC/FECTRANS – BTE 1/9019 (cl. 48ª). [(=) BTE 12/2018] e </w:t>
      </w:r>
      <w:r w:rsidRPr="004B5630">
        <w:rPr>
          <w:rFonts w:eastAsia="Times New Roman" w:cs="Calibri"/>
          <w:sz w:val="18"/>
          <w:szCs w:val="18"/>
          <w:lang w:eastAsia="pt-PT"/>
        </w:rPr>
        <w:t>AE CARRISBUS/SITRA - BTE 20/2019 (cl.4º); CC ALIF/SETAAB – BTE 17/2019 (cl.54.º)</w:t>
      </w:r>
      <w:r w:rsidRPr="004B5630">
        <w:rPr>
          <w:rFonts w:cstheme="minorHAnsi"/>
          <w:sz w:val="18"/>
          <w:szCs w:val="18"/>
        </w:rPr>
        <w:t xml:space="preserve">; </w:t>
      </w:r>
      <w:r w:rsidRPr="004B5630">
        <w:rPr>
          <w:rFonts w:eastAsia="Times New Roman" w:cs="Calibri"/>
          <w:sz w:val="18"/>
          <w:szCs w:val="18"/>
          <w:lang w:eastAsia="pt-PT"/>
        </w:rPr>
        <w:t xml:space="preserve">CC ANTROP/SNM - BTE 35/2019 (cl.4.º) e paralelos; CC ADCP/SETAAB – BTE 15/2019 (cl.52.º) (e 36 em </w:t>
      </w:r>
      <w:r w:rsidRPr="004B5630">
        <w:rPr>
          <w:sz w:val="18"/>
          <w:szCs w:val="18"/>
        </w:rPr>
        <w:t>2018).</w:t>
      </w:r>
    </w:p>
  </w:footnote>
  <w:footnote w:id="468">
    <w:p w14:paraId="45290661" w14:textId="0E9B66BE" w:rsidR="004B7DBA" w:rsidRPr="004B5630" w:rsidRDefault="004B7DBA" w:rsidP="00D966C6">
      <w:pPr>
        <w:pStyle w:val="Textodenotaderodap"/>
        <w:tabs>
          <w:tab w:val="left" w:pos="426"/>
        </w:tabs>
        <w:ind w:left="425" w:hanging="425"/>
        <w:rPr>
          <w:sz w:val="18"/>
          <w:szCs w:val="18"/>
        </w:rPr>
      </w:pPr>
      <w:r w:rsidRPr="004B5630">
        <w:rPr>
          <w:rStyle w:val="Refdenotaderodap"/>
          <w:sz w:val="18"/>
          <w:szCs w:val="18"/>
        </w:rPr>
        <w:footnoteRef/>
      </w:r>
      <w:r w:rsidRPr="004B5630">
        <w:rPr>
          <w:rStyle w:val="Refdenotaderodap"/>
          <w:sz w:val="18"/>
          <w:szCs w:val="18"/>
          <w:vertAlign w:val="baseline"/>
        </w:rPr>
        <w:t xml:space="preserve"> </w:t>
      </w:r>
      <w:r w:rsidRPr="004B5630">
        <w:rPr>
          <w:sz w:val="18"/>
          <w:szCs w:val="18"/>
        </w:rPr>
        <w:tab/>
      </w:r>
      <w:r w:rsidRPr="004B5630">
        <w:rPr>
          <w:rFonts w:cs="Calibri"/>
          <w:sz w:val="18"/>
          <w:szCs w:val="18"/>
        </w:rPr>
        <w:t xml:space="preserve">CC ANIECA/FECTRANS – BTE 13/2019 e CC ANORECA/FECTRANS – BTE 17/2019 (ambos cl. </w:t>
      </w:r>
      <w:r w:rsidRPr="004B5630">
        <w:rPr>
          <w:sz w:val="18"/>
          <w:szCs w:val="18"/>
        </w:rPr>
        <w:t>51.ª,2</w:t>
      </w:r>
      <w:r w:rsidRPr="004B5630">
        <w:rPr>
          <w:rFonts w:cs="Calibri"/>
          <w:sz w:val="18"/>
          <w:szCs w:val="18"/>
        </w:rPr>
        <w:t xml:space="preserve">) [(=) respetivamente, </w:t>
      </w:r>
      <w:r w:rsidRPr="004B5630">
        <w:rPr>
          <w:sz w:val="18"/>
          <w:szCs w:val="18"/>
        </w:rPr>
        <w:t xml:space="preserve">BTE 10/2018 e BTE 13/2018]; e </w:t>
      </w:r>
      <w:r w:rsidRPr="004B5630">
        <w:rPr>
          <w:rFonts w:cs="Calibri"/>
          <w:sz w:val="18"/>
          <w:szCs w:val="18"/>
        </w:rPr>
        <w:t>CC AEVP/SINTICABA – BTE 6/2019 (cl.46ª)</w:t>
      </w:r>
      <w:r w:rsidRPr="004B5630">
        <w:rPr>
          <w:sz w:val="18"/>
          <w:szCs w:val="18"/>
        </w:rPr>
        <w:t xml:space="preserve"> [(=) BTE 29/2018].</w:t>
      </w:r>
    </w:p>
  </w:footnote>
  <w:footnote w:id="469">
    <w:p w14:paraId="51E67F3E" w14:textId="4E9E84F3" w:rsidR="004B7DBA" w:rsidRPr="004B5630" w:rsidRDefault="004B7DBA" w:rsidP="00D966C6">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CC ANTRAM/FECTRANS – BTE 45/2019 (cl.</w:t>
      </w:r>
      <w:r w:rsidRPr="004B5630">
        <w:rPr>
          <w:rFonts w:cs="Calibri"/>
          <w:sz w:val="18"/>
          <w:szCs w:val="18"/>
        </w:rPr>
        <w:t>4ª,3</w:t>
      </w:r>
      <w:r w:rsidRPr="004B5630">
        <w:rPr>
          <w:rFonts w:eastAsia="Times New Roman" w:cs="Calibri"/>
          <w:sz w:val="18"/>
          <w:szCs w:val="18"/>
          <w:lang w:eastAsia="pt-PT"/>
        </w:rPr>
        <w:t>)</w:t>
      </w:r>
      <w:r w:rsidRPr="004B5630">
        <w:rPr>
          <w:rFonts w:cs="Calibri"/>
          <w:sz w:val="18"/>
          <w:szCs w:val="18"/>
        </w:rPr>
        <w:t xml:space="preserve">; </w:t>
      </w:r>
      <w:r w:rsidRPr="004B5630">
        <w:rPr>
          <w:rFonts w:eastAsia="Times New Roman" w:cs="Calibri"/>
          <w:sz w:val="18"/>
          <w:szCs w:val="18"/>
          <w:lang w:eastAsia="pt-PT"/>
        </w:rPr>
        <w:t>CC ANIECA/FECTRANS – BTE 13/2019 e CC ANORECA/FECTRANS – BTE 17/2019 (ambos cl.</w:t>
      </w:r>
      <w:r w:rsidRPr="004B5630">
        <w:rPr>
          <w:rFonts w:cs="Calibri"/>
          <w:sz w:val="18"/>
          <w:szCs w:val="18"/>
        </w:rPr>
        <w:t xml:space="preserve"> </w:t>
      </w:r>
      <w:r w:rsidRPr="004B5630">
        <w:rPr>
          <w:rFonts w:eastAsia="Times New Roman" w:cs="Calibri"/>
          <w:sz w:val="18"/>
          <w:szCs w:val="18"/>
          <w:lang w:eastAsia="pt-PT"/>
        </w:rPr>
        <w:t>51.º</w:t>
      </w:r>
      <w:r w:rsidRPr="004B5630">
        <w:rPr>
          <w:rFonts w:cs="Calibri"/>
          <w:sz w:val="18"/>
          <w:szCs w:val="18"/>
        </w:rPr>
        <w:t xml:space="preserve">) </w:t>
      </w:r>
      <w:r w:rsidRPr="004B5630">
        <w:rPr>
          <w:rFonts w:eastAsia="Times New Roman" w:cs="Calibri"/>
          <w:sz w:val="18"/>
          <w:szCs w:val="18"/>
          <w:lang w:eastAsia="pt-PT"/>
        </w:rPr>
        <w:t>CC CNIS/FEPCES – BTE 41/2019 (cl.80.º) .</w:t>
      </w:r>
    </w:p>
  </w:footnote>
  <w:footnote w:id="470">
    <w:p w14:paraId="12AC5CB8" w14:textId="4AFCF839" w:rsidR="004B7DBA" w:rsidRPr="004B5630" w:rsidRDefault="004B7DBA" w:rsidP="00D966C6">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t xml:space="preserve">Por exemplo, </w:t>
      </w:r>
      <w:r w:rsidRPr="004B5630">
        <w:rPr>
          <w:rFonts w:eastAsia="Times New Roman" w:cs="Calibri"/>
          <w:sz w:val="18"/>
          <w:szCs w:val="18"/>
          <w:lang w:eastAsia="pt-PT"/>
        </w:rPr>
        <w:t xml:space="preserve">CC ALIF/SETAAB – BTE 17/2019 (cl.54.º); </w:t>
      </w:r>
      <w:r w:rsidRPr="004B5630">
        <w:rPr>
          <w:sz w:val="18"/>
          <w:szCs w:val="18"/>
        </w:rPr>
        <w:t xml:space="preserve">CC ANORECA/FECTRANS- BTE 13/2019 (cl. 51.ª); [(=)BTE 13/2018 CC] e  ANIECA/FECTRANS – BTE 13/2019 (cl. 51.ª) 7); [(=)BTE 10/2018 ]; </w:t>
      </w:r>
      <w:r w:rsidRPr="004B5630">
        <w:rPr>
          <w:rFonts w:eastAsia="Times New Roman" w:cs="Calibri"/>
          <w:sz w:val="18"/>
          <w:szCs w:val="18"/>
          <w:lang w:eastAsia="pt-PT"/>
        </w:rPr>
        <w:t>CC AEVP/SINTICABA – BTE 6/2019 (cl.46ª)</w:t>
      </w:r>
      <w:r w:rsidRPr="004B5630">
        <w:rPr>
          <w:sz w:val="18"/>
          <w:szCs w:val="18"/>
        </w:rPr>
        <w:t xml:space="preserve"> [(=)BTE 29/2018 ].</w:t>
      </w:r>
    </w:p>
  </w:footnote>
  <w:footnote w:id="471">
    <w:p w14:paraId="796DC799" w14:textId="106359CB" w:rsidR="004B7DBA" w:rsidRPr="004B5630" w:rsidRDefault="004B7DBA" w:rsidP="00D966C6">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Por exemplo, </w:t>
      </w:r>
      <w:r w:rsidRPr="004B5630">
        <w:rPr>
          <w:rFonts w:eastAsia="Times New Roman" w:cs="Calibri"/>
          <w:sz w:val="18"/>
          <w:szCs w:val="18"/>
          <w:lang w:eastAsia="pt-PT"/>
        </w:rPr>
        <w:t xml:space="preserve">o ViaPorto/SINFB – BTE 35/2019 (todos cl.13º,7) e pralelos. </w:t>
      </w:r>
      <w:r w:rsidRPr="004B5630">
        <w:rPr>
          <w:sz w:val="18"/>
          <w:szCs w:val="18"/>
        </w:rPr>
        <w:t xml:space="preserve">Em termos próximos do art.14º, da Lei n.º 105/2009, de 14 de setembro), ver </w:t>
      </w:r>
      <w:r w:rsidRPr="004B5630">
        <w:rPr>
          <w:rFonts w:eastAsia="Times New Roman" w:cs="Calibri"/>
          <w:sz w:val="18"/>
          <w:szCs w:val="18"/>
          <w:lang w:eastAsia="pt-PT"/>
        </w:rPr>
        <w:t xml:space="preserve">AC GENERALI/SINAPSA – BTE 13/2019 </w:t>
      </w:r>
      <w:r w:rsidRPr="004B5630">
        <w:rPr>
          <w:sz w:val="18"/>
          <w:szCs w:val="18"/>
        </w:rPr>
        <w:t xml:space="preserve">(cl. 9.ª,2); </w:t>
      </w:r>
      <w:r w:rsidRPr="004B5630">
        <w:rPr>
          <w:rFonts w:eastAsia="Times New Roman" w:cs="Calibri"/>
          <w:sz w:val="18"/>
          <w:szCs w:val="18"/>
          <w:lang w:eastAsia="pt-PT"/>
        </w:rPr>
        <w:t>AC Fidelidade/SINAPSA – BTE 5/2019</w:t>
      </w:r>
      <w:r w:rsidRPr="004B5630">
        <w:rPr>
          <w:sz w:val="18"/>
          <w:szCs w:val="18"/>
        </w:rPr>
        <w:t xml:space="preserve"> (cl.19ª,2 a 7)</w:t>
      </w:r>
      <w:r w:rsidRPr="004B5630">
        <w:rPr>
          <w:rFonts w:eastAsia="Times New Roman" w:cs="Calibri"/>
          <w:sz w:val="18"/>
          <w:szCs w:val="18"/>
          <w:lang w:eastAsia="pt-PT"/>
        </w:rPr>
        <w:t xml:space="preserve"> e AE Seguradoras Unidas/SINAPSA – BTE 5/2019 (cl.8ª,10).</w:t>
      </w:r>
    </w:p>
  </w:footnote>
  <w:footnote w:id="472">
    <w:p w14:paraId="038F20BD" w14:textId="3C3B5AB5" w:rsidR="004B7DBA" w:rsidRPr="004B5630" w:rsidRDefault="004B7DBA" w:rsidP="00D966C6">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CC ACIFF/CESP - BTE 23/2019 (cl.78ª,e)).</w:t>
      </w:r>
    </w:p>
  </w:footnote>
  <w:footnote w:id="473">
    <w:p w14:paraId="24E7925B" w14:textId="7D7EB901" w:rsidR="004B7DBA" w:rsidRPr="004B5630" w:rsidRDefault="004B7DBA" w:rsidP="00D966C6">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 xml:space="preserve"> </w:t>
      </w:r>
      <w:r w:rsidRPr="004B5630">
        <w:rPr>
          <w:sz w:val="18"/>
          <w:szCs w:val="18"/>
        </w:rPr>
        <w:tab/>
        <w:t xml:space="preserve">Nesse sentido, de 40H de formação anuais, ver </w:t>
      </w:r>
      <w:r w:rsidRPr="004B5630">
        <w:rPr>
          <w:rFonts w:eastAsia="Times New Roman" w:cs="Calibri"/>
          <w:sz w:val="18"/>
          <w:szCs w:val="18"/>
          <w:lang w:eastAsia="pt-PT"/>
        </w:rPr>
        <w:t>AE Europ Assistance – Seguros/SINAPSA - BTE 29/2019 (cl.7º,5).</w:t>
      </w:r>
      <w:r w:rsidRPr="004B5630">
        <w:rPr>
          <w:sz w:val="18"/>
          <w:szCs w:val="18"/>
        </w:rPr>
        <w:t xml:space="preserve"> </w:t>
      </w:r>
    </w:p>
  </w:footnote>
  <w:footnote w:id="474">
    <w:p w14:paraId="62E68087" w14:textId="4667BABE" w:rsidR="004B7DBA" w:rsidRPr="004B5630" w:rsidRDefault="004B7DBA" w:rsidP="00D966C6">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rFonts w:cs="Calibri"/>
          <w:sz w:val="18"/>
          <w:szCs w:val="18"/>
        </w:rPr>
        <w:t xml:space="preserve"> </w:t>
      </w:r>
      <w:r w:rsidRPr="004B5630">
        <w:rPr>
          <w:rFonts w:cs="Calibri"/>
          <w:sz w:val="18"/>
          <w:szCs w:val="18"/>
        </w:rPr>
        <w:tab/>
        <w:t xml:space="preserve">CC ANORECA/FECTRANS – BTE 17/2019 (cl. </w:t>
      </w:r>
      <w:r w:rsidRPr="004B5630">
        <w:rPr>
          <w:sz w:val="18"/>
          <w:szCs w:val="18"/>
        </w:rPr>
        <w:t>12.ª,2</w:t>
      </w:r>
      <w:r w:rsidRPr="004B5630">
        <w:rPr>
          <w:rFonts w:cs="Calibri"/>
          <w:sz w:val="18"/>
          <w:szCs w:val="18"/>
        </w:rPr>
        <w:t>) [(=)</w:t>
      </w:r>
      <w:r w:rsidRPr="004B5630">
        <w:rPr>
          <w:sz w:val="18"/>
          <w:szCs w:val="18"/>
        </w:rPr>
        <w:t xml:space="preserve">BTE 13/2018]. </w:t>
      </w:r>
    </w:p>
  </w:footnote>
  <w:footnote w:id="475">
    <w:p w14:paraId="3FDDA238" w14:textId="4223ED59" w:rsidR="004B7DBA" w:rsidRPr="004B5630" w:rsidRDefault="004B7DBA" w:rsidP="00D966C6">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eastAsia="Times New Roman" w:cs="Calibri"/>
          <w:sz w:val="18"/>
          <w:szCs w:val="18"/>
          <w:lang w:eastAsia="pt-PT"/>
        </w:rPr>
        <w:t xml:space="preserve">AC GENERALI/SINAPSA – BTE 13/2019 </w:t>
      </w:r>
      <w:r w:rsidRPr="004B5630">
        <w:rPr>
          <w:sz w:val="18"/>
          <w:szCs w:val="18"/>
        </w:rPr>
        <w:t>(cl. 9.ª, 4).</w:t>
      </w:r>
      <w:r w:rsidRPr="004B5630">
        <w:rPr>
          <w:rFonts w:eastAsia="Times New Roman" w:cs="Calibri"/>
          <w:sz w:val="18"/>
          <w:szCs w:val="18"/>
          <w:lang w:eastAsia="pt-PT"/>
        </w:rPr>
        <w:t xml:space="preserve"> [(=) </w:t>
      </w:r>
      <w:r w:rsidRPr="004B5630">
        <w:rPr>
          <w:sz w:val="18"/>
          <w:szCs w:val="18"/>
        </w:rPr>
        <w:t>AE Ponto Seguro/SINAPSA e outros – BTE 19/2018].</w:t>
      </w:r>
    </w:p>
  </w:footnote>
  <w:footnote w:id="476">
    <w:p w14:paraId="34A51CC1" w14:textId="4408DAD3" w:rsidR="004B7DBA" w:rsidRPr="004B5630" w:rsidRDefault="004B7DBA" w:rsidP="00720FC1">
      <w:pPr>
        <w:pStyle w:val="Textodenotaderodap"/>
        <w:tabs>
          <w:tab w:val="left" w:pos="426"/>
        </w:tabs>
        <w:ind w:left="425" w:hanging="425"/>
        <w:rPr>
          <w:b/>
          <w:i/>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vertAlign w:val="superscript"/>
        </w:rPr>
        <w:tab/>
      </w:r>
      <w:r w:rsidRPr="004B5630">
        <w:rPr>
          <w:sz w:val="18"/>
          <w:szCs w:val="18"/>
        </w:rPr>
        <w:t xml:space="preserve">Considera-se profissão regulamentada </w:t>
      </w:r>
      <w:r w:rsidRPr="004B5630">
        <w:rPr>
          <w:rFonts w:eastAsia="Calibri"/>
          <w:sz w:val="18"/>
          <w:szCs w:val="18"/>
        </w:rPr>
        <w:t xml:space="preserve">aquele cujo exercício depende de título profissional específico, quer para o acesso quer para manutenção do respetivo exercício profissional. </w:t>
      </w:r>
      <w:r w:rsidRPr="004B5630">
        <w:rPr>
          <w:rFonts w:eastAsia="Calibri"/>
          <w:b/>
          <w:i/>
          <w:sz w:val="18"/>
          <w:szCs w:val="18"/>
        </w:rPr>
        <w:t xml:space="preserve"> </w:t>
      </w:r>
    </w:p>
  </w:footnote>
  <w:footnote w:id="477">
    <w:p w14:paraId="3D4CECDC" w14:textId="008D1624" w:rsidR="004B7DBA" w:rsidRPr="004B5630" w:rsidRDefault="004B7DBA" w:rsidP="00720FC1">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t xml:space="preserve">É o caso das convenções do setor dos transportes: </w:t>
      </w:r>
      <w:r w:rsidRPr="004B5630">
        <w:rPr>
          <w:rFonts w:eastAsia="Times New Roman" w:cs="Calibri"/>
          <w:sz w:val="18"/>
          <w:szCs w:val="18"/>
          <w:lang w:eastAsia="pt-PT"/>
        </w:rPr>
        <w:t>CC ANIECA/FECTRANS – BTE 13/2019 e CC ANORECA/ FECTRANS – BTE 17/2019 (ambos cl.</w:t>
      </w:r>
      <w:r w:rsidRPr="004B5630">
        <w:rPr>
          <w:rFonts w:cs="Calibri"/>
          <w:sz w:val="18"/>
          <w:szCs w:val="18"/>
        </w:rPr>
        <w:t xml:space="preserve"> </w:t>
      </w:r>
      <w:r w:rsidRPr="004B5630">
        <w:rPr>
          <w:sz w:val="18"/>
          <w:szCs w:val="18"/>
        </w:rPr>
        <w:t>11.ª,3</w:t>
      </w:r>
      <w:r w:rsidRPr="004B5630">
        <w:rPr>
          <w:rFonts w:cs="Calibri"/>
          <w:sz w:val="18"/>
          <w:szCs w:val="18"/>
        </w:rPr>
        <w:t xml:space="preserve">) [(=) respetivamente, </w:t>
      </w:r>
      <w:r w:rsidRPr="004B5630">
        <w:rPr>
          <w:sz w:val="18"/>
          <w:szCs w:val="18"/>
        </w:rPr>
        <w:t xml:space="preserve">BTE 10/2018 e BTE 13/2018]; </w:t>
      </w:r>
      <w:r w:rsidRPr="004B5630">
        <w:rPr>
          <w:rFonts w:eastAsia="Times New Roman" w:cs="Calibri"/>
          <w:sz w:val="18"/>
          <w:szCs w:val="18"/>
          <w:lang w:eastAsia="pt-PT"/>
        </w:rPr>
        <w:t>AE CARRISBUS / SITRA - BTE 20/2019</w:t>
      </w:r>
      <w:r w:rsidRPr="004B5630">
        <w:rPr>
          <w:rFonts w:cs="Calibri"/>
          <w:sz w:val="18"/>
          <w:szCs w:val="18"/>
        </w:rPr>
        <w:t xml:space="preserve"> </w:t>
      </w:r>
      <w:r w:rsidRPr="004B5630">
        <w:rPr>
          <w:sz w:val="18"/>
          <w:szCs w:val="18"/>
        </w:rPr>
        <w:t xml:space="preserve">(cl.36ª);  </w:t>
      </w:r>
      <w:r w:rsidRPr="004B5630">
        <w:rPr>
          <w:rFonts w:eastAsia="Times New Roman" w:cs="Calibri"/>
          <w:sz w:val="18"/>
          <w:szCs w:val="18"/>
          <w:lang w:eastAsia="pt-PT"/>
        </w:rPr>
        <w:t xml:space="preserve">CC ANTRAM/FECTRANS – BTE 45/2019 </w:t>
      </w:r>
      <w:r w:rsidRPr="004B5630">
        <w:rPr>
          <w:sz w:val="18"/>
          <w:szCs w:val="18"/>
        </w:rPr>
        <w:t>(cl. 85ª, 1 e 2)</w:t>
      </w:r>
      <w:r w:rsidRPr="004B5630">
        <w:rPr>
          <w:rFonts w:cs="Calibri"/>
          <w:sz w:val="18"/>
          <w:szCs w:val="18"/>
        </w:rPr>
        <w:t xml:space="preserve"> </w:t>
      </w:r>
      <w:r w:rsidRPr="004B5630">
        <w:rPr>
          <w:rFonts w:eastAsia="Times New Roman" w:cs="Calibri"/>
          <w:sz w:val="18"/>
          <w:szCs w:val="18"/>
          <w:lang w:eastAsia="pt-PT"/>
        </w:rPr>
        <w:t xml:space="preserve">  [ (=)</w:t>
      </w:r>
      <w:r w:rsidRPr="004B5630">
        <w:rPr>
          <w:sz w:val="18"/>
          <w:szCs w:val="18"/>
        </w:rPr>
        <w:t xml:space="preserve">BTE 34/2018 (cl.78ª, 1)].; </w:t>
      </w:r>
      <w:r w:rsidRPr="004B5630">
        <w:rPr>
          <w:rFonts w:eastAsia="Times New Roman" w:cs="Calibri"/>
          <w:sz w:val="18"/>
          <w:szCs w:val="18"/>
          <w:lang w:eastAsia="pt-PT"/>
        </w:rPr>
        <w:t>AE CARRISTUR /SITRA – BTE 47/2019 (cl.70ª).</w:t>
      </w:r>
    </w:p>
  </w:footnote>
  <w:footnote w:id="478">
    <w:p w14:paraId="4B27781B" w14:textId="71DEFFC9" w:rsidR="004B7DBA" w:rsidRPr="004B5630" w:rsidRDefault="004B7DBA" w:rsidP="00720FC1">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cs="Calibri"/>
          <w:sz w:val="18"/>
          <w:szCs w:val="18"/>
        </w:rPr>
        <w:t xml:space="preserve">CC ANIECA/FECTRANS – BTE 13/2019 </w:t>
      </w:r>
      <w:r w:rsidRPr="004B5630">
        <w:rPr>
          <w:sz w:val="18"/>
          <w:szCs w:val="18"/>
        </w:rPr>
        <w:t>(cl. 12ª,2)</w:t>
      </w:r>
      <w:r w:rsidRPr="004B5630">
        <w:rPr>
          <w:rFonts w:cs="Calibri"/>
          <w:sz w:val="18"/>
          <w:szCs w:val="18"/>
        </w:rPr>
        <w:t xml:space="preserve"> [(=) </w:t>
      </w:r>
      <w:r w:rsidRPr="004B5630">
        <w:rPr>
          <w:sz w:val="18"/>
          <w:szCs w:val="18"/>
        </w:rPr>
        <w:t>BTE 10/2018];</w:t>
      </w:r>
    </w:p>
  </w:footnote>
  <w:footnote w:id="479">
    <w:p w14:paraId="443788E3" w14:textId="6DBD19E3" w:rsidR="004B7DBA" w:rsidRPr="004B5630" w:rsidRDefault="004B7DBA" w:rsidP="00720FC1">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CC ANF/SINPROFARM – BTE 48/2018 (cl. 4º); CC APROSE/STAS - BTE 40/2018 (cl. 8ª, 1, c)).</w:t>
      </w:r>
    </w:p>
  </w:footnote>
  <w:footnote w:id="480">
    <w:p w14:paraId="218B4794" w14:textId="2FFA24E1" w:rsidR="004B7DBA" w:rsidRPr="004B5630" w:rsidRDefault="004B7DBA" w:rsidP="00720FC1">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t xml:space="preserve">Exemplo, </w:t>
      </w:r>
      <w:r w:rsidRPr="004B5630">
        <w:rPr>
          <w:rFonts w:eastAsia="Times New Roman" w:cs="Calibri"/>
          <w:sz w:val="18"/>
          <w:szCs w:val="18"/>
          <w:lang w:eastAsia="pt-PT"/>
        </w:rPr>
        <w:t xml:space="preserve">AE Parques de Sintra/SINTAP – BTE 35/2019 (cl.68.º,4); </w:t>
      </w:r>
    </w:p>
  </w:footnote>
  <w:footnote w:id="481">
    <w:p w14:paraId="7745CDCE" w14:textId="76DE8D4A" w:rsidR="004B7DBA" w:rsidRPr="004B5630" w:rsidRDefault="004B7DBA" w:rsidP="00720FC1">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 CC ANORECA/FECTRANS – BTE 17/2019 (cl.12.ª, 2) </w:t>
      </w:r>
      <w:r w:rsidRPr="004B5630">
        <w:rPr>
          <w:rFonts w:cs="Calibri"/>
          <w:sz w:val="18"/>
          <w:szCs w:val="18"/>
        </w:rPr>
        <w:t>[(=)</w:t>
      </w:r>
      <w:r w:rsidRPr="004B5630">
        <w:rPr>
          <w:sz w:val="18"/>
          <w:szCs w:val="18"/>
        </w:rPr>
        <w:t xml:space="preserve">BTE 13/2018 ]; </w:t>
      </w:r>
      <w:r w:rsidRPr="004B5630">
        <w:rPr>
          <w:rFonts w:cs="Calibri"/>
          <w:sz w:val="18"/>
          <w:szCs w:val="18"/>
        </w:rPr>
        <w:t>AE</w:t>
      </w:r>
      <w:r w:rsidRPr="004B5630">
        <w:rPr>
          <w:sz w:val="18"/>
          <w:szCs w:val="18"/>
        </w:rPr>
        <w:t xml:space="preserve"> INATEL </w:t>
      </w:r>
      <w:r w:rsidRPr="004B5630">
        <w:rPr>
          <w:rFonts w:cs="Calibri"/>
          <w:sz w:val="18"/>
          <w:szCs w:val="18"/>
        </w:rPr>
        <w:t>AE INATEL/FESAHT, INATEL/SINTAP e INATEL/SITESE – todos BTE 6/2019 (cl.86ª);</w:t>
      </w:r>
    </w:p>
  </w:footnote>
  <w:footnote w:id="482">
    <w:p w14:paraId="4BF55E42" w14:textId="68F9AFCD" w:rsidR="004B7DBA" w:rsidRPr="004B5630" w:rsidRDefault="004B7DBA" w:rsidP="00720FC1">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AE A. ENSINO BENTO J. CARAÇA/FENPROF – BTE 12/2019 (cl.19ª,7.d)).</w:t>
      </w:r>
    </w:p>
  </w:footnote>
  <w:footnote w:id="483">
    <w:p w14:paraId="1F2DDEB9" w14:textId="3299E75E" w:rsidR="004B7DBA" w:rsidRPr="004B5630" w:rsidRDefault="004B7DBA" w:rsidP="00720FC1">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cs="Calibri"/>
          <w:sz w:val="18"/>
          <w:szCs w:val="18"/>
        </w:rPr>
        <w:t>CC GROQUIFAR-Farmacêuticos/ FIEQUIMETAL - BTE 19/2019 (cl.71ª,5).</w:t>
      </w:r>
    </w:p>
  </w:footnote>
  <w:footnote w:id="484">
    <w:p w14:paraId="3DC62364" w14:textId="0731937A" w:rsidR="004B7DBA" w:rsidRPr="004B5630" w:rsidRDefault="004B7DBA" w:rsidP="00720FC1">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cs="Calibri"/>
          <w:sz w:val="18"/>
          <w:szCs w:val="18"/>
        </w:rPr>
        <w:t>AC Indorama Portugal/COFESINT – BTE 31/2019 (cl.14ª,3).</w:t>
      </w:r>
    </w:p>
  </w:footnote>
  <w:footnote w:id="485">
    <w:p w14:paraId="75489867" w14:textId="5C6CBF92" w:rsidR="004B7DBA" w:rsidRPr="004B5630" w:rsidRDefault="004B7DBA" w:rsidP="00720FC1">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cs="Calibri"/>
          <w:sz w:val="18"/>
          <w:szCs w:val="18"/>
        </w:rPr>
        <w:t>CC AESIRF/ASSP - BTE 26/2019 (cl13.º,5), tal ocorre sempre que possível.</w:t>
      </w:r>
    </w:p>
  </w:footnote>
  <w:footnote w:id="486">
    <w:p w14:paraId="7D0BA8E4" w14:textId="1E8E88B5" w:rsidR="004B7DBA" w:rsidRPr="004B5630" w:rsidRDefault="004B7DBA" w:rsidP="00720FC1">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 xml:space="preserve">No </w:t>
      </w:r>
      <w:r w:rsidRPr="004B5630">
        <w:rPr>
          <w:rFonts w:cs="Calibri"/>
          <w:sz w:val="18"/>
          <w:szCs w:val="18"/>
        </w:rPr>
        <w:t xml:space="preserve">AE CARRISBUS/SITRA - BTE 20/2019 (cl.36ª,4º e 5) pode ainda relevar a formação no âmbito do voluntariado, desde que cumpridos certos parâmetros; </w:t>
      </w:r>
      <w:r w:rsidRPr="004B5630">
        <w:rPr>
          <w:rFonts w:cstheme="minorHAnsi"/>
          <w:sz w:val="18"/>
          <w:szCs w:val="18"/>
        </w:rPr>
        <w:t xml:space="preserve"> </w:t>
      </w:r>
    </w:p>
  </w:footnote>
  <w:footnote w:id="487">
    <w:p w14:paraId="435B2E3C" w14:textId="31FFA68D" w:rsidR="004B7DBA" w:rsidRPr="004B5630" w:rsidRDefault="004B7DBA" w:rsidP="00720FC1">
      <w:pPr>
        <w:tabs>
          <w:tab w:val="left" w:pos="426"/>
        </w:tabs>
        <w:spacing w:after="0" w:line="240" w:lineRule="auto"/>
        <w:ind w:left="425" w:hanging="425"/>
        <w:jc w:val="both"/>
        <w:rPr>
          <w:rFonts w:eastAsia="Times New Roman"/>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t>O AC COOPTOCHA e outras/SETAAB e outras – BTE 18/2019 (cl.75.ª,6) [(=)BTE 29/2018(cl.71.ª,6)], fixa um acréscimo salarial de 10%</w:t>
      </w:r>
    </w:p>
  </w:footnote>
  <w:footnote w:id="488">
    <w:p w14:paraId="1C0993EF" w14:textId="3E644EDC" w:rsidR="004B7DBA" w:rsidRPr="004B5630" w:rsidRDefault="004B7DBA" w:rsidP="00720FC1">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cs="Calibri"/>
          <w:sz w:val="18"/>
          <w:szCs w:val="18"/>
        </w:rPr>
        <w:t xml:space="preserve">AE Europa&amp;C/FIEQUIMETAL – BTE 8/2019 (cl.3ª,6) [(=) BTE 29/2016], </w:t>
      </w:r>
      <w:r w:rsidRPr="004B5630">
        <w:rPr>
          <w:rFonts w:eastAsia="Calibri" w:cs="Calibri"/>
          <w:sz w:val="18"/>
          <w:szCs w:val="18"/>
        </w:rPr>
        <w:t>em caso de reestruturação de serviços da empresa, dá-se preferência a reconversão de trabalhadores em vez de redução de postos de trabalho.</w:t>
      </w:r>
    </w:p>
  </w:footnote>
  <w:footnote w:id="489">
    <w:p w14:paraId="367CED06" w14:textId="33AB4C96" w:rsidR="004B7DBA" w:rsidRPr="004B5630" w:rsidRDefault="004B7DBA" w:rsidP="00720FC1">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t xml:space="preserve">Reconversão por razões de saúde, o </w:t>
      </w:r>
      <w:r w:rsidRPr="004B5630">
        <w:rPr>
          <w:rFonts w:eastAsia="Times New Roman" w:cs="Calibri"/>
          <w:sz w:val="18"/>
          <w:szCs w:val="18"/>
          <w:lang w:eastAsia="pt-PT"/>
        </w:rPr>
        <w:t xml:space="preserve">CC CNIS/FEPCES – BTE 41/2019 (cl.79º,2) </w:t>
      </w:r>
    </w:p>
  </w:footnote>
  <w:footnote w:id="490">
    <w:p w14:paraId="719DD7AB" w14:textId="36322E12" w:rsidR="004B7DBA" w:rsidRPr="004B5630" w:rsidRDefault="004B7DBA" w:rsidP="00720FC1">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t xml:space="preserve">Reconversão por razões </w:t>
      </w:r>
      <w:r w:rsidRPr="004B5630">
        <w:rPr>
          <w:rFonts w:eastAsia="Times New Roman" w:cs="Calibri"/>
          <w:sz w:val="18"/>
          <w:szCs w:val="18"/>
          <w:lang w:eastAsia="pt-PT"/>
        </w:rPr>
        <w:t xml:space="preserve">tecnológicas, o CC CNIS/FEPCES – BTE 41/2019 (cl.79º,2); </w:t>
      </w:r>
      <w:r w:rsidRPr="004B5630">
        <w:rPr>
          <w:sz w:val="18"/>
          <w:szCs w:val="18"/>
        </w:rPr>
        <w:t xml:space="preserve">os </w:t>
      </w:r>
      <w:r w:rsidRPr="004B5630">
        <w:rPr>
          <w:rFonts w:eastAsia="Times New Roman" w:cs="Calibri"/>
          <w:sz w:val="18"/>
          <w:szCs w:val="18"/>
          <w:lang w:eastAsia="pt-PT"/>
        </w:rPr>
        <w:t xml:space="preserve">AE PETROGAL/SITESE, AE PETROGAL/FIEQUIMETAL e PETROGAL/COFESINT – todos BTE 35/2019 (cl.102ª,1,d)); </w:t>
      </w:r>
      <w:r w:rsidRPr="004B5630">
        <w:rPr>
          <w:sz w:val="18"/>
          <w:szCs w:val="18"/>
        </w:rPr>
        <w:t>AC CAIMA/SITESE – BTE 24/2019 (cl. 8ª,1) [(=)CAIMA/FIEQUIMETAL – BTE 17/2018].</w:t>
      </w:r>
    </w:p>
  </w:footnote>
  <w:footnote w:id="491">
    <w:p w14:paraId="4F67A8D1" w14:textId="2AC18EE2" w:rsidR="004B7DBA" w:rsidRPr="004B5630" w:rsidRDefault="004B7DBA" w:rsidP="00720FC1">
      <w:pPr>
        <w:tabs>
          <w:tab w:val="left" w:pos="426"/>
        </w:tabs>
        <w:spacing w:after="0" w:line="240" w:lineRule="auto"/>
        <w:ind w:left="425" w:hanging="425"/>
        <w:jc w:val="both"/>
        <w:rPr>
          <w:rFonts w:eastAsia="Times New Roman" w:cs="Calibri"/>
          <w:strike/>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Por exemplo </w:t>
      </w:r>
      <w:r w:rsidRPr="004B5630">
        <w:rPr>
          <w:rFonts w:eastAsia="Times New Roman" w:cs="Calibri"/>
          <w:sz w:val="18"/>
          <w:szCs w:val="18"/>
          <w:lang w:eastAsia="pt-PT"/>
        </w:rPr>
        <w:t>AC LUSITÂNIA/SINAPSA - BTE 21/2019 (cl.10.º,3 e 4)</w:t>
      </w:r>
      <w:r w:rsidRPr="004B5630">
        <w:rPr>
          <w:strike/>
          <w:sz w:val="18"/>
          <w:szCs w:val="18"/>
        </w:rPr>
        <w:t>.</w:t>
      </w:r>
    </w:p>
  </w:footnote>
  <w:footnote w:id="492">
    <w:p w14:paraId="56C430C4" w14:textId="251109BD" w:rsidR="004B7DBA" w:rsidRPr="004B5630" w:rsidRDefault="004B7DBA" w:rsidP="00720FC1">
      <w:pPr>
        <w:pStyle w:val="Textodenotaderodap"/>
        <w:tabs>
          <w:tab w:val="left" w:pos="426"/>
        </w:tabs>
        <w:ind w:left="425" w:hanging="425"/>
        <w:rPr>
          <w:rFonts w:cs="Calibri"/>
          <w:sz w:val="18"/>
          <w:szCs w:val="18"/>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cs="Calibri"/>
          <w:sz w:val="18"/>
          <w:szCs w:val="18"/>
        </w:rPr>
        <w:t>O AE BMO PORTUGAL/SNQTB – BTE 5/2019 (cls.17ª e 28.ª), mediante acordo com o trabalhador, admite a realização de estágio ou formação profissional, em caso de mobilidade funcional ou de extinção de posto de trabalho, para categoria diferente daquela para a qual o trabalhador foi contratado. A aplicação deste regime pode merecer a apreciação da comissão paritária. O AC Indorama Portugal/COFESINT – BTE 31/2019 (cl.11ª,1,a)), prevê a reconversão do trabalhador para categoria profissional ou função compatível “quando a alteração tecnológica ou a reestruturação dos serviços tenham por consequência o desaparecimento de de</w:t>
      </w:r>
      <w:r w:rsidRPr="004B5630">
        <w:rPr>
          <w:rFonts w:cs="Calibri"/>
          <w:sz w:val="18"/>
          <w:szCs w:val="18"/>
        </w:rPr>
        <w:softHyphen/>
        <w:t>terminados postos de trabalho”.</w:t>
      </w:r>
    </w:p>
  </w:footnote>
  <w:footnote w:id="493">
    <w:p w14:paraId="3F8FBD0C" w14:textId="5266DAA4" w:rsidR="004B7DBA" w:rsidRPr="004B5630" w:rsidRDefault="004B7DBA" w:rsidP="00720FC1">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CC ANILACT/SIMA – BTE 13/2019 (cl. 7ª, 2). [(=)BTE 20/2018].</w:t>
      </w:r>
    </w:p>
  </w:footnote>
  <w:footnote w:id="494">
    <w:p w14:paraId="08545A24" w14:textId="77777777" w:rsidR="004B7DBA" w:rsidRPr="004B5630" w:rsidRDefault="004B7DBA" w:rsidP="00720FC1">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Por exemplo, o </w:t>
      </w:r>
      <w:r w:rsidRPr="004B5630">
        <w:rPr>
          <w:rFonts w:eastAsia="Times New Roman" w:cs="Calibri"/>
          <w:sz w:val="18"/>
          <w:szCs w:val="18"/>
          <w:lang w:eastAsia="pt-PT"/>
        </w:rPr>
        <w:t>AC BRISA/SETACCOP – BTE 36/2019 (cl.78.º,7) e as convenções do setor segurador.</w:t>
      </w:r>
    </w:p>
  </w:footnote>
  <w:footnote w:id="495">
    <w:p w14:paraId="2712D652" w14:textId="77777777" w:rsidR="004B7DBA" w:rsidRPr="004B5630" w:rsidRDefault="004B7DBA" w:rsidP="00720FC1">
      <w:pPr>
        <w:tabs>
          <w:tab w:val="left" w:pos="426"/>
        </w:tabs>
        <w:spacing w:after="0" w:line="240" w:lineRule="auto"/>
        <w:ind w:left="425" w:hanging="425"/>
        <w:jc w:val="both"/>
        <w:rPr>
          <w:rFonts w:eastAsia="Times New Roman"/>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sz w:val="18"/>
          <w:szCs w:val="18"/>
          <w:lang w:eastAsia="pt-PT"/>
        </w:rPr>
        <w:t xml:space="preserve">Nalgumas situações admite-se, inclusive, o ajustamento do horário enquanto decorrer a formação, é o caso do AE </w:t>
      </w:r>
    </w:p>
    <w:p w14:paraId="18B4C6F5" w14:textId="46BF985B" w:rsidR="004B7DBA" w:rsidRPr="004B5630" w:rsidRDefault="004B7DBA" w:rsidP="00720FC1">
      <w:pPr>
        <w:tabs>
          <w:tab w:val="left" w:pos="426"/>
        </w:tabs>
        <w:spacing w:after="0" w:line="240" w:lineRule="auto"/>
        <w:ind w:left="425" w:hanging="425"/>
        <w:jc w:val="both"/>
        <w:rPr>
          <w:rFonts w:eastAsia="Times New Roman"/>
          <w:sz w:val="18"/>
          <w:szCs w:val="18"/>
          <w:lang w:eastAsia="pt-PT"/>
        </w:rPr>
      </w:pPr>
      <w:r w:rsidRPr="004B5630">
        <w:rPr>
          <w:rFonts w:eastAsia="Times New Roman"/>
          <w:sz w:val="18"/>
          <w:szCs w:val="18"/>
          <w:lang w:eastAsia="pt-PT"/>
        </w:rPr>
        <w:tab/>
        <w:t>UCS/SIMA – BTE 14/2019 (cl.37ª).</w:t>
      </w:r>
    </w:p>
  </w:footnote>
  <w:footnote w:id="496">
    <w:p w14:paraId="6A415D33" w14:textId="260599C8" w:rsidR="004B7DBA" w:rsidRPr="004B5630" w:rsidRDefault="004B7DBA" w:rsidP="00720FC1">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cs="Calibri"/>
          <w:sz w:val="18"/>
          <w:szCs w:val="18"/>
        </w:rPr>
        <w:t xml:space="preserve">CC GROQUIFAR-Farmacêuticos/ FIEQUIMETAL - BTE 19/2019 (cl.71ª,5); </w:t>
      </w:r>
      <w:r w:rsidRPr="004B5630">
        <w:rPr>
          <w:rFonts w:eastAsia="Times New Roman" w:cs="Calibri"/>
          <w:sz w:val="18"/>
          <w:szCs w:val="18"/>
          <w:lang w:eastAsia="pt-PT"/>
        </w:rPr>
        <w:t xml:space="preserve">AC ZURICH/SINAPSA – BTE 17/2019 (cl.); AE AIG EUROPE/STAS – BTE 17/2019 (cl.17.º,7) </w:t>
      </w:r>
      <w:r w:rsidRPr="004B5630">
        <w:rPr>
          <w:rFonts w:cs="Calibri"/>
          <w:sz w:val="18"/>
          <w:szCs w:val="18"/>
        </w:rPr>
        <w:t xml:space="preserve"> </w:t>
      </w:r>
      <w:r w:rsidRPr="004B5630">
        <w:rPr>
          <w:rFonts w:eastAsia="Times New Roman" w:cs="Calibri"/>
          <w:sz w:val="18"/>
          <w:szCs w:val="18"/>
          <w:lang w:eastAsia="pt-PT"/>
        </w:rPr>
        <w:t>e outras  convenções do setor segurador.</w:t>
      </w:r>
    </w:p>
  </w:footnote>
  <w:footnote w:id="497">
    <w:p w14:paraId="68A15035" w14:textId="0B69926D" w:rsidR="004B7DBA" w:rsidRPr="004B5630" w:rsidRDefault="004B7DBA" w:rsidP="00720FC1">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AC BRISA/SETACCOP – BTE 36/2019 (cl.78.º).</w:t>
      </w:r>
    </w:p>
  </w:footnote>
  <w:footnote w:id="498">
    <w:p w14:paraId="0F8EE390" w14:textId="2CE7F3E9" w:rsidR="004B7DBA" w:rsidRPr="004B5630" w:rsidRDefault="004B7DBA" w:rsidP="00720FC1">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Por exemplo, </w:t>
      </w:r>
      <w:r w:rsidRPr="004B5630">
        <w:rPr>
          <w:rFonts w:eastAsia="Times New Roman" w:cs="Calibri"/>
          <w:sz w:val="18"/>
          <w:szCs w:val="18"/>
          <w:lang w:eastAsia="pt-PT"/>
        </w:rPr>
        <w:t>AE CARRISTUR/SITRA – BTE 47/2019 (cl.70ª); AC GENERALI/SINAPSA – BTE 13/2019 (cl.9ª,3).</w:t>
      </w:r>
    </w:p>
  </w:footnote>
  <w:footnote w:id="499">
    <w:p w14:paraId="77BCCAC6" w14:textId="77777777" w:rsidR="004B7DBA" w:rsidRPr="004B5630" w:rsidRDefault="004B7DBA" w:rsidP="00720FC1">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Nesse sentido, </w:t>
      </w:r>
      <w:r w:rsidRPr="004B5630">
        <w:rPr>
          <w:rFonts w:eastAsia="Times New Roman" w:cs="Calibri"/>
          <w:sz w:val="18"/>
          <w:szCs w:val="18"/>
          <w:lang w:eastAsia="pt-PT"/>
        </w:rPr>
        <w:t>CC CAP/SETAAB – BTE 8/2019 e CC AABA/SETAAB – BTE 11/2019 (ambos cl.75.º)</w:t>
      </w:r>
    </w:p>
  </w:footnote>
  <w:footnote w:id="500">
    <w:p w14:paraId="20BC085D" w14:textId="77777777" w:rsidR="004B7DBA" w:rsidRPr="004B5630" w:rsidRDefault="004B7DBA" w:rsidP="00720FC1">
      <w:pPr>
        <w:widowControl w:val="0"/>
        <w:tabs>
          <w:tab w:val="left" w:pos="426"/>
          <w:tab w:val="left" w:pos="851"/>
        </w:tabs>
        <w:autoSpaceDE w:val="0"/>
        <w:autoSpaceDN w:val="0"/>
        <w:spacing w:after="0" w:line="240" w:lineRule="auto"/>
        <w:ind w:left="425" w:hanging="425"/>
        <w:jc w:val="both"/>
        <w:rPr>
          <w:rFonts w:eastAsia="Calibri" w:cs="Calibri"/>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Os </w:t>
      </w:r>
      <w:r w:rsidRPr="004B5630">
        <w:rPr>
          <w:rFonts w:eastAsia="Times New Roman" w:cs="Calibri"/>
          <w:sz w:val="18"/>
          <w:szCs w:val="18"/>
          <w:lang w:eastAsia="pt-PT"/>
        </w:rPr>
        <w:t>AE PETROGAL/SITESE, AE PETROGAL/FIEQUIMETAL e PETROGAL/COFESINT – todos BTE 35/2019 (cl.101.º).</w:t>
      </w:r>
      <w:r w:rsidRPr="004B5630">
        <w:rPr>
          <w:rFonts w:eastAsia="Calibri" w:cs="Calibri"/>
          <w:sz w:val="18"/>
          <w:szCs w:val="18"/>
        </w:rPr>
        <w:t xml:space="preserve"> </w:t>
      </w:r>
    </w:p>
  </w:footnote>
  <w:footnote w:id="501">
    <w:p w14:paraId="6899AA21" w14:textId="77777777" w:rsidR="004B7DBA" w:rsidRPr="004B5630" w:rsidRDefault="004B7DBA" w:rsidP="00720FC1">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AE Europ Assistance – Seguros/SINAPSA - BTE 29/2019 (cl.7ª); BRISA, (cl.78ª,6.c).</w:t>
      </w:r>
    </w:p>
  </w:footnote>
  <w:footnote w:id="502">
    <w:p w14:paraId="6A20A5BA" w14:textId="48A6C528" w:rsidR="004B7DBA" w:rsidRPr="004B5630" w:rsidRDefault="004B7DBA" w:rsidP="00D14105">
      <w:pPr>
        <w:tabs>
          <w:tab w:val="left" w:pos="426"/>
        </w:tabs>
        <w:spacing w:after="0" w:line="240" w:lineRule="auto"/>
        <w:ind w:left="425" w:hanging="425"/>
        <w:jc w:val="both"/>
        <w:rPr>
          <w:sz w:val="18"/>
          <w:szCs w:val="18"/>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eastAsia="Times New Roman" w:cs="Calibri"/>
          <w:sz w:val="18"/>
          <w:szCs w:val="18"/>
          <w:lang w:eastAsia="pt-PT"/>
        </w:rPr>
        <w:t xml:space="preserve">CC CNEF/SEPLEU – BTE 5/2019 (cl34.º,7) e paralelo </w:t>
      </w:r>
      <w:r w:rsidRPr="004B5630">
        <w:rPr>
          <w:rFonts w:cstheme="minorHAnsi"/>
          <w:sz w:val="18"/>
          <w:szCs w:val="18"/>
        </w:rPr>
        <w:t>referem licença de longa duração;</w:t>
      </w:r>
      <w:r w:rsidRPr="004B5630">
        <w:rPr>
          <w:rFonts w:eastAsia="Times New Roman" w:cs="Calibri"/>
          <w:sz w:val="18"/>
          <w:szCs w:val="18"/>
          <w:lang w:eastAsia="pt-PT"/>
        </w:rPr>
        <w:t xml:space="preserve"> AE A. ENSINO BENTO J. CARAÇA/FENPROF – BTE 12/2019 (cl.42ª,7.d))</w:t>
      </w:r>
      <w:r w:rsidRPr="004B5630">
        <w:rPr>
          <w:rFonts w:cstheme="minorHAnsi"/>
          <w:sz w:val="18"/>
          <w:szCs w:val="18"/>
        </w:rPr>
        <w:t xml:space="preserve"> considera licença de longa duração, no mínimo 60 dias e o </w:t>
      </w:r>
      <w:r w:rsidRPr="004B5630">
        <w:rPr>
          <w:sz w:val="18"/>
          <w:szCs w:val="18"/>
        </w:rPr>
        <w:t>CC ABIMOTA/SINDEL – BTE 45/2019 (cl. 72.ª), admite uma licença de 60 dias (a lei prevê 10 dias).</w:t>
      </w:r>
    </w:p>
  </w:footnote>
  <w:footnote w:id="503">
    <w:p w14:paraId="0182C670" w14:textId="62D0E013" w:rsidR="004B7DBA" w:rsidRPr="004B5630" w:rsidRDefault="004B7DBA" w:rsidP="00D14105">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os </w:t>
      </w:r>
      <w:r w:rsidRPr="004B5630">
        <w:rPr>
          <w:rFonts w:cs="Calibri"/>
          <w:sz w:val="18"/>
          <w:szCs w:val="18"/>
        </w:rPr>
        <w:t>CC ACRAL/CESP – BTE 16/2019  e ACRAL/SITESE - BTE 24/2019 (ambos Anexo IV nota)</w:t>
      </w:r>
      <w:r w:rsidRPr="004B5630">
        <w:rPr>
          <w:sz w:val="18"/>
          <w:szCs w:val="18"/>
        </w:rPr>
        <w:t xml:space="preserve"> [(=)BTE  25/2018 e 25/2016, respetivamente];</w:t>
      </w:r>
    </w:p>
  </w:footnote>
  <w:footnote w:id="504">
    <w:p w14:paraId="11035F74" w14:textId="74F835F2" w:rsidR="004B7DBA" w:rsidRPr="004B5630" w:rsidRDefault="004B7DBA" w:rsidP="00D14105">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 xml:space="preserve">  </w:t>
      </w:r>
      <w:r w:rsidRPr="004B5630">
        <w:rPr>
          <w:sz w:val="18"/>
          <w:szCs w:val="18"/>
        </w:rPr>
        <w:tab/>
      </w:r>
      <w:r w:rsidRPr="004B5630">
        <w:rPr>
          <w:rFonts w:eastAsia="Times New Roman" w:cs="Calibri"/>
          <w:sz w:val="18"/>
          <w:szCs w:val="18"/>
          <w:lang w:eastAsia="pt-PT"/>
        </w:rPr>
        <w:t>CC GROQUIFAR-Farmacêuticos/ FIEQUIMETAL - BTE 19/2019 (cl.73ª) trata-se de formação da iniciativa do trabalhador;</w:t>
      </w:r>
    </w:p>
  </w:footnote>
  <w:footnote w:id="505">
    <w:p w14:paraId="4971916D" w14:textId="6C7DEF72" w:rsidR="004B7DBA" w:rsidRPr="004B5630" w:rsidRDefault="004B7DBA" w:rsidP="00D14105">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AE Parques de Sintra/SINTAP – BTE 35/2019 (cl.67.º,5).</w:t>
      </w:r>
    </w:p>
  </w:footnote>
  <w:footnote w:id="506">
    <w:p w14:paraId="24E4CEFD" w14:textId="6722575C" w:rsidR="004B7DBA" w:rsidRPr="004B5630" w:rsidRDefault="004B7DBA" w:rsidP="00D14105">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 xml:space="preserve">AE CARRISTUR/SITRA – BTE 47/2019 (cl.70ª,2); CC ANTRAM/FECTRANS – BTE 45/2019 </w:t>
      </w:r>
      <w:r w:rsidRPr="004B5630">
        <w:rPr>
          <w:sz w:val="18"/>
          <w:szCs w:val="18"/>
        </w:rPr>
        <w:t>(cl. 85ª, 3).</w:t>
      </w:r>
    </w:p>
  </w:footnote>
  <w:footnote w:id="507">
    <w:p w14:paraId="78E58D88" w14:textId="4C63994D" w:rsidR="004B7DBA" w:rsidRPr="004B5630" w:rsidRDefault="004B7DBA" w:rsidP="00D14105">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CC ANTROP/SNM e ANTROP/STRUP – BTE 35/2019 (cl.70) obrigação de permanência durante o período de validade do título necessário para o exercício profissional.</w:t>
      </w:r>
    </w:p>
  </w:footnote>
  <w:footnote w:id="508">
    <w:p w14:paraId="1973A181" w14:textId="0AAD44B9" w:rsidR="004B7DBA" w:rsidRPr="004B5630" w:rsidRDefault="004B7DBA" w:rsidP="00D14105">
      <w:pPr>
        <w:tabs>
          <w:tab w:val="left" w:pos="426"/>
        </w:tabs>
        <w:spacing w:after="0" w:line="240" w:lineRule="auto"/>
        <w:ind w:left="425" w:hanging="425"/>
        <w:jc w:val="both"/>
        <w:rPr>
          <w:rFonts w:eastAsia="Times New Roman" w:cs="Calibri"/>
          <w:sz w:val="18"/>
          <w:szCs w:val="18"/>
          <w:lang w:val="en-US" w:eastAsia="pt-PT"/>
        </w:rPr>
      </w:pPr>
      <w:r w:rsidRPr="004B5630">
        <w:rPr>
          <w:rStyle w:val="Refdenotaderodap"/>
          <w:sz w:val="18"/>
          <w:szCs w:val="18"/>
        </w:rPr>
        <w:footnoteRef/>
      </w:r>
      <w:r w:rsidRPr="004B5630">
        <w:rPr>
          <w:sz w:val="18"/>
          <w:szCs w:val="18"/>
          <w:vertAlign w:val="superscript"/>
          <w:lang w:val="it-IT"/>
        </w:rPr>
        <w:t xml:space="preserve"> </w:t>
      </w:r>
      <w:r w:rsidRPr="004B5630">
        <w:rPr>
          <w:sz w:val="18"/>
          <w:szCs w:val="18"/>
          <w:lang w:val="en-US"/>
        </w:rPr>
        <w:t xml:space="preserve"> </w:t>
      </w:r>
      <w:r w:rsidRPr="004B5630">
        <w:rPr>
          <w:sz w:val="18"/>
          <w:szCs w:val="18"/>
          <w:lang w:val="en-US"/>
        </w:rPr>
        <w:tab/>
      </w:r>
      <w:r w:rsidRPr="004B5630">
        <w:rPr>
          <w:rFonts w:eastAsia="Times New Roman" w:cs="Calibri"/>
          <w:sz w:val="18"/>
          <w:szCs w:val="18"/>
          <w:lang w:val="en-US" w:eastAsia="pt-PT"/>
        </w:rPr>
        <w:t>AE AHBV – ALGÉS/SNBP – BTE 36/2019 (cl.9ª, 2); AE Easyjet Airline Company/SNPVAC - BTE 28/2019 (cl.32ª).</w:t>
      </w:r>
    </w:p>
    <w:p w14:paraId="04079886" w14:textId="485D0EAA" w:rsidR="004B7DBA" w:rsidRPr="004B5630" w:rsidRDefault="004B7DBA" w:rsidP="00D14105">
      <w:pPr>
        <w:pStyle w:val="NotaRodap"/>
        <w:tabs>
          <w:tab w:val="clear" w:pos="284"/>
          <w:tab w:val="left" w:pos="426"/>
        </w:tabs>
        <w:ind w:left="425" w:hanging="425"/>
        <w:rPr>
          <w:rFonts w:asciiTheme="minorHAnsi" w:hAnsiTheme="minorHAnsi"/>
          <w:szCs w:val="18"/>
          <w:lang w:val="it-IT"/>
        </w:rPr>
      </w:pPr>
      <w:r w:rsidRPr="004B5630">
        <w:rPr>
          <w:rFonts w:asciiTheme="minorHAnsi" w:hAnsiTheme="minorHAnsi" w:cs="Calibri"/>
          <w:szCs w:val="18"/>
          <w:lang w:val="en-US"/>
        </w:rPr>
        <w:tab/>
      </w:r>
      <w:r w:rsidRPr="004B5630">
        <w:rPr>
          <w:rFonts w:asciiTheme="minorHAnsi" w:hAnsiTheme="minorHAnsi" w:cs="Calibri"/>
          <w:szCs w:val="18"/>
        </w:rPr>
        <w:t>AE CARRISTUR/SITRA – BTE 47/2019 (cl.70ª,2).</w:t>
      </w:r>
    </w:p>
  </w:footnote>
  <w:footnote w:id="509">
    <w:p w14:paraId="32730B2C" w14:textId="22B036E7" w:rsidR="004B7DBA" w:rsidRPr="004B5630" w:rsidRDefault="004B7DBA" w:rsidP="00D14105">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Por exemplo, CC ABIMOTA/SINDEL – BTE 45/2019 (cl. 97.ª). [(=)BTE 47/2017].</w:t>
      </w:r>
    </w:p>
  </w:footnote>
  <w:footnote w:id="510">
    <w:p w14:paraId="02805D32" w14:textId="0F47814B" w:rsidR="004B7DBA" w:rsidRPr="004B5630" w:rsidRDefault="004B7DBA" w:rsidP="00D14105">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cs="Calibri"/>
          <w:sz w:val="18"/>
          <w:szCs w:val="18"/>
        </w:rPr>
        <w:t>AC COOPTOCHA/SETAAB – BTE 18/2019 (cl.72ª), i AC Indorama Portugal/COFESINT – BTE 31/2019 (cl.17.º,4).</w:t>
      </w:r>
    </w:p>
  </w:footnote>
  <w:footnote w:id="511">
    <w:p w14:paraId="11840236" w14:textId="2CF4598D" w:rsidR="004B7DBA" w:rsidRPr="004B5630" w:rsidRDefault="004B7DBA" w:rsidP="00D14105">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CC ACISTDS/CESP – BTE 13/2019 (cl.67ª) [(=)</w:t>
      </w:r>
      <w:r w:rsidRPr="004B5630">
        <w:rPr>
          <w:sz w:val="18"/>
          <w:szCs w:val="18"/>
        </w:rPr>
        <w:t xml:space="preserve">CC ACRAL /SITESE – BTE 25/2018 (cl.50.ª,1).  </w:t>
      </w:r>
    </w:p>
  </w:footnote>
  <w:footnote w:id="512">
    <w:p w14:paraId="10558A32" w14:textId="6C4D6C88" w:rsidR="004B7DBA" w:rsidRPr="004B5630" w:rsidRDefault="004B7DBA" w:rsidP="00D14105">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cs="Calibri"/>
          <w:sz w:val="18"/>
          <w:szCs w:val="18"/>
        </w:rPr>
        <w:t>AE BMO PORTUGAL/SNQTB – BTE 5/2019 (cl.33ª).</w:t>
      </w:r>
    </w:p>
  </w:footnote>
  <w:footnote w:id="513">
    <w:p w14:paraId="3CA3499A" w14:textId="10A9A8F7" w:rsidR="004B7DBA" w:rsidRPr="004B5630" w:rsidRDefault="004B7DBA" w:rsidP="00D14105">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 xml:space="preserve"> </w:t>
      </w:r>
      <w:r w:rsidRPr="004B5630">
        <w:rPr>
          <w:sz w:val="18"/>
          <w:szCs w:val="18"/>
        </w:rPr>
        <w:tab/>
        <w:t xml:space="preserve">AC COOPTOCHA e outras/SETAAB – BTE </w:t>
      </w:r>
      <w:r w:rsidRPr="004B5630">
        <w:rPr>
          <w:rFonts w:cs="Calibri"/>
          <w:sz w:val="18"/>
          <w:szCs w:val="18"/>
        </w:rPr>
        <w:t xml:space="preserve">18/2019 </w:t>
      </w:r>
      <w:r w:rsidRPr="004B5630">
        <w:rPr>
          <w:sz w:val="18"/>
          <w:szCs w:val="18"/>
        </w:rPr>
        <w:t>(cl.75.ª,4). [(=)BTE 29/2018(cl.71.ª,4)].</w:t>
      </w:r>
    </w:p>
  </w:footnote>
  <w:footnote w:id="514">
    <w:p w14:paraId="5F4B5D94" w14:textId="0F71E817" w:rsidR="004B7DBA" w:rsidRPr="004B5630" w:rsidRDefault="004B7DBA" w:rsidP="00D14105">
      <w:pPr>
        <w:pStyle w:val="Textodenotaderodap"/>
        <w:tabs>
          <w:tab w:val="left" w:pos="426"/>
        </w:tabs>
        <w:ind w:left="425" w:hanging="425"/>
        <w:rPr>
          <w:sz w:val="18"/>
          <w:szCs w:val="18"/>
        </w:rPr>
      </w:pPr>
      <w:r w:rsidRPr="004B5630">
        <w:rPr>
          <w:rStyle w:val="Refdenotaderodap"/>
          <w:rFonts w:cs="Calibri"/>
          <w:sz w:val="18"/>
          <w:szCs w:val="18"/>
        </w:rPr>
        <w:footnoteRef/>
      </w:r>
      <w:r w:rsidRPr="004B5630">
        <w:rPr>
          <w:rStyle w:val="Refdenotaderodap"/>
          <w:rFonts w:cs="Calibri"/>
          <w:sz w:val="18"/>
          <w:szCs w:val="18"/>
        </w:rPr>
        <w:t xml:space="preserve"> </w:t>
      </w:r>
      <w:r w:rsidRPr="004B5630">
        <w:rPr>
          <w:sz w:val="18"/>
          <w:szCs w:val="18"/>
        </w:rPr>
        <w:t xml:space="preserve"> </w:t>
      </w:r>
      <w:r w:rsidRPr="004B5630">
        <w:rPr>
          <w:rFonts w:cs="Calibri"/>
          <w:sz w:val="18"/>
          <w:szCs w:val="18"/>
        </w:rPr>
        <w:t xml:space="preserve"> </w:t>
      </w:r>
      <w:r w:rsidRPr="004B5630">
        <w:rPr>
          <w:rFonts w:cs="Calibri"/>
          <w:sz w:val="18"/>
          <w:szCs w:val="18"/>
        </w:rPr>
        <w:tab/>
        <w:t>CC ANCIPA(hortofrutícolas)/ SETAAB – BTE 18/2019 (cl.65ª).</w:t>
      </w:r>
    </w:p>
  </w:footnote>
  <w:footnote w:id="515">
    <w:p w14:paraId="6951DF4A" w14:textId="23F16BB4" w:rsidR="004B7DBA" w:rsidRPr="004B5630" w:rsidRDefault="004B7DBA" w:rsidP="00D14105">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AE BMO PORTUGAL/SNQTB – BTE 5/2019 (cl.33ª).</w:t>
      </w:r>
    </w:p>
  </w:footnote>
  <w:footnote w:id="516">
    <w:p w14:paraId="04F002A3" w14:textId="7F1890CA" w:rsidR="004B7DBA" w:rsidRPr="004B5630" w:rsidRDefault="004B7DBA" w:rsidP="00D14105">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CC ANIECA/FECTRANS – BTE 13/2019 [cl. 52.ª, 1, b)].</w:t>
      </w:r>
    </w:p>
  </w:footnote>
  <w:footnote w:id="517">
    <w:p w14:paraId="06A1D826" w14:textId="3E19A46D" w:rsidR="004B7DBA" w:rsidRPr="004B5630" w:rsidRDefault="004B7DBA" w:rsidP="00D14105">
      <w:pPr>
        <w:pStyle w:val="Textodenotaderodap"/>
        <w:tabs>
          <w:tab w:val="left" w:pos="426"/>
        </w:tabs>
        <w:ind w:left="425" w:hanging="425"/>
        <w:rPr>
          <w:sz w:val="18"/>
          <w:szCs w:val="18"/>
        </w:rPr>
      </w:pPr>
      <w:r w:rsidRPr="004B5630">
        <w:rPr>
          <w:rStyle w:val="Refdenotaderodap"/>
          <w:sz w:val="18"/>
          <w:szCs w:val="18"/>
        </w:rPr>
        <w:footnoteRef/>
      </w:r>
      <w:r w:rsidRPr="004B5630">
        <w:rPr>
          <w:rStyle w:val="Refdenotaderodap"/>
          <w:sz w:val="18"/>
          <w:szCs w:val="18"/>
          <w:vertAlign w:val="baseline"/>
        </w:rPr>
        <w:t xml:space="preserve"> </w:t>
      </w:r>
      <w:r w:rsidRPr="004B5630">
        <w:rPr>
          <w:sz w:val="18"/>
          <w:szCs w:val="18"/>
        </w:rPr>
        <w:tab/>
      </w:r>
      <w:r w:rsidRPr="004B5630">
        <w:rPr>
          <w:rFonts w:cs="Calibri"/>
          <w:sz w:val="18"/>
          <w:szCs w:val="18"/>
        </w:rPr>
        <w:t>AC Indorama Portugal/COFESINT – BTE 31/2019 (cl.17ª8),</w:t>
      </w:r>
    </w:p>
  </w:footnote>
  <w:footnote w:id="518">
    <w:p w14:paraId="09EDCE60" w14:textId="7D76E1A2" w:rsidR="004B7DBA" w:rsidRPr="004B5630" w:rsidRDefault="004B7DBA" w:rsidP="00D14105">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os </w:t>
      </w:r>
      <w:r w:rsidRPr="004B5630">
        <w:rPr>
          <w:rFonts w:cs="Calibri"/>
          <w:sz w:val="18"/>
          <w:szCs w:val="18"/>
        </w:rPr>
        <w:t xml:space="preserve">CC ACRAL/CESP – BTE 16/2019 e ACRAL/SITESE - BTE 24/2019 </w:t>
      </w:r>
      <w:r w:rsidRPr="004B5630">
        <w:rPr>
          <w:sz w:val="18"/>
          <w:szCs w:val="18"/>
        </w:rPr>
        <w:t>(ambos cl.16.ª, j)) [(=)BTE 25/2018 ]</w:t>
      </w:r>
    </w:p>
  </w:footnote>
  <w:footnote w:id="519">
    <w:p w14:paraId="0312DE91" w14:textId="21A6A144" w:rsidR="004B7DBA" w:rsidRPr="004B5630" w:rsidRDefault="004B7DBA" w:rsidP="00D14105">
      <w:pPr>
        <w:pStyle w:val="Textodenotaderodap"/>
        <w:tabs>
          <w:tab w:val="left" w:pos="426"/>
        </w:tabs>
        <w:ind w:firstLine="0"/>
        <w:rPr>
          <w:sz w:val="18"/>
          <w:szCs w:val="18"/>
        </w:rPr>
      </w:pPr>
      <w:r w:rsidRPr="004B5630">
        <w:rPr>
          <w:rStyle w:val="Refdenotaderodap"/>
          <w:sz w:val="18"/>
          <w:szCs w:val="18"/>
        </w:rPr>
        <w:footnoteRef/>
      </w:r>
      <w:r w:rsidRPr="004B5630">
        <w:rPr>
          <w:rFonts w:cs="Calibri"/>
          <w:sz w:val="18"/>
          <w:szCs w:val="18"/>
          <w:vertAlign w:val="superscript"/>
        </w:rPr>
        <w:t xml:space="preserve"> </w:t>
      </w:r>
      <w:r w:rsidRPr="004B5630">
        <w:rPr>
          <w:rFonts w:cs="Calibri"/>
          <w:sz w:val="18"/>
          <w:szCs w:val="18"/>
        </w:rPr>
        <w:tab/>
        <w:t xml:space="preserve">CC ANIECA/FECTRANS – BTE 13/2019 e CC ANORECA/FECTRANS – BTE 17/2019 (ambos cl. </w:t>
      </w:r>
      <w:r w:rsidRPr="004B5630">
        <w:rPr>
          <w:sz w:val="18"/>
          <w:szCs w:val="18"/>
        </w:rPr>
        <w:t>52.ª,1</w:t>
      </w:r>
      <w:r w:rsidRPr="004B5630">
        <w:rPr>
          <w:rFonts w:cs="Calibri"/>
          <w:sz w:val="18"/>
          <w:szCs w:val="18"/>
        </w:rPr>
        <w:t xml:space="preserve">) [(=) respetivamente. </w:t>
      </w:r>
      <w:r w:rsidRPr="004B5630">
        <w:rPr>
          <w:sz w:val="18"/>
          <w:szCs w:val="18"/>
        </w:rPr>
        <w:t>BTE 10/2018 e BTE      13/2018]</w:t>
      </w:r>
    </w:p>
  </w:footnote>
  <w:footnote w:id="520">
    <w:p w14:paraId="05F1222B" w14:textId="1AA31624" w:rsidR="004B7DBA" w:rsidRPr="004B5630" w:rsidRDefault="004B7DBA" w:rsidP="00D14105">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 </w:t>
      </w:r>
      <w:r w:rsidRPr="004B5630">
        <w:rPr>
          <w:rFonts w:cs="Calibri"/>
          <w:sz w:val="18"/>
          <w:szCs w:val="18"/>
        </w:rPr>
        <w:t>AC Indorama Portugal/COFESINT – BTE 31/2019 (cl.17.ª)</w:t>
      </w:r>
      <w:r w:rsidRPr="004B5630">
        <w:rPr>
          <w:sz w:val="18"/>
          <w:szCs w:val="18"/>
        </w:rPr>
        <w:t>.</w:t>
      </w:r>
    </w:p>
  </w:footnote>
  <w:footnote w:id="521">
    <w:p w14:paraId="0EB875A9" w14:textId="779F50E1" w:rsidR="004B7DBA" w:rsidRPr="004B5630" w:rsidRDefault="004B7DBA" w:rsidP="00D14105">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eastAsia="Times New Roman" w:cs="Calibri"/>
          <w:sz w:val="18"/>
          <w:szCs w:val="18"/>
          <w:lang w:eastAsia="pt-PT"/>
        </w:rPr>
        <w:t>AE PETROGAL/SITESE, PETROGAL/FIEQUIMETAL e PETROGAL/COFESINT – todos BTE 35/2019 (cls.107ª-109ª).</w:t>
      </w:r>
    </w:p>
  </w:footnote>
  <w:footnote w:id="522">
    <w:p w14:paraId="55869B0B" w14:textId="5B71E3D8" w:rsidR="004B7DBA" w:rsidRPr="004B5630" w:rsidRDefault="004B7DBA" w:rsidP="00D14105">
      <w:pPr>
        <w:tabs>
          <w:tab w:val="left" w:pos="426"/>
        </w:tabs>
        <w:spacing w:after="0" w:line="240" w:lineRule="auto"/>
        <w:ind w:left="425" w:hanging="425"/>
        <w:jc w:val="both"/>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AC CAIMA/SITESE – BTE 24/2019 (cl. 8ª,2 E 4) [(=) BTE 21/2016].</w:t>
      </w:r>
    </w:p>
  </w:footnote>
  <w:footnote w:id="523">
    <w:p w14:paraId="27F6CA9A" w14:textId="17884F57" w:rsidR="004B7DBA" w:rsidRPr="004B5630" w:rsidRDefault="004B7DBA" w:rsidP="00D14105">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cs="Calibri"/>
          <w:sz w:val="18"/>
          <w:szCs w:val="18"/>
        </w:rPr>
        <w:t>AE PETROGAL/SITESE, PETROGAL/FIEQUIMETAL e PETROGAL/COFESINT – todos BTE 35/2019 (cls.107ª-109ª).</w:t>
      </w:r>
    </w:p>
  </w:footnote>
  <w:footnote w:id="524">
    <w:p w14:paraId="41C750C2" w14:textId="09F7240B" w:rsidR="004B7DBA" w:rsidRPr="004B5630" w:rsidRDefault="004B7DBA" w:rsidP="00D14105">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cs="Calibri"/>
          <w:sz w:val="18"/>
          <w:szCs w:val="18"/>
        </w:rPr>
        <w:t>CC AESIRF/ASSP - BTE 26/2019 (cl13.º,5)</w:t>
      </w:r>
      <w:r w:rsidRPr="004B5630">
        <w:rPr>
          <w:sz w:val="18"/>
          <w:szCs w:val="18"/>
        </w:rPr>
        <w:t xml:space="preserve"> CC</w:t>
      </w:r>
      <w:r w:rsidRPr="004B5630">
        <w:rPr>
          <w:rFonts w:eastAsia="Times New Roman" w:cs="Calibri"/>
          <w:sz w:val="18"/>
          <w:szCs w:val="18"/>
          <w:lang w:eastAsia="pt-PT"/>
        </w:rPr>
        <w:t xml:space="preserve"> CNIS/FEPCES – BTE 41/2019 (cl.</w:t>
      </w:r>
      <w:r w:rsidRPr="004B5630">
        <w:rPr>
          <w:sz w:val="18"/>
          <w:szCs w:val="18"/>
        </w:rPr>
        <w:t>76.º) [(=) BTE 37/2017].</w:t>
      </w:r>
    </w:p>
  </w:footnote>
  <w:footnote w:id="525">
    <w:p w14:paraId="16720203" w14:textId="02192D52" w:rsidR="004B7DBA" w:rsidRPr="004B5630" w:rsidRDefault="004B7DBA" w:rsidP="00D14105">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lang w:val="it-IT"/>
        </w:rPr>
        <w:t xml:space="preserve"> </w:t>
      </w:r>
      <w:r w:rsidRPr="004B5630">
        <w:rPr>
          <w:sz w:val="18"/>
          <w:szCs w:val="18"/>
          <w:lang w:val="it-IT"/>
        </w:rPr>
        <w:tab/>
      </w:r>
      <w:r w:rsidRPr="004B5630">
        <w:rPr>
          <w:rFonts w:cs="Calibri"/>
          <w:sz w:val="18"/>
          <w:szCs w:val="18"/>
        </w:rPr>
        <w:t>CC ANCIPA(hortofrutícolas)/ SETAAB – BTE 18/2019 (cl.65.º,1, b).</w:t>
      </w:r>
    </w:p>
  </w:footnote>
  <w:footnote w:id="526">
    <w:p w14:paraId="2EC3F745" w14:textId="0055B85B" w:rsidR="004B7DBA" w:rsidRPr="004B5630" w:rsidRDefault="004B7DBA" w:rsidP="00D14105">
      <w:pPr>
        <w:pStyle w:val="Textodenotaderodap"/>
        <w:tabs>
          <w:tab w:val="left" w:pos="426"/>
        </w:tabs>
        <w:ind w:left="425" w:hanging="425"/>
        <w:rPr>
          <w:strike/>
          <w:sz w:val="18"/>
          <w:szCs w:val="18"/>
        </w:rPr>
      </w:pPr>
      <w:r w:rsidRPr="004B5630">
        <w:rPr>
          <w:rStyle w:val="Refdenotaderodap"/>
          <w:sz w:val="18"/>
          <w:szCs w:val="18"/>
        </w:rPr>
        <w:footnoteRef/>
      </w:r>
      <w:r w:rsidRPr="004B5630">
        <w:rPr>
          <w:sz w:val="18"/>
          <w:szCs w:val="18"/>
        </w:rPr>
        <w:t xml:space="preserve"> </w:t>
      </w:r>
      <w:r w:rsidRPr="004B5630">
        <w:rPr>
          <w:sz w:val="18"/>
          <w:szCs w:val="18"/>
        </w:rPr>
        <w:tab/>
        <w:t xml:space="preserve"> </w:t>
      </w:r>
      <w:r w:rsidRPr="004B5630">
        <w:rPr>
          <w:rFonts w:cs="Calibri"/>
          <w:sz w:val="18"/>
          <w:szCs w:val="18"/>
        </w:rPr>
        <w:t xml:space="preserve">CC ANIECA/FECTRANS – BTE 13/2019 e CC ANORECA/FECTRANS – BTE 17/2019 (ambos cl. </w:t>
      </w:r>
      <w:r w:rsidRPr="004B5630">
        <w:rPr>
          <w:sz w:val="18"/>
          <w:szCs w:val="18"/>
        </w:rPr>
        <w:t>52.ª,4</w:t>
      </w:r>
      <w:r w:rsidRPr="004B5630">
        <w:rPr>
          <w:rFonts w:cs="Calibri"/>
          <w:sz w:val="18"/>
          <w:szCs w:val="18"/>
        </w:rPr>
        <w:t xml:space="preserve">) [(=) respetivamente, </w:t>
      </w:r>
      <w:r w:rsidRPr="004B5630">
        <w:rPr>
          <w:sz w:val="18"/>
          <w:szCs w:val="18"/>
        </w:rPr>
        <w:t>BTE 10/2018 e BTE 13/2018].</w:t>
      </w:r>
    </w:p>
  </w:footnote>
  <w:footnote w:id="527">
    <w:p w14:paraId="2EF1E52A" w14:textId="35C3126E" w:rsidR="004B7DBA" w:rsidRPr="004B5630" w:rsidRDefault="004B7DBA" w:rsidP="00D14105">
      <w:pPr>
        <w:pStyle w:val="NotaRodap"/>
        <w:tabs>
          <w:tab w:val="clear" w:pos="284"/>
          <w:tab w:val="left" w:pos="426"/>
        </w:tabs>
        <w:ind w:left="425" w:hanging="425"/>
        <w:rPr>
          <w:rFonts w:asciiTheme="minorHAnsi" w:hAnsiTheme="minorHAnsi"/>
          <w:szCs w:val="18"/>
        </w:rPr>
      </w:pPr>
      <w:r w:rsidRPr="004B5630">
        <w:rPr>
          <w:rStyle w:val="Refdenotaderodap"/>
          <w:rFonts w:asciiTheme="minorHAnsi" w:hAnsiTheme="minorHAnsi"/>
          <w:szCs w:val="18"/>
        </w:rPr>
        <w:footnoteRef/>
      </w:r>
      <w:r w:rsidRPr="004B5630">
        <w:rPr>
          <w:rFonts w:asciiTheme="minorHAnsi" w:hAnsiTheme="minorHAnsi"/>
          <w:szCs w:val="18"/>
          <w:vertAlign w:val="superscript"/>
        </w:rPr>
        <w:t xml:space="preserve"> </w:t>
      </w:r>
      <w:r w:rsidRPr="004B5630">
        <w:rPr>
          <w:rFonts w:asciiTheme="minorHAnsi" w:hAnsiTheme="minorHAnsi"/>
          <w:szCs w:val="18"/>
        </w:rPr>
        <w:t xml:space="preserve"> </w:t>
      </w:r>
      <w:r w:rsidRPr="004B5630">
        <w:rPr>
          <w:rFonts w:asciiTheme="minorHAnsi" w:hAnsiTheme="minorHAnsi"/>
          <w:szCs w:val="18"/>
        </w:rPr>
        <w:tab/>
        <w:t>ver nota anterior</w:t>
      </w:r>
      <w:r w:rsidRPr="004B5630">
        <w:rPr>
          <w:rFonts w:asciiTheme="minorHAnsi" w:hAnsiTheme="minorHAnsi" w:cs="Calibri"/>
          <w:szCs w:val="18"/>
        </w:rPr>
        <w:t>.</w:t>
      </w:r>
    </w:p>
  </w:footnote>
  <w:footnote w:id="528">
    <w:p w14:paraId="10F14098" w14:textId="77777777" w:rsidR="004B7DBA" w:rsidRPr="004B5630" w:rsidRDefault="004B7DBA" w:rsidP="00CE2E45">
      <w:pPr>
        <w:pStyle w:val="Textodenotaderodap"/>
        <w:tabs>
          <w:tab w:val="left" w:pos="426"/>
        </w:tabs>
        <w:ind w:left="425" w:hanging="425"/>
        <w:rPr>
          <w:rFonts w:eastAsia="Calibri" w:cs="TimesNewRomanPSMT"/>
          <w:sz w:val="18"/>
          <w:szCs w:val="18"/>
        </w:rPr>
      </w:pPr>
      <w:r w:rsidRPr="004B5630">
        <w:rPr>
          <w:rStyle w:val="Refdenotaderodap"/>
        </w:rPr>
        <w:footnoteRef/>
      </w:r>
      <w:r w:rsidRPr="004B5630">
        <w:rPr>
          <w:vertAlign w:val="superscript"/>
        </w:rPr>
        <w:t xml:space="preserve"> </w:t>
      </w:r>
      <w:r w:rsidRPr="004B5630">
        <w:t xml:space="preserve"> </w:t>
      </w:r>
      <w:r w:rsidRPr="004B5630">
        <w:tab/>
      </w:r>
      <w:r w:rsidRPr="004B5630">
        <w:rPr>
          <w:sz w:val="18"/>
          <w:szCs w:val="18"/>
        </w:rPr>
        <w:t>A Lei 90/2019, de 4 de setembro, constitui a décima quarta alteração ao Código do Trabalho.</w:t>
      </w:r>
      <w:r w:rsidRPr="004B5630">
        <w:rPr>
          <w:rFonts w:eastAsia="Calibri" w:cs="TimesNewRomanPSMT"/>
          <w:sz w:val="18"/>
          <w:szCs w:val="18"/>
        </w:rPr>
        <w:t xml:space="preserve"> Altera também dois diplomas sobre a parentalidade: o Decreto-Lei n.º 89/2009,  de 9 de abril,  que regulamenta a proteção da parentalidade, no âmbito da eventualidade da maternidade, paternidade e adoção, dos trabalhadores que exercem funções públicas, integrados no regime  de proteção social convergente;  e o Decreto-Lei n.º 91/2009,  de 9 de abril, sobre o regime jurídico da proteção social na parentalidade no âmbito  do sistema previdencial e no subsistema  de solidariedade.</w:t>
      </w:r>
    </w:p>
  </w:footnote>
  <w:footnote w:id="529">
    <w:p w14:paraId="1247D3E0" w14:textId="0BAF9683" w:rsidR="004B7DBA" w:rsidRPr="004B5630" w:rsidRDefault="004B7DBA" w:rsidP="00CE2E45">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Ver.  Relatório da Negociação Coletiva 2018, págs. 173 e ss.   </w:t>
      </w:r>
    </w:p>
  </w:footnote>
  <w:footnote w:id="530">
    <w:p w14:paraId="6897E4E1" w14:textId="159C1A4F" w:rsidR="004B7DBA" w:rsidRPr="004B5630" w:rsidRDefault="004B7DBA" w:rsidP="00CE2E45">
      <w:pPr>
        <w:tabs>
          <w:tab w:val="left" w:pos="426"/>
        </w:tabs>
        <w:spacing w:after="0" w:line="240" w:lineRule="auto"/>
        <w:ind w:left="425" w:hanging="425"/>
        <w:jc w:val="both"/>
        <w:rPr>
          <w:b/>
          <w:bCs/>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 xml:space="preserve"> </w:t>
      </w:r>
      <w:r w:rsidRPr="004B5630">
        <w:rPr>
          <w:sz w:val="18"/>
          <w:szCs w:val="18"/>
        </w:rPr>
        <w:tab/>
        <w:t xml:space="preserve">Antes  de 2019, o Código do Trabalho foi alterado pelas Leis n.º 120/2015, de 1 de setembro e n. º73/2017, 16 de agosto. Foi também publicada a </w:t>
      </w:r>
      <w:r w:rsidRPr="004B5630">
        <w:rPr>
          <w:bCs/>
          <w:sz w:val="18"/>
          <w:szCs w:val="18"/>
        </w:rPr>
        <w:t xml:space="preserve">Lei n.º 62/2017, de 1 de agosto, </w:t>
      </w:r>
      <w:r w:rsidRPr="004B5630">
        <w:rPr>
          <w:sz w:val="18"/>
          <w:szCs w:val="18"/>
        </w:rPr>
        <w:t xml:space="preserve">a que se seguiu, mais recentemente, a Resolução da Assembleia da República n.º 72/2018, de 20 de março, que recomenda ao Governo a promoção da igualdade salarial entre mulheres e homens. </w:t>
      </w:r>
    </w:p>
  </w:footnote>
  <w:footnote w:id="531">
    <w:p w14:paraId="263487E5" w14:textId="5EB744CB" w:rsidR="004B7DBA" w:rsidRPr="004B5630" w:rsidRDefault="004B7DBA" w:rsidP="00F24CDB">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Calibri"/>
          <w:sz w:val="18"/>
          <w:szCs w:val="18"/>
        </w:rPr>
        <w:t xml:space="preserve">Com a Lei n.º 73/2017, de </w:t>
      </w:r>
      <w:r w:rsidRPr="004B5630">
        <w:rPr>
          <w:rFonts w:cstheme="minorBidi"/>
          <w:sz w:val="18"/>
          <w:szCs w:val="18"/>
        </w:rPr>
        <w:t>16/08</w:t>
      </w:r>
      <w:r w:rsidRPr="004B5630">
        <w:rPr>
          <w:rFonts w:eastAsia="Calibri"/>
          <w:sz w:val="18"/>
          <w:szCs w:val="18"/>
        </w:rPr>
        <w:t xml:space="preserve"> reforçou-se a proibição da prática de assédio e reafirmou-se o direito a indemnização da vítima, passando a lei a prever medidas de proteção do denunciante e das testemunhas</w:t>
      </w:r>
      <w:r w:rsidRPr="004B5630">
        <w:rPr>
          <w:sz w:val="18"/>
          <w:szCs w:val="18"/>
        </w:rPr>
        <w:t>.</w:t>
      </w:r>
    </w:p>
  </w:footnote>
  <w:footnote w:id="532">
    <w:p w14:paraId="484E3535" w14:textId="5D794C62" w:rsidR="004B7DBA" w:rsidRPr="004B5630" w:rsidRDefault="004B7DBA" w:rsidP="00F24CDB">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t xml:space="preserve">Os </w:t>
      </w:r>
      <w:r w:rsidRPr="004B5630">
        <w:rPr>
          <w:rFonts w:eastAsia="Times New Roman" w:cs="Calibri"/>
          <w:sz w:val="18"/>
          <w:szCs w:val="18"/>
          <w:lang w:eastAsia="pt-PT"/>
        </w:rPr>
        <w:t>CC ANIECA/FECTRANS – BTE 13/2019 e ANORECA/FECTRANS – BTE 17/2019 (ambos cl.15ª,0)) [(=) BTE 10/2018 e 13/2018, respetivamente] e o AE SUCH/FESAHT - BTE 21/2019 (cl.9ª) [(=) BTE 31/2016].</w:t>
      </w:r>
    </w:p>
  </w:footnote>
  <w:footnote w:id="533">
    <w:p w14:paraId="7B5C03FF" w14:textId="012E40C4" w:rsidR="004B7DBA" w:rsidRPr="004B5630" w:rsidRDefault="004B7DBA" w:rsidP="00F24CDB">
      <w:pPr>
        <w:pStyle w:val="Textodenotaderodap"/>
        <w:tabs>
          <w:tab w:val="left" w:pos="426"/>
        </w:tabs>
        <w:ind w:left="425" w:hanging="425"/>
        <w:rPr>
          <w:rFonts w:cs="Calibri"/>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cs="Calibri"/>
          <w:sz w:val="18"/>
          <w:szCs w:val="18"/>
        </w:rPr>
        <w:t xml:space="preserve">Como conteúdos novos em 2019, o AE Easyjet Airline Company/SNPVAC - BTE 28/2019 (cls.26ª e 27ª), refere o assédio moral e  a adoção de medidas que tendam a evitar </w:t>
      </w:r>
      <w:r w:rsidRPr="004B5630">
        <w:rPr>
          <w:rFonts w:cs="Calibri"/>
          <w:i/>
          <w:sz w:val="18"/>
          <w:szCs w:val="18"/>
        </w:rPr>
        <w:t>bullying</w:t>
      </w:r>
      <w:r w:rsidRPr="004B5630">
        <w:rPr>
          <w:rFonts w:cs="Calibri"/>
          <w:sz w:val="18"/>
          <w:szCs w:val="18"/>
        </w:rPr>
        <w:t xml:space="preserve"> no local de Trabalho.</w:t>
      </w:r>
    </w:p>
  </w:footnote>
  <w:footnote w:id="534">
    <w:p w14:paraId="1412545C" w14:textId="6C8732B1" w:rsidR="004B7DBA" w:rsidRPr="004B5630" w:rsidRDefault="004B7DBA" w:rsidP="00F24CDB">
      <w:pPr>
        <w:pStyle w:val="Textodenotaderodap"/>
        <w:tabs>
          <w:tab w:val="left" w:pos="426"/>
        </w:tabs>
        <w:ind w:left="425" w:hanging="425"/>
        <w:rPr>
          <w:rFonts w:eastAsia="Calibri"/>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Calibri"/>
          <w:sz w:val="18"/>
          <w:szCs w:val="18"/>
        </w:rPr>
        <w:t xml:space="preserve">Incluindo o dever do empregador adotar códigos de boa conduta no sentido da prevenção e combate ao assédio, a obrigação de “instaurar procedimento disciplinar sempre que tenha conhecimento de alegadas situações de assédio” [art. 127.º, 1, als. </w:t>
      </w:r>
      <w:r w:rsidRPr="004B5630">
        <w:rPr>
          <w:rFonts w:eastAsia="Calibri"/>
          <w:i/>
          <w:sz w:val="18"/>
          <w:szCs w:val="18"/>
        </w:rPr>
        <w:t>k</w:t>
      </w:r>
      <w:r w:rsidRPr="004B5630">
        <w:rPr>
          <w:rFonts w:eastAsia="Calibri"/>
          <w:sz w:val="18"/>
          <w:szCs w:val="18"/>
        </w:rPr>
        <w:t xml:space="preserve">) e </w:t>
      </w:r>
      <w:r w:rsidRPr="004B5630">
        <w:rPr>
          <w:rFonts w:eastAsia="Calibri"/>
          <w:i/>
          <w:sz w:val="18"/>
          <w:szCs w:val="18"/>
        </w:rPr>
        <w:t>l</w:t>
      </w:r>
      <w:r w:rsidRPr="004B5630">
        <w:rPr>
          <w:rFonts w:eastAsia="Calibri"/>
          <w:sz w:val="18"/>
          <w:szCs w:val="18"/>
        </w:rPr>
        <w:t>), CT] e a proteção do trabalhador relativamente a danos emergentes de doenças profissionais resultantes da prática de assédio (art. 283.º, 8 e 9, do CT), bem como a possibilidade de defesa de trabalhador quanto à denúncia de assédio moral.</w:t>
      </w:r>
    </w:p>
  </w:footnote>
  <w:footnote w:id="535">
    <w:p w14:paraId="1E3B17AE" w14:textId="7B1683AF" w:rsidR="004B7DBA" w:rsidRPr="004B5630" w:rsidRDefault="004B7DBA" w:rsidP="00F24CDB">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O </w:t>
      </w:r>
      <w:r w:rsidRPr="004B5630">
        <w:rPr>
          <w:rFonts w:cs="Calibri"/>
          <w:sz w:val="18"/>
          <w:szCs w:val="18"/>
        </w:rPr>
        <w:t xml:space="preserve">AE INATEL/SITESE – BTE 6/2019 (cl.23ª,K) e paralelos, </w:t>
      </w:r>
      <w:r w:rsidRPr="004B5630">
        <w:rPr>
          <w:rFonts w:eastAsia="Calibri"/>
          <w:sz w:val="18"/>
          <w:szCs w:val="18"/>
        </w:rPr>
        <w:t xml:space="preserve">exige  código de conduta apenas  para  </w:t>
      </w:r>
      <w:r w:rsidRPr="004B5630">
        <w:rPr>
          <w:rFonts w:cs="Calibri"/>
          <w:sz w:val="18"/>
          <w:szCs w:val="18"/>
        </w:rPr>
        <w:t>estabelecimentos a partir de 7 trabalhadores.</w:t>
      </w:r>
    </w:p>
  </w:footnote>
  <w:footnote w:id="536">
    <w:p w14:paraId="5C0821E9" w14:textId="51DD0CDB" w:rsidR="004B7DBA" w:rsidRPr="004B5630" w:rsidRDefault="004B7DBA" w:rsidP="00642A9B">
      <w:pPr>
        <w:tabs>
          <w:tab w:val="left" w:pos="426"/>
        </w:tabs>
        <w:spacing w:line="240" w:lineRule="auto"/>
        <w:ind w:left="425" w:hanging="425"/>
        <w:jc w:val="both"/>
        <w:rPr>
          <w:rFonts w:eastAsia="Times New Roman" w:cs="Calibri"/>
          <w:sz w:val="20"/>
          <w:szCs w:val="20"/>
          <w:lang w:eastAsia="pt-PT"/>
        </w:rPr>
      </w:pPr>
      <w:r w:rsidRPr="004B5630">
        <w:rPr>
          <w:rStyle w:val="Refdenotaderodap"/>
          <w:sz w:val="20"/>
          <w:szCs w:val="20"/>
        </w:rPr>
        <w:footnoteRef/>
      </w:r>
      <w:r w:rsidRPr="004B5630">
        <w:rPr>
          <w:sz w:val="20"/>
          <w:szCs w:val="20"/>
        </w:rPr>
        <w:t xml:space="preserve"> </w:t>
      </w:r>
      <w:r w:rsidRPr="004B5630">
        <w:rPr>
          <w:sz w:val="20"/>
          <w:szCs w:val="20"/>
        </w:rPr>
        <w:tab/>
      </w:r>
      <w:r w:rsidRPr="004B5630">
        <w:rPr>
          <w:rFonts w:eastAsia="Times New Roman" w:cs="Calibri"/>
          <w:sz w:val="18"/>
          <w:szCs w:val="18"/>
          <w:lang w:eastAsia="pt-PT"/>
        </w:rPr>
        <w:t>AE AHBV – ALGÉS/SNBP – BTE 36/2019 (cl.20ª,l)).</w:t>
      </w:r>
    </w:p>
    <w:p w14:paraId="3F09CE39" w14:textId="77777777" w:rsidR="004B7DBA" w:rsidRPr="004B5630" w:rsidRDefault="004B7DBA" w:rsidP="008F57AA">
      <w:pPr>
        <w:pStyle w:val="Textodenotaderodap"/>
        <w:tabs>
          <w:tab w:val="left" w:pos="426"/>
        </w:tabs>
        <w:ind w:left="426" w:right="-1" w:hanging="426"/>
      </w:pPr>
    </w:p>
  </w:footnote>
  <w:footnote w:id="537">
    <w:p w14:paraId="76392DBB" w14:textId="77777777" w:rsidR="004B7DBA" w:rsidRPr="004B5630" w:rsidRDefault="004B7DBA" w:rsidP="00642A9B">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 xml:space="preserve">Esta tutela decorre do </w:t>
      </w:r>
      <w:r w:rsidRPr="004B5630">
        <w:rPr>
          <w:bCs/>
          <w:sz w:val="18"/>
          <w:szCs w:val="18"/>
          <w:lang w:val="es-ES"/>
        </w:rPr>
        <w:t>art. 63.º</w:t>
      </w:r>
      <w:r w:rsidRPr="004B5630">
        <w:rPr>
          <w:bCs/>
          <w:i/>
          <w:iCs/>
          <w:sz w:val="18"/>
          <w:szCs w:val="18"/>
          <w:lang w:val="es-ES"/>
        </w:rPr>
        <w:t xml:space="preserve"> </w:t>
      </w:r>
      <w:r w:rsidRPr="004B5630">
        <w:rPr>
          <w:bCs/>
          <w:iCs/>
          <w:sz w:val="18"/>
          <w:szCs w:val="18"/>
          <w:lang w:val="es-ES"/>
        </w:rPr>
        <w:t>da</w:t>
      </w:r>
      <w:r w:rsidRPr="004B5630">
        <w:rPr>
          <w:sz w:val="18"/>
          <w:szCs w:val="18"/>
        </w:rPr>
        <w:t xml:space="preserve"> Constituição </w:t>
      </w:r>
      <w:r w:rsidRPr="004B5630">
        <w:rPr>
          <w:bCs/>
          <w:iCs/>
          <w:sz w:val="18"/>
          <w:szCs w:val="18"/>
          <w:lang w:val="es-ES"/>
        </w:rPr>
        <w:t>(CRP);</w:t>
      </w:r>
      <w:r w:rsidRPr="004B5630">
        <w:rPr>
          <w:bCs/>
          <w:i/>
          <w:iCs/>
          <w:sz w:val="18"/>
          <w:szCs w:val="18"/>
          <w:lang w:val="es-ES"/>
        </w:rPr>
        <w:t xml:space="preserve"> </w:t>
      </w:r>
      <w:r w:rsidRPr="004B5630">
        <w:rPr>
          <w:bCs/>
          <w:iCs/>
          <w:sz w:val="18"/>
          <w:szCs w:val="18"/>
          <w:lang w:val="es-ES"/>
        </w:rPr>
        <w:t>dos</w:t>
      </w:r>
      <w:r w:rsidRPr="004B5630">
        <w:rPr>
          <w:bCs/>
          <w:i/>
          <w:iCs/>
          <w:sz w:val="18"/>
          <w:szCs w:val="18"/>
          <w:lang w:val="es-ES"/>
        </w:rPr>
        <w:t xml:space="preserve"> </w:t>
      </w:r>
      <w:r w:rsidRPr="004B5630">
        <w:rPr>
          <w:sz w:val="18"/>
          <w:szCs w:val="18"/>
        </w:rPr>
        <w:t>arts. 26º e ss (sistema de proteção social e de cidadania ou não contributivo)</w:t>
      </w:r>
      <w:r w:rsidRPr="004B5630">
        <w:rPr>
          <w:bCs/>
          <w:i/>
          <w:iCs/>
          <w:sz w:val="18"/>
          <w:szCs w:val="18"/>
          <w:lang w:val="es-ES"/>
        </w:rPr>
        <w:t xml:space="preserve"> </w:t>
      </w:r>
      <w:r w:rsidRPr="004B5630">
        <w:rPr>
          <w:bCs/>
          <w:iCs/>
          <w:sz w:val="18"/>
          <w:szCs w:val="18"/>
          <w:lang w:val="es-ES"/>
        </w:rPr>
        <w:t>e</w:t>
      </w:r>
      <w:r w:rsidRPr="004B5630">
        <w:rPr>
          <w:bCs/>
          <w:i/>
          <w:iCs/>
          <w:sz w:val="18"/>
          <w:szCs w:val="18"/>
          <w:lang w:val="es-ES"/>
        </w:rPr>
        <w:t xml:space="preserve"> </w:t>
      </w:r>
      <w:r w:rsidRPr="004B5630">
        <w:rPr>
          <w:sz w:val="18"/>
          <w:szCs w:val="18"/>
        </w:rPr>
        <w:t>50.º a 53.º</w:t>
      </w:r>
      <w:r w:rsidRPr="004B5630">
        <w:rPr>
          <w:bCs/>
          <w:i/>
          <w:iCs/>
          <w:sz w:val="18"/>
          <w:szCs w:val="18"/>
          <w:lang w:val="es-ES"/>
        </w:rPr>
        <w:t xml:space="preserve"> </w:t>
      </w:r>
      <w:r w:rsidRPr="004B5630">
        <w:rPr>
          <w:sz w:val="18"/>
          <w:szCs w:val="18"/>
        </w:rPr>
        <w:t xml:space="preserve">(sistema previdencial ou contributivo), </w:t>
      </w:r>
      <w:r w:rsidRPr="004B5630">
        <w:rPr>
          <w:bCs/>
          <w:iCs/>
          <w:sz w:val="18"/>
          <w:szCs w:val="18"/>
          <w:lang w:val="es-ES"/>
        </w:rPr>
        <w:t xml:space="preserve">da </w:t>
      </w:r>
      <w:r w:rsidRPr="004B5630">
        <w:rPr>
          <w:sz w:val="18"/>
          <w:szCs w:val="18"/>
        </w:rPr>
        <w:t>Lei de Bases da Segurança Social (</w:t>
      </w:r>
      <w:r w:rsidRPr="004B5630">
        <w:rPr>
          <w:rFonts w:cs="Arial"/>
          <w:sz w:val="18"/>
          <w:szCs w:val="18"/>
        </w:rPr>
        <w:t>LBSS)</w:t>
      </w:r>
      <w:r w:rsidRPr="004B5630">
        <w:rPr>
          <w:sz w:val="18"/>
          <w:szCs w:val="18"/>
        </w:rPr>
        <w:t>; e a</w:t>
      </w:r>
      <w:r w:rsidRPr="004B5630">
        <w:rPr>
          <w:rFonts w:cs="Arial"/>
          <w:sz w:val="18"/>
          <w:szCs w:val="18"/>
        </w:rPr>
        <w:t xml:space="preserve">rt. 19.º, </w:t>
      </w:r>
      <w:r w:rsidRPr="004B5630">
        <w:rPr>
          <w:sz w:val="18"/>
          <w:szCs w:val="18"/>
        </w:rPr>
        <w:t xml:space="preserve">do </w:t>
      </w:r>
      <w:r w:rsidRPr="004B5630">
        <w:rPr>
          <w:rFonts w:cs="Arial"/>
          <w:bCs/>
          <w:sz w:val="18"/>
          <w:szCs w:val="18"/>
        </w:rPr>
        <w:t>Código dos Regimes Contributivos do Sistema Previdencial de Segurança Social (</w:t>
      </w:r>
      <w:r w:rsidRPr="004B5630">
        <w:rPr>
          <w:sz w:val="18"/>
          <w:szCs w:val="18"/>
        </w:rPr>
        <w:t>Código Contributivo).</w:t>
      </w:r>
    </w:p>
    <w:p w14:paraId="0A9C54A6" w14:textId="0814387C" w:rsidR="004B7DBA" w:rsidRPr="004B5630" w:rsidRDefault="004B7DBA" w:rsidP="00642A9B">
      <w:pPr>
        <w:pStyle w:val="Textodenotaderodap"/>
        <w:tabs>
          <w:tab w:val="left" w:pos="426"/>
        </w:tabs>
        <w:ind w:left="425" w:hanging="425"/>
        <w:rPr>
          <w:rFonts w:cs="Arial"/>
          <w:sz w:val="18"/>
          <w:szCs w:val="18"/>
        </w:rPr>
      </w:pPr>
      <w:r w:rsidRPr="004B5630">
        <w:rPr>
          <w:sz w:val="18"/>
          <w:szCs w:val="18"/>
        </w:rPr>
        <w:tab/>
      </w:r>
      <w:r w:rsidRPr="004B5630">
        <w:rPr>
          <w:sz w:val="18"/>
          <w:szCs w:val="18"/>
        </w:rPr>
        <w:tab/>
        <w:t>Os trabalhadores titulares de uma relação de trabalho encontram-se, em regra, abrangidos pelo sistema previdencial, financiado pelas</w:t>
      </w:r>
      <w:r w:rsidRPr="004B5630">
        <w:rPr>
          <w:rFonts w:cs="Glosa Text Roman"/>
          <w:sz w:val="18"/>
          <w:szCs w:val="18"/>
        </w:rPr>
        <w:t xml:space="preserve"> contribuições dos empregadores e pelas quotizações dos trabalhadores, pagas mensalmente através da taxa social única (</w:t>
      </w:r>
      <w:r w:rsidRPr="004B5630">
        <w:rPr>
          <w:sz w:val="18"/>
          <w:szCs w:val="18"/>
        </w:rPr>
        <w:t>arts 50.º ss., art. 52º, n. º1, al. b),</w:t>
      </w:r>
      <w:r w:rsidRPr="004B5630">
        <w:rPr>
          <w:rFonts w:cs="Arial"/>
          <w:sz w:val="18"/>
          <w:szCs w:val="18"/>
        </w:rPr>
        <w:t xml:space="preserve"> LBSS</w:t>
      </w:r>
      <w:r w:rsidRPr="004B5630">
        <w:rPr>
          <w:sz w:val="18"/>
          <w:szCs w:val="18"/>
        </w:rPr>
        <w:t xml:space="preserve">; e art. 6.º e ss., do Código Contributivo). Complementarmente, existe ainda a </w:t>
      </w:r>
      <w:r w:rsidRPr="004B5630">
        <w:rPr>
          <w:rFonts w:eastAsia="Calibri"/>
          <w:sz w:val="18"/>
          <w:szCs w:val="18"/>
        </w:rPr>
        <w:t>dimensão proteção social ou regime não contributivo.</w:t>
      </w:r>
    </w:p>
  </w:footnote>
  <w:footnote w:id="538">
    <w:p w14:paraId="2A682592" w14:textId="4B84F30F" w:rsidR="004B7DBA" w:rsidRPr="004B5630" w:rsidRDefault="004B7DBA" w:rsidP="00642A9B">
      <w:pPr>
        <w:pStyle w:val="Textodenotaderodap"/>
        <w:tabs>
          <w:tab w:val="left" w:pos="426"/>
        </w:tabs>
        <w:ind w:left="425" w:hanging="425"/>
        <w:rPr>
          <w:rFonts w:eastAsia="Calibri"/>
        </w:rPr>
      </w:pPr>
      <w:r w:rsidRPr="004B5630">
        <w:rPr>
          <w:rStyle w:val="Refdenotaderodap"/>
          <w:sz w:val="18"/>
          <w:szCs w:val="18"/>
        </w:rPr>
        <w:footnoteRef/>
      </w:r>
      <w:r w:rsidRPr="004B5630">
        <w:rPr>
          <w:rFonts w:eastAsia="Calibri"/>
          <w:sz w:val="18"/>
          <w:szCs w:val="18"/>
        </w:rPr>
        <w:t xml:space="preserve"> </w:t>
      </w:r>
      <w:r w:rsidRPr="004B5630">
        <w:rPr>
          <w:rFonts w:eastAsia="Calibri"/>
          <w:sz w:val="18"/>
          <w:szCs w:val="18"/>
        </w:rPr>
        <w:tab/>
        <w:t>O Decreto-Lei n.º 91/2009, de 9 de abril (recentemente revisto pela Lei n.º90/2019, de 4 de setembro), estabelece as prestações previdenciais a atribuir no âmbito do gozo das licenças enunciadas na legislação laboral que determinam perda da retribuição. O gozo deste conjunto de licenças obrigatórias constitui uma das situações admitidas pela lei para suspensão temporária do contrato de trabalho por facto respeitante ao trabalhador (arts. 295.º e 296.º, do CT), tal significa que o gozo de uma das modalidades de licença parental, dá lugar à suspensão da relação de trabalho e ao pagamento do correspondente subsídio. O</w:t>
      </w:r>
      <w:r w:rsidRPr="004B5630">
        <w:rPr>
          <w:sz w:val="18"/>
          <w:szCs w:val="18"/>
        </w:rPr>
        <w:t xml:space="preserve"> período mínimo com registo de remunerações </w:t>
      </w:r>
      <w:r w:rsidRPr="004B5630">
        <w:rPr>
          <w:rFonts w:eastAsia="Calibri"/>
          <w:sz w:val="18"/>
          <w:szCs w:val="18"/>
        </w:rPr>
        <w:t>(período de garantia</w:t>
      </w:r>
      <w:r w:rsidRPr="004B5630">
        <w:rPr>
          <w:sz w:val="18"/>
          <w:szCs w:val="18"/>
        </w:rPr>
        <w:t xml:space="preserve">) que permite ao trabalhador aceder às prestações, no âmbito do sistema previdencial, são </w:t>
      </w:r>
      <w:r w:rsidRPr="004B5630">
        <w:rPr>
          <w:rFonts w:eastAsia="Calibri"/>
          <w:sz w:val="18"/>
          <w:szCs w:val="18"/>
        </w:rPr>
        <w:t>seis meses (</w:t>
      </w:r>
      <w:r w:rsidRPr="004B5630">
        <w:rPr>
          <w:sz w:val="18"/>
          <w:szCs w:val="18"/>
        </w:rPr>
        <w:t>art. 25.º, 1, Dec.-Lei n.º-91/2009, de 9 de abril</w:t>
      </w:r>
      <w:r w:rsidRPr="004B5630">
        <w:rPr>
          <w:rFonts w:eastAsia="Calibri"/>
          <w:sz w:val="18"/>
          <w:szCs w:val="18"/>
        </w:rPr>
        <w:t>). Por sua vez, a concessão daqueles subsídios dá lugar ao registo de remunerações por equivalência à entrada das contribuições durante o período de concessão de licença, sendo considerado como trabalho efetivamente prestado</w:t>
      </w:r>
      <w:r w:rsidRPr="004B5630">
        <w:rPr>
          <w:sz w:val="18"/>
          <w:szCs w:val="18"/>
        </w:rPr>
        <w:t xml:space="preserve"> (cfr. art. 22.º, do Decreto-Lei</w:t>
      </w:r>
      <w:r w:rsidRPr="004B5630">
        <w:rPr>
          <w:rFonts w:cs="Arial"/>
          <w:sz w:val="18"/>
          <w:szCs w:val="18"/>
          <w:shd w:val="clear" w:color="auto" w:fill="FFFFFF"/>
        </w:rPr>
        <w:t xml:space="preserve"> n.º 91/2009 e também art. 69º do Dec.-Reg. 1-A/2011, de 3 janeiro)</w:t>
      </w:r>
      <w:r w:rsidRPr="004B5630">
        <w:rPr>
          <w:rFonts w:eastAsia="Calibri"/>
          <w:sz w:val="18"/>
          <w:szCs w:val="18"/>
        </w:rPr>
        <w:t>. C</w:t>
      </w:r>
      <w:r w:rsidRPr="004B5630">
        <w:rPr>
          <w:sz w:val="18"/>
          <w:szCs w:val="18"/>
        </w:rPr>
        <w:t xml:space="preserve">fr. </w:t>
      </w:r>
      <w:hyperlink r:id="rId18" w:history="1">
        <w:r w:rsidRPr="004B5630">
          <w:rPr>
            <w:rStyle w:val="Hiperligao"/>
            <w:rFonts w:eastAsiaTheme="majorEastAsia"/>
            <w:sz w:val="18"/>
            <w:szCs w:val="18"/>
          </w:rPr>
          <w:t>http://www.seg-social.pt/</w:t>
        </w:r>
      </w:hyperlink>
      <w:r w:rsidRPr="004B5630">
        <w:rPr>
          <w:sz w:val="18"/>
          <w:szCs w:val="18"/>
        </w:rPr>
        <w:t>.</w:t>
      </w:r>
      <w:r w:rsidRPr="004B5630">
        <w:t xml:space="preserve">   </w:t>
      </w:r>
    </w:p>
  </w:footnote>
  <w:footnote w:id="539">
    <w:p w14:paraId="78760D87" w14:textId="0B162FCA" w:rsidR="004B7DBA" w:rsidRPr="004B5630" w:rsidRDefault="004B7DBA" w:rsidP="00642A9B">
      <w:pPr>
        <w:tabs>
          <w:tab w:val="left" w:pos="426"/>
        </w:tabs>
        <w:spacing w:after="0" w:line="240" w:lineRule="auto"/>
        <w:ind w:left="425" w:hanging="425"/>
        <w:jc w:val="both"/>
        <w:rPr>
          <w:rFonts w:cs="TimesNewRomanPSMT"/>
          <w:sz w:val="18"/>
          <w:szCs w:val="18"/>
        </w:rPr>
      </w:pPr>
      <w:r w:rsidRPr="004B5630">
        <w:rPr>
          <w:rStyle w:val="Refdenotaderodap"/>
          <w:sz w:val="20"/>
          <w:szCs w:val="20"/>
        </w:rPr>
        <w:footnoteRef/>
      </w:r>
      <w:r w:rsidRPr="004B5630">
        <w:rPr>
          <w:sz w:val="20"/>
          <w:szCs w:val="20"/>
          <w:vertAlign w:val="superscript"/>
        </w:rPr>
        <w:t xml:space="preserve"> </w:t>
      </w:r>
      <w:r w:rsidRPr="004B5630">
        <w:rPr>
          <w:sz w:val="20"/>
          <w:szCs w:val="20"/>
        </w:rPr>
        <w:tab/>
      </w:r>
      <w:r w:rsidRPr="004B5630">
        <w:rPr>
          <w:sz w:val="18"/>
          <w:szCs w:val="18"/>
        </w:rPr>
        <w:t xml:space="preserve">Durante o gozo da licença parental inicial, algumas convenções atribuem ao trabalhador um complemento </w:t>
      </w:r>
      <w:r w:rsidRPr="004B5630">
        <w:rPr>
          <w:rFonts w:cs="TimesNewRomanPSMT"/>
          <w:sz w:val="18"/>
          <w:szCs w:val="18"/>
        </w:rPr>
        <w:t>ao subsídio devido pela Segurança Social,  para que a soma  destas duas componentes seja “igual a sua retribuição normal”. Este apoio é concedido a todos os trabalhadores (pai/mãe), mesmo àqueles que  ainda não tenham vencido o prazo de garantia da Segurança Social. Nesse sentido, AC</w:t>
      </w:r>
      <w:r w:rsidRPr="004B5630">
        <w:rPr>
          <w:rFonts w:eastAsia="Times New Roman" w:cs="Calibri"/>
          <w:sz w:val="18"/>
          <w:szCs w:val="18"/>
          <w:lang w:eastAsia="pt-PT"/>
        </w:rPr>
        <w:t xml:space="preserve"> Infraestruturas de Portugal SNTSF - BTE 22/2019 (cl.75ª)</w:t>
      </w:r>
      <w:r w:rsidRPr="004B5630">
        <w:rPr>
          <w:sz w:val="18"/>
          <w:szCs w:val="18"/>
        </w:rPr>
        <w:t xml:space="preserve">; </w:t>
      </w:r>
      <w:r w:rsidRPr="004B5630">
        <w:rPr>
          <w:rFonts w:eastAsia="Times New Roman" w:cs="Calibri"/>
          <w:sz w:val="18"/>
          <w:szCs w:val="18"/>
          <w:lang w:eastAsia="pt-PT"/>
        </w:rPr>
        <w:t>AC Várias Instituições de Crédito/FEBASE – BTE 10/2019 (cl.103ª-A) e CC ACA/CESP – BTE 48/2019 (cl.83º-C).</w:t>
      </w:r>
    </w:p>
  </w:footnote>
  <w:footnote w:id="540">
    <w:p w14:paraId="63F1FCC9" w14:textId="1864000B" w:rsidR="004B7DBA" w:rsidRPr="004B5630" w:rsidRDefault="004B7DBA" w:rsidP="00642A9B">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vertAlign w:val="superscript"/>
        </w:rPr>
        <w:tab/>
      </w:r>
      <w:r w:rsidRPr="004B5630">
        <w:rPr>
          <w:sz w:val="18"/>
          <w:szCs w:val="18"/>
        </w:rPr>
        <w:t xml:space="preserve">Por exemplo, </w:t>
      </w:r>
      <w:r w:rsidRPr="004B5630">
        <w:rPr>
          <w:rFonts w:eastAsia="Times New Roman" w:cs="Calibri"/>
          <w:sz w:val="18"/>
          <w:szCs w:val="18"/>
          <w:lang w:eastAsia="pt-PT"/>
        </w:rPr>
        <w:t>CC AABA/SETAAB e CC AARIBATEJO/SETAAB –  ambos BTE 11/2019 (cls.82ª e 69ª respetivamente,)</w:t>
      </w:r>
      <w:r w:rsidRPr="004B5630">
        <w:rPr>
          <w:rFonts w:eastAsia="Calibri"/>
          <w:sz w:val="18"/>
          <w:szCs w:val="18"/>
        </w:rPr>
        <w:t>. Numa convenção o segundo período é de 15 dias</w:t>
      </w:r>
      <w:r w:rsidRPr="004B5630">
        <w:rPr>
          <w:rFonts w:eastAsia="Times New Roman" w:cs="Calibri"/>
          <w:sz w:val="18"/>
          <w:szCs w:val="18"/>
          <w:lang w:eastAsia="pt-PT"/>
        </w:rPr>
        <w:t xml:space="preserve"> CC ANCAVE/SETAAB – BTE 12/2019 (cl.88ª).</w:t>
      </w:r>
    </w:p>
  </w:footnote>
  <w:footnote w:id="541">
    <w:p w14:paraId="557B97E4" w14:textId="1B6C2D9A" w:rsidR="004B7DBA" w:rsidRPr="004B5630" w:rsidRDefault="004B7DBA" w:rsidP="00642A9B">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t xml:space="preserve">Por exemplo, o CC CAP/SETAAB - BTE 8/2019 (cls. 76.ª-83.ª) </w:t>
      </w:r>
      <w:r w:rsidRPr="004B5630">
        <w:rPr>
          <w:rFonts w:eastAsia="Times New Roman" w:cs="Calibri"/>
          <w:sz w:val="18"/>
          <w:szCs w:val="18"/>
          <w:lang w:eastAsia="pt-PT"/>
        </w:rPr>
        <w:t>[(=)</w:t>
      </w:r>
      <w:r w:rsidRPr="004B5630">
        <w:rPr>
          <w:sz w:val="18"/>
          <w:szCs w:val="18"/>
        </w:rPr>
        <w:t xml:space="preserve"> BTE 18/2018]; </w:t>
      </w:r>
      <w:r w:rsidRPr="004B5630">
        <w:rPr>
          <w:rFonts w:eastAsia="Times New Roman" w:cs="Calibri"/>
          <w:sz w:val="18"/>
          <w:szCs w:val="18"/>
          <w:lang w:eastAsia="pt-PT"/>
        </w:rPr>
        <w:t xml:space="preserve">CC AARIBATEJO/SETAAB – BTE 11/2019 </w:t>
      </w:r>
      <w:r w:rsidRPr="004B5630">
        <w:rPr>
          <w:sz w:val="18"/>
          <w:szCs w:val="18"/>
        </w:rPr>
        <w:t>(cls. 63.ª-70.ª); CC ADCP/SETAAB – 15/2019(cls. 42.ª-49.ª) [</w:t>
      </w:r>
      <w:r w:rsidRPr="004B5630">
        <w:rPr>
          <w:rFonts w:eastAsia="Times New Roman" w:cs="Calibri"/>
          <w:sz w:val="18"/>
          <w:szCs w:val="18"/>
          <w:lang w:eastAsia="pt-PT"/>
        </w:rPr>
        <w:t>(=)</w:t>
      </w:r>
      <w:r w:rsidRPr="004B5630">
        <w:rPr>
          <w:sz w:val="18"/>
          <w:szCs w:val="18"/>
        </w:rPr>
        <w:t xml:space="preserve"> BTE 27/2018]; </w:t>
      </w:r>
      <w:r w:rsidRPr="004B5630">
        <w:rPr>
          <w:rFonts w:eastAsia="Times New Roman" w:cs="Calibri"/>
          <w:sz w:val="18"/>
          <w:szCs w:val="18"/>
          <w:lang w:eastAsia="pt-PT"/>
        </w:rPr>
        <w:t xml:space="preserve">CC ANIECA/FECTRANS – BTE 13/2019 e ANORECA/FECTRANS – BTE 17/2019 (ambos </w:t>
      </w:r>
      <w:r w:rsidRPr="004B5630">
        <w:rPr>
          <w:rFonts w:cstheme="minorHAnsi"/>
          <w:sz w:val="18"/>
          <w:szCs w:val="18"/>
        </w:rPr>
        <w:t>cls.15ª,36ª,50ª</w:t>
      </w:r>
      <w:r w:rsidRPr="004B5630">
        <w:rPr>
          <w:rFonts w:eastAsia="Times New Roman" w:cs="Calibri"/>
          <w:sz w:val="18"/>
          <w:szCs w:val="18"/>
          <w:lang w:eastAsia="pt-PT"/>
        </w:rPr>
        <w:t xml:space="preserve">) [(=) BTE 10/2018 e 13/2018, respetivamente] </w:t>
      </w:r>
      <w:r w:rsidRPr="004B5630">
        <w:rPr>
          <w:rFonts w:cstheme="minorHAnsi"/>
          <w:sz w:val="18"/>
          <w:szCs w:val="18"/>
        </w:rPr>
        <w:t xml:space="preserve"> </w:t>
      </w:r>
    </w:p>
  </w:footnote>
  <w:footnote w:id="542">
    <w:p w14:paraId="017EDCC0" w14:textId="2E859DCA" w:rsidR="004B7DBA" w:rsidRPr="004B5630" w:rsidRDefault="004B7DBA" w:rsidP="00642A9B">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vertAlign w:val="superscript"/>
        </w:rPr>
        <w:tab/>
      </w:r>
      <w:r w:rsidRPr="004B5630">
        <w:rPr>
          <w:sz w:val="18"/>
          <w:szCs w:val="18"/>
        </w:rPr>
        <w:t xml:space="preserve">Por exemplo, os </w:t>
      </w:r>
      <w:r w:rsidRPr="004B5630">
        <w:rPr>
          <w:rFonts w:eastAsia="Times New Roman" w:cs="Calibri"/>
          <w:sz w:val="18"/>
          <w:szCs w:val="18"/>
          <w:lang w:eastAsia="pt-PT"/>
        </w:rPr>
        <w:t>AC LACTICOOP/SETAAB – BTE 18/2019 e LACTICOOP/SPLAAESTRMMCCM – BTE 30/2019 (ambos cl.48.ª) [(=)</w:t>
      </w:r>
      <w:r w:rsidRPr="004B5630">
        <w:rPr>
          <w:rFonts w:cstheme="minorHAnsi"/>
          <w:sz w:val="18"/>
          <w:szCs w:val="18"/>
        </w:rPr>
        <w:t xml:space="preserve"> BTE 23/2018] ; </w:t>
      </w:r>
      <w:r w:rsidRPr="004B5630">
        <w:rPr>
          <w:sz w:val="18"/>
          <w:szCs w:val="18"/>
        </w:rPr>
        <w:t xml:space="preserve">CC ANTRAM/FECTRANS – BTE 45/2019  (cl.71ª) </w:t>
      </w:r>
      <w:r w:rsidRPr="004B5630">
        <w:rPr>
          <w:rFonts w:eastAsia="Times New Roman" w:cs="Calibri"/>
          <w:sz w:val="18"/>
          <w:szCs w:val="18"/>
          <w:lang w:eastAsia="pt-PT"/>
        </w:rPr>
        <w:t>[(=)</w:t>
      </w:r>
      <w:r w:rsidRPr="004B5630">
        <w:rPr>
          <w:sz w:val="18"/>
          <w:szCs w:val="18"/>
        </w:rPr>
        <w:t xml:space="preserve">BTE 34/2018]; </w:t>
      </w:r>
      <w:r w:rsidRPr="004B5630">
        <w:rPr>
          <w:rFonts w:eastAsia="Times New Roman" w:cs="Calibri"/>
          <w:sz w:val="18"/>
          <w:szCs w:val="18"/>
          <w:lang w:eastAsia="pt-PT"/>
        </w:rPr>
        <w:t>CC APEC/FECTRANS – BTE 9/2019</w:t>
      </w:r>
      <w:r w:rsidRPr="004B5630">
        <w:rPr>
          <w:rFonts w:cstheme="minorHAnsi"/>
          <w:sz w:val="18"/>
          <w:szCs w:val="18"/>
        </w:rPr>
        <w:t>(cl. 48ª)</w:t>
      </w:r>
      <w:r w:rsidRPr="004B5630">
        <w:rPr>
          <w:rFonts w:eastAsia="Times New Roman" w:cs="Calibri"/>
          <w:sz w:val="18"/>
          <w:szCs w:val="18"/>
          <w:lang w:eastAsia="pt-PT"/>
        </w:rPr>
        <w:t xml:space="preserve"> [(=)</w:t>
      </w:r>
      <w:r w:rsidRPr="004B5630">
        <w:rPr>
          <w:rFonts w:cstheme="minorHAnsi"/>
          <w:sz w:val="18"/>
          <w:szCs w:val="18"/>
        </w:rPr>
        <w:t xml:space="preserve">  BTE 12/2018 ]  </w:t>
      </w:r>
    </w:p>
  </w:footnote>
  <w:footnote w:id="543">
    <w:p w14:paraId="7AE759D5" w14:textId="0DBEA32A" w:rsidR="004B7DBA" w:rsidRPr="004B5630" w:rsidRDefault="004B7DBA" w:rsidP="00642A9B">
      <w:pPr>
        <w:tabs>
          <w:tab w:val="left" w:pos="426"/>
        </w:tabs>
        <w:spacing w:after="0" w:line="240" w:lineRule="auto"/>
        <w:ind w:left="425" w:hanging="425"/>
        <w:jc w:val="both"/>
        <w:rPr>
          <w:rFonts w:eastAsia="Times New Roman" w:cs="Calibri"/>
          <w:sz w:val="18"/>
          <w:szCs w:val="18"/>
          <w:lang w:val="en-US" w:eastAsia="pt-PT"/>
        </w:rPr>
      </w:pPr>
      <w:r w:rsidRPr="004B5630">
        <w:rPr>
          <w:rStyle w:val="Refdenotaderodap"/>
          <w:sz w:val="18"/>
          <w:szCs w:val="18"/>
        </w:rPr>
        <w:footnoteRef/>
      </w:r>
      <w:r w:rsidRPr="004B5630">
        <w:rPr>
          <w:sz w:val="18"/>
          <w:szCs w:val="18"/>
          <w:vertAlign w:val="superscript"/>
          <w:lang w:val="en-US"/>
        </w:rPr>
        <w:t xml:space="preserve">    </w:t>
      </w:r>
      <w:r w:rsidRPr="004B5630">
        <w:rPr>
          <w:sz w:val="18"/>
          <w:szCs w:val="18"/>
          <w:vertAlign w:val="superscript"/>
          <w:lang w:val="en-US"/>
        </w:rPr>
        <w:tab/>
      </w:r>
      <w:r w:rsidRPr="004B5630">
        <w:rPr>
          <w:rFonts w:eastAsia="Times New Roman" w:cs="Calibri"/>
          <w:sz w:val="18"/>
          <w:szCs w:val="18"/>
          <w:lang w:val="en-US" w:eastAsia="pt-PT"/>
        </w:rPr>
        <w:t>AE Easyjet Airline Company/SNPVAC - BTE 28/2019 (cls.84ª)</w:t>
      </w:r>
      <w:r w:rsidRPr="004B5630">
        <w:rPr>
          <w:sz w:val="18"/>
          <w:szCs w:val="18"/>
          <w:lang w:val="en-US"/>
        </w:rPr>
        <w:t xml:space="preserve"> ) </w:t>
      </w:r>
      <w:r w:rsidRPr="004B5630">
        <w:rPr>
          <w:rFonts w:eastAsia="Times New Roman" w:cs="Calibri"/>
          <w:sz w:val="18"/>
          <w:szCs w:val="18"/>
          <w:lang w:val="en-US" w:eastAsia="pt-PT"/>
        </w:rPr>
        <w:t>[(=)</w:t>
      </w:r>
      <w:r w:rsidRPr="004B5630">
        <w:rPr>
          <w:sz w:val="18"/>
          <w:szCs w:val="18"/>
          <w:lang w:val="en-US"/>
        </w:rPr>
        <w:t>BTE 23/2017].</w:t>
      </w:r>
    </w:p>
  </w:footnote>
  <w:footnote w:id="544">
    <w:p w14:paraId="186E4767" w14:textId="72A6BDCC" w:rsidR="004B7DBA" w:rsidRPr="004B5630" w:rsidRDefault="004B7DBA" w:rsidP="00642A9B">
      <w:pPr>
        <w:pStyle w:val="Textodenotaderodap"/>
        <w:tabs>
          <w:tab w:val="left" w:pos="426"/>
        </w:tabs>
        <w:ind w:left="425" w:hanging="425"/>
        <w:rPr>
          <w:sz w:val="18"/>
          <w:szCs w:val="18"/>
        </w:rPr>
      </w:pPr>
      <w:r w:rsidRPr="004B5630">
        <w:rPr>
          <w:rStyle w:val="Refdenotaderodap"/>
          <w:sz w:val="18"/>
          <w:szCs w:val="18"/>
        </w:rPr>
        <w:footnoteRef/>
      </w:r>
      <w:r w:rsidRPr="004B5630">
        <w:rPr>
          <w:rFonts w:cs="Arial"/>
          <w:sz w:val="18"/>
          <w:szCs w:val="18"/>
          <w:vertAlign w:val="superscript"/>
        </w:rPr>
        <w:t xml:space="preserve"> </w:t>
      </w:r>
      <w:r w:rsidRPr="004B5630">
        <w:rPr>
          <w:rFonts w:cs="Arial"/>
          <w:sz w:val="18"/>
          <w:szCs w:val="18"/>
        </w:rPr>
        <w:t xml:space="preserve">  </w:t>
      </w:r>
      <w:r w:rsidRPr="004B5630">
        <w:rPr>
          <w:rFonts w:cs="Arial"/>
          <w:sz w:val="18"/>
          <w:szCs w:val="18"/>
        </w:rPr>
        <w:tab/>
        <w:t xml:space="preserve">As </w:t>
      </w:r>
      <w:r w:rsidRPr="004B5630">
        <w:rPr>
          <w:rFonts w:eastAsia="Calibri" w:cstheme="minorBidi"/>
          <w:sz w:val="18"/>
          <w:szCs w:val="18"/>
        </w:rPr>
        <w:t>regalias conexas com a situação pessoal e familiar do trabalhador</w:t>
      </w:r>
      <w:r w:rsidRPr="004B5630">
        <w:rPr>
          <w:rFonts w:cs="Arial"/>
          <w:sz w:val="18"/>
          <w:szCs w:val="18"/>
        </w:rPr>
        <w:t xml:space="preserve"> são referenciadas em 4.4.8.</w:t>
      </w:r>
    </w:p>
  </w:footnote>
  <w:footnote w:id="545">
    <w:p w14:paraId="59B60592" w14:textId="3FA5EAEA" w:rsidR="004B7DBA" w:rsidRPr="004B5630" w:rsidRDefault="004B7DBA" w:rsidP="009D6D73">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eastAsia="Times New Roman" w:cs="Calibri"/>
          <w:sz w:val="18"/>
          <w:szCs w:val="18"/>
          <w:lang w:eastAsia="pt-PT"/>
        </w:rPr>
        <w:t>CC ALIF/SETAAB – BTE 17/2019 (cl.47ª,1,q) );</w:t>
      </w:r>
      <w:r w:rsidRPr="004B5630">
        <w:rPr>
          <w:sz w:val="18"/>
          <w:szCs w:val="18"/>
        </w:rPr>
        <w:t xml:space="preserve"> </w:t>
      </w:r>
      <w:r w:rsidRPr="004B5630">
        <w:rPr>
          <w:rFonts w:eastAsia="Times New Roman" w:cs="Calibri"/>
          <w:sz w:val="18"/>
          <w:szCs w:val="18"/>
          <w:lang w:eastAsia="pt-PT"/>
        </w:rPr>
        <w:t>AC BRISA/SETACCOP E OUTROS – BTE 36/2019</w:t>
      </w:r>
      <w:r w:rsidRPr="004B5630">
        <w:rPr>
          <w:sz w:val="18"/>
          <w:szCs w:val="18"/>
        </w:rPr>
        <w:t xml:space="preserve"> (cl. 27ª,5)</w:t>
      </w:r>
      <w:r w:rsidRPr="004B5630">
        <w:rPr>
          <w:rFonts w:cs="Calibri"/>
          <w:sz w:val="18"/>
          <w:szCs w:val="18"/>
        </w:rPr>
        <w:t>.</w:t>
      </w:r>
      <w:r w:rsidRPr="004B5630">
        <w:rPr>
          <w:rFonts w:eastAsia="Times New Roman" w:cs="Calibri"/>
          <w:sz w:val="18"/>
          <w:szCs w:val="18"/>
          <w:lang w:eastAsia="pt-PT"/>
        </w:rPr>
        <w:t xml:space="preserve"> </w:t>
      </w:r>
    </w:p>
  </w:footnote>
  <w:footnote w:id="546">
    <w:p w14:paraId="370092FF" w14:textId="7EFA9000" w:rsidR="004B7DBA" w:rsidRPr="004B5630" w:rsidRDefault="004B7DBA" w:rsidP="009D6D73">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 xml:space="preserve">O </w:t>
      </w:r>
      <w:r w:rsidRPr="004B5630">
        <w:rPr>
          <w:rFonts w:cs="Calibri"/>
          <w:sz w:val="18"/>
          <w:szCs w:val="18"/>
        </w:rPr>
        <w:t>CC LACTICOOP/SPLAAESTRMMCCM – BTE 30/2019 (cl.15ª,3),</w:t>
      </w:r>
      <w:r w:rsidRPr="004B5630">
        <w:rPr>
          <w:sz w:val="18"/>
          <w:szCs w:val="18"/>
        </w:rPr>
        <w:t xml:space="preserve">isenta de trabalho suplementar trabalhador com filho menor de um ano ((=)art.59ª, CT). Noutros casos alarga-se a isenção a trabalhadores com filhos menores: de 6 anos, </w:t>
      </w:r>
      <w:r w:rsidRPr="004B5630">
        <w:rPr>
          <w:rFonts w:cs="Calibri"/>
          <w:sz w:val="18"/>
          <w:szCs w:val="18"/>
        </w:rPr>
        <w:t>AE BMO PORTUGAL/ SNQTB – BTE 5/2019</w:t>
      </w:r>
      <w:r w:rsidRPr="004B5630">
        <w:rPr>
          <w:sz w:val="18"/>
          <w:szCs w:val="18"/>
        </w:rPr>
        <w:t xml:space="preserve"> (cl.49ª,6); e de 2 anos no </w:t>
      </w:r>
      <w:r w:rsidRPr="004B5630">
        <w:rPr>
          <w:rFonts w:cs="Calibri"/>
          <w:sz w:val="18"/>
          <w:szCs w:val="18"/>
        </w:rPr>
        <w:t>AC BRISA/SETACCOP E OUTROS – BTE 36/2019</w:t>
      </w:r>
      <w:r w:rsidRPr="004B5630">
        <w:rPr>
          <w:sz w:val="18"/>
          <w:szCs w:val="18"/>
        </w:rPr>
        <w:t xml:space="preserve"> (cl. 27ª,5). </w:t>
      </w:r>
    </w:p>
  </w:footnote>
  <w:footnote w:id="547">
    <w:p w14:paraId="2C141C20" w14:textId="79B5FC4E" w:rsidR="004B7DBA" w:rsidRPr="004B5630" w:rsidRDefault="004B7DBA" w:rsidP="009D6D73">
      <w:pPr>
        <w:keepNext/>
        <w:tabs>
          <w:tab w:val="left" w:pos="426"/>
        </w:tabs>
        <w:spacing w:after="0" w:line="240" w:lineRule="auto"/>
        <w:ind w:left="425" w:hanging="425"/>
        <w:jc w:val="both"/>
        <w:rPr>
          <w:sz w:val="18"/>
          <w:szCs w:val="18"/>
        </w:rPr>
      </w:pPr>
      <w:r w:rsidRPr="004B5630">
        <w:rPr>
          <w:rFonts w:cstheme="minorHAnsi"/>
          <w:sz w:val="18"/>
          <w:szCs w:val="18"/>
          <w:vertAlign w:val="superscript"/>
        </w:rPr>
        <w:t xml:space="preserve"> </w:t>
      </w:r>
      <w:r w:rsidRPr="004B5630">
        <w:rPr>
          <w:rStyle w:val="Refdenotaderodap"/>
          <w:rFonts w:cstheme="minorHAnsi"/>
          <w:sz w:val="18"/>
          <w:szCs w:val="18"/>
        </w:rPr>
        <w:footnoteRef/>
      </w:r>
      <w:r w:rsidRPr="004B5630">
        <w:rPr>
          <w:rFonts w:cstheme="minorHAnsi"/>
          <w:sz w:val="18"/>
          <w:szCs w:val="18"/>
        </w:rPr>
        <w:t xml:space="preserve"> </w:t>
      </w:r>
      <w:r w:rsidRPr="004B5630">
        <w:rPr>
          <w:rFonts w:cstheme="minorHAnsi"/>
          <w:sz w:val="18"/>
          <w:szCs w:val="18"/>
        </w:rPr>
        <w:tab/>
        <w:t xml:space="preserve">Exemplo, </w:t>
      </w:r>
      <w:r w:rsidRPr="004B5630">
        <w:rPr>
          <w:rFonts w:eastAsia="Times New Roman" w:cs="Calibri"/>
          <w:sz w:val="18"/>
          <w:szCs w:val="18"/>
          <w:lang w:eastAsia="pt-PT"/>
        </w:rPr>
        <w:t>AE INATEL/FESAHT – BTE 6/2019 (cl.42ª5) e paralelos. De modo diferente, o CC CNEF/SEPLEU e CNEF/ SIPE –  ambos BTE 5/2019 (cl.29ª,4,a), preveem a majoração do período de férias de trabalhadores com filhos menores deficientes.</w:t>
      </w:r>
    </w:p>
  </w:footnote>
  <w:footnote w:id="548">
    <w:p w14:paraId="1A87C926" w14:textId="728E93B0" w:rsidR="004B7DBA" w:rsidRPr="004B5630" w:rsidRDefault="004B7DBA" w:rsidP="009D6D73">
      <w:pPr>
        <w:tabs>
          <w:tab w:val="left" w:pos="426"/>
        </w:tabs>
        <w:spacing w:after="0" w:line="240" w:lineRule="auto"/>
        <w:ind w:left="425" w:hanging="425"/>
        <w:jc w:val="both"/>
        <w:rPr>
          <w:rFonts w:eastAsia="Times New Roman" w:cs="Calibri"/>
          <w:sz w:val="18"/>
          <w:szCs w:val="18"/>
          <w:lang w:eastAsia="pt-PT"/>
        </w:rPr>
      </w:pPr>
      <w:r w:rsidRPr="004B5630">
        <w:rPr>
          <w:rStyle w:val="Refdenotaderodap"/>
          <w:rFonts w:cstheme="minorHAnsi"/>
          <w:sz w:val="18"/>
          <w:szCs w:val="18"/>
        </w:rPr>
        <w:footnoteRef/>
      </w:r>
      <w:r w:rsidRPr="004B5630">
        <w:rPr>
          <w:rFonts w:cstheme="minorHAnsi"/>
          <w:sz w:val="18"/>
          <w:szCs w:val="18"/>
        </w:rPr>
        <w:t xml:space="preserve"> </w:t>
      </w:r>
      <w:r w:rsidRPr="004B5630">
        <w:rPr>
          <w:rFonts w:cstheme="minorHAnsi"/>
          <w:sz w:val="18"/>
          <w:szCs w:val="18"/>
        </w:rPr>
        <w:tab/>
      </w:r>
      <w:r w:rsidRPr="004B5630">
        <w:rPr>
          <w:sz w:val="18"/>
          <w:szCs w:val="18"/>
        </w:rPr>
        <w:t xml:space="preserve">Por exemplo </w:t>
      </w:r>
      <w:r w:rsidRPr="004B5630">
        <w:rPr>
          <w:rFonts w:eastAsia="Times New Roman" w:cs="Calibri"/>
          <w:sz w:val="18"/>
          <w:szCs w:val="18"/>
          <w:lang w:eastAsia="pt-PT"/>
        </w:rPr>
        <w:t>CC ALIF/SETAAB – BTE 17/2019 (cl.36ª,4) e AE SATA Internacional/SPAC – BTE 37/2019 (cl.23ª,6 a 9).</w:t>
      </w:r>
    </w:p>
  </w:footnote>
  <w:footnote w:id="549">
    <w:p w14:paraId="663C8241" w14:textId="77777777" w:rsidR="004B7DBA" w:rsidRPr="004B5630" w:rsidRDefault="004B7DBA" w:rsidP="009D6D73">
      <w:pPr>
        <w:tabs>
          <w:tab w:val="left" w:pos="426"/>
        </w:tabs>
        <w:spacing w:after="0" w:line="240" w:lineRule="auto"/>
        <w:ind w:left="425" w:hanging="425"/>
        <w:jc w:val="both"/>
        <w:rPr>
          <w:rFonts w:eastAsia="Times New Roman" w:cs="Calibri"/>
          <w:sz w:val="18"/>
          <w:szCs w:val="18"/>
          <w:lang w:eastAsia="pt-PT"/>
        </w:rPr>
      </w:pPr>
      <w:r w:rsidRPr="004B5630">
        <w:rPr>
          <w:rStyle w:val="Refdenotaderodap"/>
          <w:rFonts w:cstheme="minorHAnsi"/>
          <w:sz w:val="18"/>
          <w:szCs w:val="18"/>
        </w:rPr>
        <w:footnoteRef/>
      </w:r>
      <w:r w:rsidRPr="004B5630">
        <w:rPr>
          <w:rFonts w:cstheme="minorHAnsi"/>
          <w:sz w:val="18"/>
          <w:szCs w:val="18"/>
          <w:vertAlign w:val="superscript"/>
        </w:rPr>
        <w:t xml:space="preserve"> </w:t>
      </w:r>
      <w:r w:rsidRPr="004B5630">
        <w:rPr>
          <w:rFonts w:cstheme="minorHAnsi"/>
          <w:sz w:val="18"/>
          <w:szCs w:val="18"/>
        </w:rPr>
        <w:tab/>
        <w:t>Exemplo,</w:t>
      </w:r>
      <w:r w:rsidRPr="004B5630">
        <w:rPr>
          <w:rFonts w:eastAsia="Times New Roman" w:cs="Calibri"/>
          <w:sz w:val="18"/>
          <w:szCs w:val="18"/>
          <w:lang w:eastAsia="pt-PT"/>
        </w:rPr>
        <w:t xml:space="preserve"> CC ACIBARCELOS/SITSECCVAC - BTE 27/2019 (cl.10.ª,7) e AE UCS/SIMA – BTE 14/2019 (cl.24ª), no sentido de conciliar períodos de trabalho e de descanso de membros do mesmo agregado familiar.</w:t>
      </w:r>
    </w:p>
  </w:footnote>
  <w:footnote w:id="550">
    <w:p w14:paraId="3A5DF472" w14:textId="7D14DE68" w:rsidR="004B7DBA" w:rsidRPr="004B5630" w:rsidRDefault="004B7DBA" w:rsidP="009D6D73">
      <w:pPr>
        <w:tabs>
          <w:tab w:val="left" w:pos="426"/>
        </w:tabs>
        <w:spacing w:after="0" w:line="240" w:lineRule="auto"/>
        <w:ind w:left="425" w:hanging="425"/>
        <w:jc w:val="both"/>
        <w:rPr>
          <w:rFonts w:eastAsia="Times New Roman" w:cs="Calibri"/>
          <w:sz w:val="18"/>
          <w:szCs w:val="18"/>
          <w:lang w:eastAsia="pt-PT"/>
        </w:rPr>
      </w:pPr>
      <w:r w:rsidRPr="004B5630">
        <w:rPr>
          <w:rStyle w:val="Refdenotaderodap"/>
          <w:rFonts w:cstheme="minorHAnsi"/>
          <w:sz w:val="18"/>
          <w:szCs w:val="18"/>
        </w:rPr>
        <w:footnoteRef/>
      </w:r>
      <w:r w:rsidRPr="004B5630">
        <w:rPr>
          <w:rFonts w:cstheme="minorHAnsi"/>
          <w:sz w:val="18"/>
          <w:szCs w:val="18"/>
          <w:vertAlign w:val="superscript"/>
        </w:rPr>
        <w:t xml:space="preserve"> </w:t>
      </w:r>
      <w:r w:rsidRPr="004B5630">
        <w:rPr>
          <w:rFonts w:cstheme="minorHAnsi"/>
          <w:sz w:val="18"/>
          <w:szCs w:val="18"/>
        </w:rPr>
        <w:tab/>
        <w:t>Com redução do PNT semanal em 10 horas (enquanto</w:t>
      </w:r>
      <w:r w:rsidRPr="004B5630">
        <w:rPr>
          <w:rFonts w:eastAsia="Calibri"/>
          <w:sz w:val="18"/>
          <w:szCs w:val="18"/>
        </w:rPr>
        <w:t xml:space="preserve"> art. 54º,1 CT</w:t>
      </w:r>
      <w:r w:rsidRPr="004B5630">
        <w:rPr>
          <w:rFonts w:cstheme="minorHAnsi"/>
          <w:sz w:val="18"/>
          <w:szCs w:val="18"/>
        </w:rPr>
        <w:t xml:space="preserve"> fixa 5 horas), o </w:t>
      </w:r>
      <w:r w:rsidRPr="004B5630">
        <w:rPr>
          <w:rFonts w:eastAsia="Times New Roman" w:cs="Calibri"/>
          <w:sz w:val="18"/>
          <w:szCs w:val="18"/>
          <w:lang w:eastAsia="pt-PT"/>
        </w:rPr>
        <w:t>CC ADIPA (Retalhistas) /SITESE – BTE 14/2019</w:t>
      </w:r>
      <w:r w:rsidRPr="004B5630">
        <w:rPr>
          <w:rFonts w:cstheme="minorHAnsi"/>
          <w:sz w:val="18"/>
          <w:szCs w:val="18"/>
        </w:rPr>
        <w:t xml:space="preserve"> (cl.82ª)  e </w:t>
      </w:r>
      <w:r w:rsidRPr="004B5630">
        <w:rPr>
          <w:rFonts w:eastAsia="Times New Roman" w:cs="Calibri"/>
          <w:sz w:val="18"/>
          <w:szCs w:val="18"/>
          <w:lang w:eastAsia="pt-PT"/>
        </w:rPr>
        <w:t>AC Indorama Portugal/COFESINT – BTE 31/2019 (cl.85º)</w:t>
      </w:r>
      <w:r w:rsidRPr="004B5630">
        <w:rPr>
          <w:rFonts w:cstheme="minorHAnsi"/>
          <w:sz w:val="18"/>
          <w:szCs w:val="18"/>
        </w:rPr>
        <w:t>.</w:t>
      </w:r>
    </w:p>
  </w:footnote>
  <w:footnote w:id="551">
    <w:p w14:paraId="4177846B" w14:textId="29396B49" w:rsidR="004B7DBA" w:rsidRPr="004B5630" w:rsidRDefault="004B7DBA" w:rsidP="009D6D73">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 xml:space="preserve">  </w:t>
      </w:r>
      <w:r w:rsidRPr="004B5630">
        <w:rPr>
          <w:sz w:val="18"/>
          <w:szCs w:val="18"/>
        </w:rPr>
        <w:tab/>
      </w:r>
      <w:r w:rsidRPr="004B5630">
        <w:rPr>
          <w:rFonts w:cs="Calibri"/>
          <w:sz w:val="18"/>
          <w:szCs w:val="18"/>
        </w:rPr>
        <w:t>CC ADIPA (Retalhistas)/SITESE – BTE 14/2019</w:t>
      </w:r>
      <w:r w:rsidRPr="004B5630">
        <w:rPr>
          <w:rFonts w:cstheme="minorHAnsi"/>
          <w:sz w:val="18"/>
          <w:szCs w:val="18"/>
        </w:rPr>
        <w:t xml:space="preserve"> (cl.</w:t>
      </w:r>
      <w:r w:rsidRPr="004B5630">
        <w:rPr>
          <w:sz w:val="18"/>
          <w:szCs w:val="18"/>
        </w:rPr>
        <w:t xml:space="preserve"> </w:t>
      </w:r>
      <w:r w:rsidRPr="004B5630">
        <w:rPr>
          <w:rFonts w:cstheme="minorHAnsi"/>
          <w:sz w:val="18"/>
          <w:szCs w:val="18"/>
        </w:rPr>
        <w:t>(14º,6).</w:t>
      </w:r>
    </w:p>
  </w:footnote>
  <w:footnote w:id="552">
    <w:p w14:paraId="211FCFE5" w14:textId="7E1E89D0" w:rsidR="004B7DBA" w:rsidRPr="004B5630" w:rsidRDefault="004B7DBA" w:rsidP="009D6D73">
      <w:pPr>
        <w:tabs>
          <w:tab w:val="left" w:pos="426"/>
        </w:tabs>
        <w:spacing w:after="0" w:line="240" w:lineRule="auto"/>
        <w:ind w:left="425" w:hanging="425"/>
        <w:jc w:val="both"/>
        <w:rPr>
          <w:rFonts w:eastAsia="Times New Roman" w:cs="Calibri"/>
          <w:sz w:val="18"/>
          <w:szCs w:val="18"/>
          <w:lang w:eastAsia="pt-PT"/>
        </w:rPr>
      </w:pPr>
      <w:r w:rsidRPr="004B5630">
        <w:rPr>
          <w:rStyle w:val="Refdenotaderodap"/>
          <w:rFonts w:cstheme="minorHAnsi"/>
          <w:sz w:val="18"/>
          <w:szCs w:val="18"/>
        </w:rPr>
        <w:footnoteRef/>
      </w:r>
      <w:r w:rsidRPr="004B5630">
        <w:rPr>
          <w:rFonts w:cstheme="minorHAnsi"/>
          <w:sz w:val="18"/>
          <w:szCs w:val="18"/>
          <w:vertAlign w:val="superscript"/>
        </w:rPr>
        <w:t xml:space="preserve"> </w:t>
      </w:r>
      <w:r w:rsidRPr="004B5630">
        <w:rPr>
          <w:rFonts w:cstheme="minorHAnsi"/>
          <w:sz w:val="18"/>
          <w:szCs w:val="18"/>
        </w:rPr>
        <w:t xml:space="preserve"> </w:t>
      </w:r>
      <w:r w:rsidRPr="004B5630">
        <w:rPr>
          <w:rFonts w:cstheme="minorHAnsi"/>
          <w:sz w:val="18"/>
          <w:szCs w:val="18"/>
        </w:rPr>
        <w:tab/>
        <w:t xml:space="preserve">O </w:t>
      </w:r>
      <w:r w:rsidRPr="004B5630">
        <w:rPr>
          <w:rFonts w:eastAsia="Times New Roman" w:cs="Calibri"/>
          <w:sz w:val="18"/>
          <w:szCs w:val="18"/>
          <w:lang w:eastAsia="pt-PT"/>
        </w:rPr>
        <w:t>AC COOPTOCHA</w:t>
      </w:r>
      <w:r w:rsidRPr="004B5630">
        <w:rPr>
          <w:rFonts w:cstheme="minorHAnsi"/>
          <w:sz w:val="18"/>
          <w:szCs w:val="18"/>
        </w:rPr>
        <w:t xml:space="preserve"> e outras</w:t>
      </w:r>
      <w:r w:rsidRPr="004B5630">
        <w:rPr>
          <w:rFonts w:eastAsia="Times New Roman" w:cs="Calibri"/>
          <w:sz w:val="18"/>
          <w:szCs w:val="18"/>
          <w:lang w:eastAsia="pt-PT"/>
        </w:rPr>
        <w:t xml:space="preserve"> /SETAAB – BTE 18/2019 [(=)</w:t>
      </w:r>
      <w:r w:rsidRPr="004B5630">
        <w:rPr>
          <w:rFonts w:cstheme="minorHAnsi"/>
          <w:sz w:val="18"/>
          <w:szCs w:val="18"/>
        </w:rPr>
        <w:t>BTE 29/2018]</w:t>
      </w:r>
      <w:r w:rsidRPr="004B5630">
        <w:rPr>
          <w:sz w:val="18"/>
          <w:szCs w:val="18"/>
        </w:rPr>
        <w:t xml:space="preserve"> prevê a conciliação de horários de trabalho (cl.21ª, n. º10 g) e a isenção de adaptabilidade de mulheres grávidas, puérperas ou lactantes, assim como de menores e trabalhadores deficientes (cls. 21ª, n. º13 e 64ª).  </w:t>
      </w:r>
    </w:p>
  </w:footnote>
  <w:footnote w:id="553">
    <w:p w14:paraId="4C742628" w14:textId="0C7F8A62" w:rsidR="004B7DBA" w:rsidRPr="004B5630" w:rsidRDefault="004B7DBA" w:rsidP="009E579D">
      <w:pPr>
        <w:pStyle w:val="Textodenotaderodap"/>
        <w:tabs>
          <w:tab w:val="left" w:pos="426"/>
        </w:tabs>
        <w:ind w:left="426" w:right="-1" w:hanging="426"/>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Exemplo, </w:t>
      </w:r>
      <w:r w:rsidRPr="004B5630">
        <w:rPr>
          <w:rFonts w:cstheme="minorHAnsi"/>
          <w:sz w:val="18"/>
          <w:szCs w:val="18"/>
        </w:rPr>
        <w:t xml:space="preserve">O </w:t>
      </w:r>
      <w:r w:rsidRPr="004B5630">
        <w:rPr>
          <w:rFonts w:cs="Calibri"/>
          <w:sz w:val="18"/>
          <w:szCs w:val="18"/>
        </w:rPr>
        <w:t>AC COOPTOCHA</w:t>
      </w:r>
      <w:r w:rsidRPr="004B5630">
        <w:rPr>
          <w:rFonts w:cstheme="minorHAnsi"/>
          <w:sz w:val="18"/>
          <w:szCs w:val="18"/>
        </w:rPr>
        <w:t xml:space="preserve"> e outras</w:t>
      </w:r>
      <w:r w:rsidRPr="004B5630">
        <w:rPr>
          <w:rFonts w:cs="Calibri"/>
          <w:sz w:val="18"/>
          <w:szCs w:val="18"/>
        </w:rPr>
        <w:t xml:space="preserve"> /SETAAB – BTE 18/2019   [(=)</w:t>
      </w:r>
      <w:r w:rsidRPr="004B5630">
        <w:rPr>
          <w:rFonts w:cstheme="minorHAnsi"/>
          <w:sz w:val="18"/>
          <w:szCs w:val="18"/>
        </w:rPr>
        <w:t>BTE 29/2018]</w:t>
      </w:r>
      <w:r w:rsidRPr="004B5630">
        <w:rPr>
          <w:sz w:val="18"/>
          <w:szCs w:val="18"/>
        </w:rPr>
        <w:t xml:space="preserve"> </w:t>
      </w:r>
      <w:r w:rsidRPr="004B5630">
        <w:rPr>
          <w:bCs/>
          <w:sz w:val="18"/>
          <w:szCs w:val="18"/>
        </w:rPr>
        <w:t xml:space="preserve"> </w:t>
      </w:r>
      <w:r w:rsidRPr="004B5630">
        <w:rPr>
          <w:sz w:val="18"/>
          <w:szCs w:val="18"/>
        </w:rPr>
        <w:t>(cl. 73ª).</w:t>
      </w:r>
    </w:p>
  </w:footnote>
  <w:footnote w:id="554">
    <w:p w14:paraId="661ADBB8" w14:textId="1319A51E" w:rsidR="004B7DBA" w:rsidRPr="004B5630" w:rsidRDefault="004B7DBA" w:rsidP="008F57AA">
      <w:pPr>
        <w:tabs>
          <w:tab w:val="left" w:pos="426"/>
        </w:tabs>
        <w:spacing w:after="0" w:line="240" w:lineRule="auto"/>
        <w:ind w:left="426" w:right="-1" w:hanging="426"/>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Nos </w:t>
      </w:r>
      <w:r w:rsidRPr="004B5630">
        <w:rPr>
          <w:rFonts w:eastAsia="Times New Roman" w:cs="Calibri"/>
          <w:sz w:val="18"/>
          <w:szCs w:val="18"/>
          <w:lang w:eastAsia="pt-PT"/>
        </w:rPr>
        <w:t>AE TAP/SNPVAC – BTE 13/2019 (Regulamento, cl. 6ª.) e</w:t>
      </w:r>
      <w:r w:rsidRPr="004B5630">
        <w:rPr>
          <w:rFonts w:cs="Calibri"/>
          <w:sz w:val="18"/>
          <w:szCs w:val="18"/>
        </w:rPr>
        <w:t xml:space="preserve"> SATA Internacional/SPAC – BTE 37/2019 (cl.35ª e 36ª) prevê-se a possibilidade da empresa apoiar formação para recuperar a licença de voo, no caso do seu cancelamento temporário. </w:t>
      </w:r>
    </w:p>
  </w:footnote>
  <w:footnote w:id="555">
    <w:p w14:paraId="2F6C1AB4" w14:textId="6B4AE01B" w:rsidR="004B7DBA" w:rsidRPr="004B5630" w:rsidRDefault="004B7DBA" w:rsidP="008F57AA">
      <w:pPr>
        <w:tabs>
          <w:tab w:val="left" w:pos="426"/>
        </w:tabs>
        <w:spacing w:after="0" w:line="240" w:lineRule="auto"/>
        <w:ind w:left="426" w:right="-1" w:hanging="426"/>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Por exemplo, </w:t>
      </w:r>
      <w:r w:rsidRPr="004B5630">
        <w:rPr>
          <w:rFonts w:eastAsia="Times New Roman" w:cs="Calibri"/>
          <w:sz w:val="18"/>
          <w:szCs w:val="18"/>
          <w:lang w:eastAsia="pt-PT"/>
        </w:rPr>
        <w:t>AE Risto Rail Portugal/FESAHT - BTE 26/2019 (cl.90ª,4e) e f) e AE Europa&amp;C/FIEQUIMETAL – BTE 8/2019 (cl.78ª,2, a)).</w:t>
      </w:r>
    </w:p>
  </w:footnote>
  <w:footnote w:id="556">
    <w:p w14:paraId="614944B4" w14:textId="4C831FF0" w:rsidR="004B7DBA" w:rsidRPr="004B5630" w:rsidRDefault="004B7DBA" w:rsidP="008F57AA">
      <w:pPr>
        <w:pStyle w:val="Textodenotaderodap"/>
        <w:tabs>
          <w:tab w:val="left" w:pos="426"/>
        </w:tabs>
        <w:ind w:left="426" w:right="-1" w:hanging="426"/>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cs="Calibri"/>
          <w:sz w:val="18"/>
          <w:szCs w:val="18"/>
        </w:rPr>
        <w:t>Por exemplo, AC Indorama Portugal/COFESINT – BTE 31/2019 (cl.88ª,2) prevê a adaptação das condições de trabalho ou, se tal não for possível, a dispensa ao trabalho da trabalhadora grávida. Em sentido idêntico, AE SATA Internacional/SPAC – BTE 37/2019 (cl.35ª).</w:t>
      </w:r>
    </w:p>
  </w:footnote>
  <w:footnote w:id="557">
    <w:p w14:paraId="52DD9B03" w14:textId="5075639B" w:rsidR="004B7DBA" w:rsidRPr="004B5630" w:rsidRDefault="004B7DBA" w:rsidP="008F57AA">
      <w:pPr>
        <w:pStyle w:val="Textodenotaderodap"/>
        <w:tabs>
          <w:tab w:val="left" w:pos="426"/>
        </w:tabs>
        <w:ind w:left="426" w:right="-1" w:hanging="426"/>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vertAlign w:val="superscript"/>
        </w:rPr>
        <w:tab/>
      </w:r>
      <w:r w:rsidRPr="004B5630">
        <w:rPr>
          <w:sz w:val="18"/>
          <w:szCs w:val="18"/>
        </w:rPr>
        <w:t>Por exemplo</w:t>
      </w:r>
      <w:r w:rsidRPr="004B5630">
        <w:rPr>
          <w:rFonts w:eastAsiaTheme="minorHAnsi"/>
          <w:sz w:val="18"/>
          <w:szCs w:val="18"/>
          <w:lang w:eastAsia="en-US"/>
        </w:rPr>
        <w:t xml:space="preserve">, </w:t>
      </w:r>
      <w:r w:rsidRPr="004B5630">
        <w:rPr>
          <w:sz w:val="18"/>
          <w:szCs w:val="18"/>
        </w:rPr>
        <w:t>AC COOPTOCHA e outras/SETAAB - BTE 18 /2019(cls. 65ª e 66ª) [(=) BTE 29/2018] .</w:t>
      </w:r>
    </w:p>
  </w:footnote>
  <w:footnote w:id="558">
    <w:p w14:paraId="1A9091F7" w14:textId="20372E9C" w:rsidR="004B7DBA" w:rsidRPr="004B5630" w:rsidRDefault="004B7DBA" w:rsidP="008F57AA">
      <w:pPr>
        <w:pStyle w:val="Textodenotaderodap"/>
        <w:tabs>
          <w:tab w:val="left" w:pos="426"/>
        </w:tabs>
        <w:ind w:left="426" w:right="-1" w:hanging="426"/>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Por exemplo, </w:t>
      </w:r>
      <w:r w:rsidRPr="004B5630">
        <w:rPr>
          <w:rFonts w:cs="Calibri"/>
          <w:sz w:val="18"/>
          <w:szCs w:val="18"/>
        </w:rPr>
        <w:t>AE Easyjet Airline Company/SNPVAC - BTE 28/2019 (cls.84 e 85ª)</w:t>
      </w:r>
      <w:r w:rsidRPr="004B5630">
        <w:rPr>
          <w:sz w:val="18"/>
          <w:szCs w:val="18"/>
        </w:rPr>
        <w:t xml:space="preserve"> e as demais convenções do setor aéreo.</w:t>
      </w:r>
    </w:p>
  </w:footnote>
  <w:footnote w:id="559">
    <w:p w14:paraId="373C7C55" w14:textId="354B8605" w:rsidR="004B7DBA" w:rsidRPr="004B5630" w:rsidRDefault="004B7DBA" w:rsidP="008F57AA">
      <w:pPr>
        <w:tabs>
          <w:tab w:val="left" w:pos="426"/>
        </w:tabs>
        <w:spacing w:after="0" w:line="240" w:lineRule="auto"/>
        <w:ind w:left="426" w:right="-1" w:hanging="426"/>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cs="Calibri"/>
          <w:sz w:val="18"/>
          <w:szCs w:val="18"/>
        </w:rPr>
        <w:t>CC ALIF/SETAAB – BTE 17/2019 (cl.19ª,1, b) );</w:t>
      </w:r>
      <w:r w:rsidRPr="004B5630">
        <w:rPr>
          <w:rFonts w:eastAsia="Times New Roman" w:cs="Calibri"/>
          <w:sz w:val="18"/>
          <w:szCs w:val="18"/>
          <w:lang w:eastAsia="pt-PT"/>
        </w:rPr>
        <w:t xml:space="preserve"> AC COOPTOCHA/SETAAB – BTE 18/2019</w:t>
      </w:r>
      <w:r w:rsidRPr="004B5630">
        <w:rPr>
          <w:sz w:val="18"/>
          <w:szCs w:val="18"/>
        </w:rPr>
        <w:t xml:space="preserve"> (cl. 22.ª, n. º1, al. b) [(=)BTE 29/2018]; </w:t>
      </w:r>
      <w:r w:rsidRPr="004B5630">
        <w:rPr>
          <w:rFonts w:eastAsia="Times New Roman" w:cs="Calibri"/>
          <w:sz w:val="18"/>
          <w:szCs w:val="18"/>
          <w:lang w:eastAsia="pt-PT"/>
        </w:rPr>
        <w:t>CC ANILACT/SETAAB – BTE 13/2019 (Anexo V,1ª).</w:t>
      </w:r>
    </w:p>
  </w:footnote>
  <w:footnote w:id="560">
    <w:p w14:paraId="267AAD49" w14:textId="12B5A79D" w:rsidR="004B7DBA" w:rsidRPr="004B5630" w:rsidRDefault="004B7DBA" w:rsidP="008F57AA">
      <w:pPr>
        <w:tabs>
          <w:tab w:val="left" w:pos="426"/>
        </w:tabs>
        <w:spacing w:after="0" w:line="240" w:lineRule="auto"/>
        <w:ind w:left="426" w:right="-1" w:hanging="426"/>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Por exemplo, </w:t>
      </w:r>
      <w:r w:rsidRPr="004B5630">
        <w:rPr>
          <w:rFonts w:eastAsia="Times New Roman" w:cs="Calibri"/>
          <w:sz w:val="18"/>
          <w:szCs w:val="18"/>
          <w:lang w:eastAsia="pt-PT"/>
        </w:rPr>
        <w:t xml:space="preserve">AC Indorama Portugal/COFESINT – BTE 31/2019 (cl.85ª,4) e CC ADIPA (Retalhistas)/SITESE – BTE 14/2019 (cl.83ª,4 e 5) </w:t>
      </w:r>
    </w:p>
    <w:p w14:paraId="4B568C48" w14:textId="40E75314" w:rsidR="004B7DBA" w:rsidRPr="004B5630" w:rsidRDefault="004B7DBA" w:rsidP="007456FB">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Há convenções que densificam o regime legal neste domínio (arts. 55.º e 151.º e ss.,CT). Ver, por exemplo, o </w:t>
      </w:r>
      <w:r w:rsidRPr="004B5630">
        <w:rPr>
          <w:rFonts w:cs="Calibri"/>
          <w:sz w:val="18"/>
          <w:szCs w:val="18"/>
        </w:rPr>
        <w:t>AE Easyjet Airline Company/SNPVAC - BTE 28/2019 (cls.84 e 85ª) onde a duração do PNT pode ser fixado entre 50 a 75% do horário completo</w:t>
      </w:r>
      <w:r w:rsidRPr="004B5630">
        <w:rPr>
          <w:sz w:val="18"/>
          <w:szCs w:val="18"/>
        </w:rPr>
        <w:t xml:space="preserve">; e o </w:t>
      </w:r>
      <w:r w:rsidRPr="004B5630">
        <w:rPr>
          <w:rFonts w:eastAsia="Times New Roman" w:cs="Calibri"/>
          <w:sz w:val="18"/>
          <w:szCs w:val="18"/>
          <w:lang w:eastAsia="pt-PT"/>
        </w:rPr>
        <w:t xml:space="preserve">AE INATEL/FESAHT – BTE 6/2019 (cl.17ª), e paralelos, que admite o alargamento do regime a  tempo parcial até três anos  para trabalhador com  responsabilidades parentais  ou com familiares  incapacitados a seu cargo (cfr  arts.55º e 152.º, do CT). </w:t>
      </w:r>
    </w:p>
  </w:footnote>
  <w:footnote w:id="561">
    <w:p w14:paraId="7F5C1EDE" w14:textId="77777777" w:rsidR="004B7DBA" w:rsidRPr="004B5630" w:rsidRDefault="004B7DBA"/>
    <w:p w14:paraId="746255C8" w14:textId="77777777" w:rsidR="004B7DBA" w:rsidRPr="004B5630" w:rsidRDefault="004B7DBA" w:rsidP="007456FB">
      <w:pPr>
        <w:tabs>
          <w:tab w:val="left" w:pos="426"/>
        </w:tabs>
        <w:spacing w:after="0" w:line="240" w:lineRule="auto"/>
        <w:jc w:val="both"/>
        <w:rPr>
          <w:rFonts w:eastAsia="Times New Roman" w:cs="Calibri"/>
          <w:sz w:val="18"/>
          <w:szCs w:val="18"/>
          <w:lang w:eastAsia="pt-PT"/>
        </w:rPr>
      </w:pPr>
    </w:p>
  </w:footnote>
  <w:footnote w:id="562">
    <w:p w14:paraId="7B81CDF1" w14:textId="552A2209" w:rsidR="004B7DBA" w:rsidRPr="004B5630" w:rsidRDefault="004B7DBA" w:rsidP="00657BA4">
      <w:pPr>
        <w:pStyle w:val="Textodenotaderodap"/>
        <w:tabs>
          <w:tab w:val="left" w:pos="426"/>
        </w:tabs>
        <w:ind w:left="425" w:hanging="425"/>
        <w:rPr>
          <w:sz w:val="18"/>
          <w:szCs w:val="18"/>
        </w:rPr>
      </w:pPr>
      <w:r w:rsidRPr="004B5630">
        <w:rPr>
          <w:rStyle w:val="Refdenotaderodap"/>
          <w:sz w:val="18"/>
          <w:szCs w:val="18"/>
        </w:rPr>
        <w:footnoteRef/>
      </w:r>
      <w:r w:rsidRPr="004B5630">
        <w:rPr>
          <w:rFonts w:eastAsiaTheme="minorHAnsi"/>
          <w:sz w:val="18"/>
          <w:szCs w:val="18"/>
          <w:lang w:eastAsia="en-US"/>
        </w:rPr>
        <w:t xml:space="preserve">  </w:t>
      </w:r>
      <w:r w:rsidRPr="004B5630">
        <w:rPr>
          <w:sz w:val="18"/>
          <w:szCs w:val="18"/>
        </w:rPr>
        <w:t xml:space="preserve"> </w:t>
      </w:r>
      <w:r w:rsidRPr="004B5630">
        <w:rPr>
          <w:rFonts w:cs="Calibri"/>
          <w:sz w:val="18"/>
          <w:szCs w:val="18"/>
        </w:rPr>
        <w:t>AC COOPTOCHA</w:t>
      </w:r>
      <w:r w:rsidRPr="004B5630">
        <w:rPr>
          <w:rFonts w:cstheme="minorHAnsi"/>
          <w:sz w:val="18"/>
          <w:szCs w:val="18"/>
        </w:rPr>
        <w:t xml:space="preserve"> e outras</w:t>
      </w:r>
      <w:r w:rsidRPr="004B5630">
        <w:rPr>
          <w:rFonts w:cs="Calibri"/>
          <w:sz w:val="18"/>
          <w:szCs w:val="18"/>
        </w:rPr>
        <w:t xml:space="preserve"> /SETAAB – BTE 18/2019 [(=)</w:t>
      </w:r>
      <w:r w:rsidRPr="004B5630">
        <w:rPr>
          <w:rFonts w:cstheme="minorHAnsi"/>
          <w:sz w:val="18"/>
          <w:szCs w:val="18"/>
        </w:rPr>
        <w:t xml:space="preserve"> BTE 29/2018]</w:t>
      </w:r>
      <w:r w:rsidRPr="004B5630">
        <w:rPr>
          <w:sz w:val="18"/>
          <w:szCs w:val="18"/>
        </w:rPr>
        <w:t xml:space="preserve"> (cl. 62.ª).  </w:t>
      </w:r>
      <w:r w:rsidRPr="004B5630">
        <w:rPr>
          <w:rFonts w:eastAsia="Calibri"/>
          <w:sz w:val="18"/>
          <w:szCs w:val="18"/>
        </w:rPr>
        <w:t xml:space="preserve"> </w:t>
      </w:r>
    </w:p>
  </w:footnote>
  <w:footnote w:id="563">
    <w:p w14:paraId="3DC69328" w14:textId="53147749" w:rsidR="004B7DBA" w:rsidRPr="004B5630" w:rsidRDefault="004B7DBA" w:rsidP="00BF6B3A">
      <w:pPr>
        <w:tabs>
          <w:tab w:val="left" w:pos="426"/>
        </w:tabs>
        <w:spacing w:after="0" w:line="240" w:lineRule="auto"/>
        <w:ind w:left="425" w:hanging="425"/>
        <w:jc w:val="both"/>
        <w:rPr>
          <w:rFonts w:eastAsia="Times New Roman" w:cs="Calibri"/>
          <w:sz w:val="18"/>
          <w:szCs w:val="18"/>
          <w:lang w:eastAsia="pt-PT"/>
        </w:rPr>
      </w:pPr>
      <w:r w:rsidRPr="004B5630">
        <w:rPr>
          <w:rStyle w:val="Refdenotaderodap"/>
          <w:rFonts w:cstheme="minorHAnsi"/>
          <w:sz w:val="18"/>
          <w:szCs w:val="18"/>
        </w:rPr>
        <w:footnoteRef/>
      </w:r>
      <w:r w:rsidRPr="004B5630">
        <w:rPr>
          <w:rFonts w:cstheme="minorHAnsi"/>
          <w:sz w:val="18"/>
          <w:szCs w:val="18"/>
        </w:rPr>
        <w:t xml:space="preserve"> </w:t>
      </w:r>
      <w:r w:rsidRPr="004B5630">
        <w:rPr>
          <w:rFonts w:cstheme="minorHAnsi"/>
          <w:sz w:val="18"/>
          <w:szCs w:val="18"/>
        </w:rPr>
        <w:tab/>
        <w:t xml:space="preserve">Exemplo, </w:t>
      </w:r>
      <w:r w:rsidRPr="004B5630">
        <w:rPr>
          <w:rFonts w:eastAsia="Times New Roman" w:cs="Calibri"/>
          <w:sz w:val="18"/>
          <w:szCs w:val="18"/>
          <w:lang w:eastAsia="pt-PT"/>
        </w:rPr>
        <w:t xml:space="preserve">CC ANF/SINPROFARM – BTE 12/2019 </w:t>
      </w:r>
      <w:r w:rsidRPr="004B5630">
        <w:rPr>
          <w:rFonts w:cstheme="minorHAnsi"/>
          <w:sz w:val="18"/>
          <w:szCs w:val="18"/>
        </w:rPr>
        <w:t xml:space="preserve">(cl. 47.ª).  </w:t>
      </w:r>
    </w:p>
  </w:footnote>
  <w:footnote w:id="564">
    <w:p w14:paraId="06084212" w14:textId="3BC37198" w:rsidR="004B7DBA" w:rsidRPr="004B5630" w:rsidRDefault="004B7DBA" w:rsidP="00BF6B3A">
      <w:pPr>
        <w:tabs>
          <w:tab w:val="left" w:pos="426"/>
        </w:tabs>
        <w:spacing w:after="0" w:line="240" w:lineRule="auto"/>
        <w:ind w:left="425" w:hanging="425"/>
        <w:jc w:val="both"/>
        <w:rPr>
          <w:rFonts w:eastAsia="Times New Roman" w:cs="Calibri"/>
          <w:sz w:val="18"/>
          <w:szCs w:val="18"/>
          <w:lang w:eastAsia="pt-PT"/>
        </w:rPr>
      </w:pPr>
      <w:r w:rsidRPr="004B5630">
        <w:rPr>
          <w:rStyle w:val="Refdenotaderodap"/>
          <w:rFonts w:cstheme="minorHAnsi"/>
          <w:sz w:val="18"/>
          <w:szCs w:val="18"/>
        </w:rPr>
        <w:footnoteRef/>
      </w:r>
      <w:r w:rsidRPr="004B5630">
        <w:rPr>
          <w:rFonts w:cstheme="minorHAnsi"/>
          <w:sz w:val="18"/>
          <w:szCs w:val="18"/>
        </w:rPr>
        <w:t xml:space="preserve"> </w:t>
      </w:r>
      <w:r w:rsidRPr="004B5630">
        <w:rPr>
          <w:rFonts w:cstheme="minorHAnsi"/>
          <w:sz w:val="18"/>
          <w:szCs w:val="18"/>
        </w:rPr>
        <w:tab/>
        <w:t xml:space="preserve">Exemplo, </w:t>
      </w:r>
      <w:r w:rsidRPr="004B5630">
        <w:rPr>
          <w:rFonts w:eastAsia="Times New Roman" w:cs="Calibri"/>
          <w:sz w:val="18"/>
          <w:szCs w:val="18"/>
          <w:lang w:eastAsia="pt-PT"/>
        </w:rPr>
        <w:t>AE Risto Rail Portugal/FESAHT - BTE 26/2019 (cl.21ª); CC ACA/CESP – BTE 48/2019 (cl.69ª); AE SUCH/FESAHT - BTE 21/2019 (cl.8ª)</w:t>
      </w:r>
    </w:p>
  </w:footnote>
  <w:footnote w:id="565">
    <w:p w14:paraId="05DB6C88" w14:textId="3C899D4C" w:rsidR="004B7DBA" w:rsidRPr="004B5630" w:rsidRDefault="004B7DBA" w:rsidP="00BF6B3A">
      <w:pPr>
        <w:tabs>
          <w:tab w:val="left" w:pos="426"/>
        </w:tabs>
        <w:spacing w:after="0" w:line="240" w:lineRule="auto"/>
        <w:ind w:left="425" w:hanging="425"/>
        <w:jc w:val="both"/>
        <w:rPr>
          <w:rFonts w:eastAsia="Times New Roman" w:cs="Calibri"/>
          <w:sz w:val="20"/>
          <w:szCs w:val="20"/>
          <w:lang w:eastAsia="pt-PT"/>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eastAsia="Times New Roman" w:cs="Calibri"/>
          <w:sz w:val="18"/>
          <w:szCs w:val="18"/>
          <w:lang w:eastAsia="pt-PT"/>
        </w:rPr>
        <w:t>AE The Navigator Company/COFESINT – BTE 17/2019 (cl.11.ª) e paralelos,  proibindo a discriminação de trabalhadores diminuídos físicos no acesso e promoção.</w:t>
      </w:r>
    </w:p>
  </w:footnote>
  <w:footnote w:id="566">
    <w:p w14:paraId="4DDF5587" w14:textId="6DBD898B" w:rsidR="004B7DBA" w:rsidRPr="004B5630" w:rsidRDefault="004B7DBA" w:rsidP="000422B2">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O </w:t>
      </w:r>
      <w:r w:rsidRPr="004B5630">
        <w:rPr>
          <w:rFonts w:eastAsia="Times New Roman" w:cs="Calibri"/>
          <w:sz w:val="18"/>
          <w:szCs w:val="18"/>
          <w:lang w:eastAsia="pt-PT"/>
        </w:rPr>
        <w:t>AE INATEL/SINTAP – BTE 6/2019 (cl.4ª) e paralelos, dirige-se a correção das situações desigualdade no recrutamento dos  vários grupos sociais, em geral; enquanto o  CC ACA/CESP – BTE 48/2019 (cl.69ª)  determina a  descrição de tarefas e de funções assente  em critérios objetivos comuns a homens e mulheres [altera o CC ACA/CESP – BTE 6/2018, que apenas referia o principio da  igualdade de género em geral].</w:t>
      </w:r>
    </w:p>
  </w:footnote>
  <w:footnote w:id="567">
    <w:p w14:paraId="0BE0F7C2" w14:textId="0ACA32C2" w:rsidR="004B7DBA" w:rsidRPr="004B5630" w:rsidRDefault="004B7DBA" w:rsidP="000422B2">
      <w:pPr>
        <w:tabs>
          <w:tab w:val="left" w:pos="426"/>
        </w:tabs>
        <w:spacing w:after="0" w:line="240" w:lineRule="auto"/>
        <w:ind w:left="425" w:hanging="425"/>
        <w:jc w:val="both"/>
        <w:rPr>
          <w:rFonts w:eastAsia="Times New Roman" w:cs="Calibri"/>
          <w:sz w:val="18"/>
          <w:szCs w:val="18"/>
          <w:lang w:eastAsia="pt-PT"/>
        </w:rPr>
      </w:pPr>
      <w:r w:rsidRPr="004B5630">
        <w:rPr>
          <w:rStyle w:val="Refdenotaderodap"/>
          <w:rFonts w:cstheme="minorHAnsi"/>
          <w:sz w:val="18"/>
          <w:szCs w:val="18"/>
        </w:rPr>
        <w:footnoteRef/>
      </w:r>
      <w:r w:rsidRPr="004B5630">
        <w:rPr>
          <w:rFonts w:cstheme="minorHAnsi"/>
          <w:sz w:val="18"/>
          <w:szCs w:val="18"/>
          <w:vertAlign w:val="superscript"/>
        </w:rPr>
        <w:t xml:space="preserve"> </w:t>
      </w:r>
      <w:r w:rsidRPr="004B5630">
        <w:rPr>
          <w:rFonts w:cstheme="minorHAnsi"/>
          <w:sz w:val="18"/>
          <w:szCs w:val="18"/>
        </w:rPr>
        <w:t xml:space="preserve"> </w:t>
      </w:r>
      <w:r w:rsidRPr="004B5630">
        <w:rPr>
          <w:rFonts w:cstheme="minorHAnsi"/>
          <w:sz w:val="18"/>
          <w:szCs w:val="18"/>
        </w:rPr>
        <w:tab/>
        <w:t xml:space="preserve">Por exemplo, </w:t>
      </w:r>
      <w:r w:rsidRPr="004B5630">
        <w:rPr>
          <w:rFonts w:eastAsia="Times New Roman" w:cs="Calibri"/>
          <w:sz w:val="18"/>
          <w:szCs w:val="18"/>
          <w:lang w:eastAsia="pt-PT"/>
        </w:rPr>
        <w:t>AC Indorama Portugal/COFESINT – BTE 31/2019 (cl.85º)</w:t>
      </w:r>
      <w:r w:rsidRPr="004B5630">
        <w:rPr>
          <w:rFonts w:cstheme="minorHAnsi"/>
          <w:sz w:val="18"/>
          <w:szCs w:val="18"/>
        </w:rPr>
        <w:t>;</w:t>
      </w:r>
      <w:r w:rsidRPr="004B5630">
        <w:rPr>
          <w:rFonts w:eastAsia="Times New Roman" w:cs="Calibri"/>
          <w:sz w:val="18"/>
          <w:szCs w:val="18"/>
          <w:lang w:eastAsia="pt-PT"/>
        </w:rPr>
        <w:t xml:space="preserve"> AE Risto Rail Portugal/FESAHT - BTE 26/2019 (cl.17ª).</w:t>
      </w:r>
    </w:p>
  </w:footnote>
  <w:footnote w:id="568">
    <w:p w14:paraId="508D8D8A" w14:textId="16C172A9" w:rsidR="004B7DBA" w:rsidRPr="004B5630" w:rsidRDefault="004B7DBA" w:rsidP="000422B2">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 xml:space="preserve"> </w:t>
      </w:r>
      <w:r w:rsidRPr="004B5630">
        <w:rPr>
          <w:sz w:val="18"/>
          <w:szCs w:val="18"/>
        </w:rPr>
        <w:tab/>
        <w:t xml:space="preserve">Por exemplo </w:t>
      </w:r>
      <w:r w:rsidRPr="004B5630">
        <w:rPr>
          <w:rFonts w:eastAsia="Times New Roman" w:cs="Calibri"/>
          <w:sz w:val="18"/>
          <w:szCs w:val="18"/>
          <w:lang w:eastAsia="pt-PT"/>
        </w:rPr>
        <w:t>AE PETROGAL/FIEQUIMETAL – BTE 35/2019 (cl.2ª,3) e paralelos.</w:t>
      </w:r>
    </w:p>
  </w:footnote>
  <w:footnote w:id="569">
    <w:p w14:paraId="617BCC96" w14:textId="54869985" w:rsidR="004B7DBA" w:rsidRPr="004B5630" w:rsidRDefault="004B7DBA" w:rsidP="000422B2">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CC AABA/SETAAB e CC AARIBATEJO/SETAAB – ambos BTE 11/2019 (respetivamente, cls.57ª e 48.º</w:t>
      </w:r>
      <w:r w:rsidRPr="004B5630">
        <w:rPr>
          <w:sz w:val="18"/>
          <w:szCs w:val="18"/>
        </w:rPr>
        <w:t>)</w:t>
      </w:r>
      <w:r w:rsidRPr="004B5630">
        <w:rPr>
          <w:rFonts w:eastAsia="Times New Roman" w:cs="Calibri"/>
          <w:sz w:val="18"/>
          <w:szCs w:val="18"/>
          <w:lang w:eastAsia="pt-PT"/>
        </w:rPr>
        <w:t xml:space="preserve"> e CC ABIMOTA/SINDEL – BTE 45/2019 (cl.93ª,3).</w:t>
      </w:r>
    </w:p>
  </w:footnote>
  <w:footnote w:id="570">
    <w:p w14:paraId="65646E15" w14:textId="34D310AF" w:rsidR="004B7DBA" w:rsidRPr="004B5630" w:rsidRDefault="004B7DBA" w:rsidP="000422B2">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 xml:space="preserve"> </w:t>
      </w:r>
      <w:r w:rsidRPr="004B5630">
        <w:rPr>
          <w:sz w:val="18"/>
          <w:szCs w:val="18"/>
        </w:rPr>
        <w:tab/>
      </w:r>
      <w:r w:rsidRPr="004B5630">
        <w:rPr>
          <w:rFonts w:eastAsia="Times New Roman" w:cs="Calibri"/>
          <w:sz w:val="18"/>
          <w:szCs w:val="18"/>
          <w:lang w:eastAsia="pt-PT"/>
        </w:rPr>
        <w:t>CC ACA/CESP – BTE 48/2019 (cl.69ª).</w:t>
      </w:r>
    </w:p>
  </w:footnote>
  <w:footnote w:id="571">
    <w:p w14:paraId="58E0026E" w14:textId="0138BD61" w:rsidR="004B7DBA" w:rsidRPr="004B5630" w:rsidRDefault="004B7DBA" w:rsidP="000422B2">
      <w:pPr>
        <w:tabs>
          <w:tab w:val="left" w:pos="426"/>
        </w:tabs>
        <w:autoSpaceDE w:val="0"/>
        <w:autoSpaceDN w:val="0"/>
        <w:adjustRightInd w:val="0"/>
        <w:spacing w:after="0" w:line="240" w:lineRule="auto"/>
        <w:ind w:left="425" w:hanging="425"/>
        <w:jc w:val="both"/>
        <w:rPr>
          <w:rFonts w:eastAsia="Times New Roman" w:cstheme="minorHAnsi"/>
          <w:sz w:val="18"/>
          <w:szCs w:val="18"/>
          <w:lang w:eastAsia="pt-PT"/>
        </w:rPr>
      </w:pPr>
      <w:r w:rsidRPr="004B5630">
        <w:rPr>
          <w:rFonts w:eastAsia="Times New Roman"/>
          <w:sz w:val="18"/>
          <w:szCs w:val="18"/>
          <w:vertAlign w:val="superscript"/>
          <w:lang w:eastAsia="pt-PT"/>
        </w:rPr>
        <w:footnoteRef/>
      </w:r>
      <w:r w:rsidRPr="004B5630">
        <w:rPr>
          <w:rFonts w:eastAsia="Times New Roman" w:cstheme="minorHAnsi"/>
          <w:sz w:val="18"/>
          <w:szCs w:val="18"/>
          <w:vertAlign w:val="superscript"/>
          <w:lang w:eastAsia="pt-PT"/>
        </w:rPr>
        <w:t xml:space="preserve"> </w:t>
      </w:r>
      <w:r w:rsidRPr="004B5630">
        <w:rPr>
          <w:rFonts w:eastAsia="Times New Roman" w:cstheme="minorHAnsi"/>
          <w:sz w:val="18"/>
          <w:szCs w:val="18"/>
          <w:lang w:eastAsia="pt-PT"/>
        </w:rPr>
        <w:tab/>
      </w:r>
      <w:r w:rsidRPr="004B5630">
        <w:rPr>
          <w:rFonts w:cstheme="minorHAnsi"/>
          <w:sz w:val="18"/>
          <w:szCs w:val="18"/>
        </w:rPr>
        <w:t xml:space="preserve">Exemplo, </w:t>
      </w:r>
      <w:r w:rsidRPr="004B5630">
        <w:rPr>
          <w:rFonts w:eastAsia="Times New Roman" w:cs="Calibri"/>
          <w:sz w:val="18"/>
          <w:szCs w:val="18"/>
          <w:lang w:eastAsia="pt-PT"/>
        </w:rPr>
        <w:t>AE LOURES PARQUE/STAL – BTE 7/2019 (cl.18º e 19.º).</w:t>
      </w:r>
    </w:p>
  </w:footnote>
  <w:footnote w:id="572">
    <w:p w14:paraId="24CA17E5" w14:textId="796C96D7" w:rsidR="004B7DBA" w:rsidRPr="004B5630" w:rsidRDefault="004B7DBA" w:rsidP="000422B2">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t xml:space="preserve">Por exemplo, </w:t>
      </w:r>
      <w:r w:rsidRPr="004B5630">
        <w:rPr>
          <w:rFonts w:eastAsia="Times New Roman" w:cs="Calibri"/>
          <w:sz w:val="18"/>
          <w:szCs w:val="18"/>
          <w:lang w:eastAsia="pt-PT"/>
        </w:rPr>
        <w:t xml:space="preserve">AC ARAG SE/STAS – BTE 7/2019 (cl.58ª-A) e </w:t>
      </w:r>
      <w:r w:rsidRPr="004B5630">
        <w:rPr>
          <w:sz w:val="18"/>
          <w:szCs w:val="18"/>
        </w:rPr>
        <w:t xml:space="preserve"> </w:t>
      </w:r>
      <w:r w:rsidRPr="004B5630">
        <w:rPr>
          <w:rFonts w:eastAsia="Times New Roman" w:cs="Calibri"/>
          <w:sz w:val="18"/>
          <w:szCs w:val="18"/>
          <w:lang w:eastAsia="pt-PT"/>
        </w:rPr>
        <w:t xml:space="preserve">AE Parques de Sintra/SINTAP – BTE 35/2019 (cl.6ª,2); </w:t>
      </w:r>
    </w:p>
  </w:footnote>
  <w:footnote w:id="573">
    <w:p w14:paraId="78036F2D" w14:textId="39B16E71" w:rsidR="004B7DBA" w:rsidRPr="004B5630" w:rsidRDefault="004B7DBA" w:rsidP="000422B2">
      <w:pPr>
        <w:tabs>
          <w:tab w:val="left" w:pos="426"/>
        </w:tabs>
        <w:spacing w:after="0" w:line="240" w:lineRule="auto"/>
        <w:ind w:left="425" w:hanging="425"/>
        <w:jc w:val="both"/>
        <w:rPr>
          <w:rFonts w:eastAsia="Times New Roman" w:cs="Calibri"/>
          <w:color w:val="FF0000"/>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eastAsia="Times New Roman" w:cs="Calibri"/>
          <w:sz w:val="18"/>
          <w:szCs w:val="18"/>
          <w:lang w:eastAsia="pt-PT"/>
        </w:rPr>
        <w:t>CC ACA/CESP – BTE 48/2019 (cl.69ª).</w:t>
      </w:r>
    </w:p>
  </w:footnote>
  <w:footnote w:id="574">
    <w:p w14:paraId="36CCFA06" w14:textId="3707F0E1" w:rsidR="004B7DBA" w:rsidRPr="004B5630" w:rsidRDefault="004B7DBA" w:rsidP="000422B2">
      <w:pPr>
        <w:keepNext/>
        <w:tabs>
          <w:tab w:val="left" w:pos="426"/>
        </w:tabs>
        <w:spacing w:after="0" w:line="240" w:lineRule="auto"/>
        <w:ind w:left="425" w:hanging="425"/>
        <w:jc w:val="both"/>
        <w:rPr>
          <w:sz w:val="18"/>
          <w:szCs w:val="18"/>
        </w:rPr>
      </w:pPr>
      <w:r w:rsidRPr="004B5630">
        <w:rPr>
          <w:rStyle w:val="Refdenotaderodap"/>
          <w:rFonts w:cstheme="minorHAnsi"/>
          <w:sz w:val="18"/>
          <w:szCs w:val="18"/>
        </w:rPr>
        <w:footnoteRef/>
      </w:r>
      <w:r w:rsidRPr="004B5630">
        <w:rPr>
          <w:rFonts w:cstheme="minorHAnsi"/>
          <w:sz w:val="18"/>
          <w:szCs w:val="18"/>
          <w:vertAlign w:val="superscript"/>
        </w:rPr>
        <w:t xml:space="preserve"> </w:t>
      </w:r>
      <w:r w:rsidRPr="004B5630">
        <w:rPr>
          <w:rFonts w:cstheme="minorHAnsi"/>
          <w:sz w:val="18"/>
          <w:szCs w:val="18"/>
        </w:rPr>
        <w:tab/>
      </w:r>
      <w:r w:rsidRPr="004B5630">
        <w:rPr>
          <w:sz w:val="18"/>
          <w:szCs w:val="18"/>
        </w:rPr>
        <w:t xml:space="preserve">Por exemplo, </w:t>
      </w:r>
      <w:r w:rsidRPr="004B5630">
        <w:rPr>
          <w:rFonts w:eastAsia="Times New Roman" w:cs="Calibri"/>
          <w:sz w:val="18"/>
          <w:szCs w:val="18"/>
          <w:lang w:eastAsia="pt-PT"/>
        </w:rPr>
        <w:t>AE UCS/SIMA – BTE 14/2019 (cl.29ª)</w:t>
      </w:r>
      <w:r w:rsidRPr="004B5630">
        <w:rPr>
          <w:sz w:val="18"/>
          <w:szCs w:val="18"/>
        </w:rPr>
        <w:t xml:space="preserve">.  </w:t>
      </w:r>
    </w:p>
  </w:footnote>
  <w:footnote w:id="575">
    <w:p w14:paraId="70A08893" w14:textId="29AFCFCE" w:rsidR="004B7DBA" w:rsidRPr="004B5630" w:rsidRDefault="004B7DBA" w:rsidP="000422B2">
      <w:pPr>
        <w:tabs>
          <w:tab w:val="left" w:pos="426"/>
        </w:tabs>
        <w:spacing w:after="0" w:line="240" w:lineRule="auto"/>
        <w:ind w:left="425" w:hanging="425"/>
        <w:jc w:val="both"/>
        <w:rPr>
          <w:rFonts w:cs="TimesNewRomanPSMT"/>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vertAlign w:val="superscript"/>
        </w:rPr>
        <w:tab/>
      </w:r>
      <w:r w:rsidRPr="004B5630">
        <w:rPr>
          <w:rFonts w:eastAsia="Times New Roman" w:cs="Calibri"/>
          <w:sz w:val="18"/>
          <w:szCs w:val="18"/>
          <w:lang w:eastAsia="pt-PT"/>
        </w:rPr>
        <w:t>AC Infraestruturas de Portugal SNTSF - BTE 22/2019 (cl.17ª,7,b)).</w:t>
      </w:r>
    </w:p>
  </w:footnote>
  <w:footnote w:id="576">
    <w:p w14:paraId="59A46BC8" w14:textId="12D72837" w:rsidR="004B7DBA" w:rsidRPr="004B5630" w:rsidRDefault="004B7DBA" w:rsidP="000422B2">
      <w:pPr>
        <w:pStyle w:val="Textodenotaderodap"/>
        <w:tabs>
          <w:tab w:val="left" w:pos="426"/>
        </w:tabs>
        <w:ind w:left="425" w:hanging="425"/>
        <w:rPr>
          <w:sz w:val="18"/>
          <w:szCs w:val="18"/>
          <w:lang w:val="fr-FR"/>
        </w:rPr>
      </w:pPr>
      <w:r w:rsidRPr="004B5630">
        <w:rPr>
          <w:rStyle w:val="Refdenotaderodap"/>
          <w:sz w:val="18"/>
          <w:szCs w:val="18"/>
        </w:rPr>
        <w:footnoteRef/>
      </w:r>
      <w:r w:rsidRPr="004B5630">
        <w:rPr>
          <w:rFonts w:cstheme="minorHAnsi"/>
          <w:sz w:val="18"/>
          <w:szCs w:val="18"/>
          <w:vertAlign w:val="superscript"/>
          <w:lang w:val="fr-FR"/>
        </w:rPr>
        <w:t xml:space="preserve"> </w:t>
      </w:r>
      <w:r w:rsidRPr="004B5630">
        <w:rPr>
          <w:rFonts w:cstheme="minorHAnsi"/>
          <w:sz w:val="18"/>
          <w:szCs w:val="18"/>
          <w:lang w:val="fr-FR"/>
        </w:rPr>
        <w:tab/>
      </w:r>
      <w:r w:rsidRPr="004B5630">
        <w:rPr>
          <w:rFonts w:cs="Calibri"/>
          <w:sz w:val="18"/>
          <w:szCs w:val="18"/>
          <w:lang w:val="fr-FR"/>
        </w:rPr>
        <w:t>AE LOURES PARQUE/STAL – BTE 7/2019 (cl.3º).</w:t>
      </w:r>
    </w:p>
  </w:footnote>
  <w:footnote w:id="577">
    <w:p w14:paraId="13C7C594" w14:textId="710FD5FE" w:rsidR="004B7DBA" w:rsidRPr="004B5630" w:rsidRDefault="004B7DBA" w:rsidP="00E720D1">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cs="Calibri"/>
          <w:sz w:val="18"/>
          <w:szCs w:val="18"/>
        </w:rPr>
        <w:t>AE Risto Rail Portugal/FESAHT - BTE 26/2019 (cl.</w:t>
      </w:r>
      <w:r w:rsidRPr="004B5630">
        <w:rPr>
          <w:sz w:val="18"/>
          <w:szCs w:val="18"/>
        </w:rPr>
        <w:t>27.º e 91.º).</w:t>
      </w:r>
    </w:p>
  </w:footnote>
  <w:footnote w:id="578">
    <w:p w14:paraId="71F38426" w14:textId="0ADB9D8C" w:rsidR="004B7DBA" w:rsidRPr="004B5630" w:rsidRDefault="004B7DBA" w:rsidP="00E720D1">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 xml:space="preserve"> </w:t>
      </w:r>
      <w:r w:rsidRPr="004B5630">
        <w:rPr>
          <w:sz w:val="18"/>
          <w:szCs w:val="18"/>
        </w:rPr>
        <w:tab/>
      </w:r>
      <w:r w:rsidRPr="004B5630">
        <w:rPr>
          <w:rFonts w:cs="Calibri"/>
          <w:sz w:val="18"/>
          <w:szCs w:val="18"/>
        </w:rPr>
        <w:t xml:space="preserve">AE SATA Internacional/SPAC – BTE 37/2019 (cl.41ª E 43) após os 65 anos, e enquanto não for concedida a reforma, a empresa adiantará o valor estimado da reforma de que depois será reembolsado pelo trabalhador. </w:t>
      </w:r>
    </w:p>
  </w:footnote>
  <w:footnote w:id="579">
    <w:p w14:paraId="2621874A" w14:textId="59BA8FDF" w:rsidR="004B7DBA" w:rsidRPr="004B5630" w:rsidRDefault="004B7DBA" w:rsidP="00E720D1">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AC BRISA/SETACCOP – BTE 36/2019 (cl.23ª,14).</w:t>
      </w:r>
    </w:p>
  </w:footnote>
  <w:footnote w:id="580">
    <w:p w14:paraId="6F4FE17F" w14:textId="0C6598B2" w:rsidR="004B7DBA" w:rsidRPr="004B5630" w:rsidRDefault="004B7DBA" w:rsidP="00E720D1">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eastAsia="Times New Roman" w:cs="Calibri"/>
          <w:sz w:val="18"/>
          <w:szCs w:val="18"/>
          <w:lang w:eastAsia="pt-PT"/>
        </w:rPr>
        <w:t>CC GROQUIFAR-Farmacêuticos/ FIEQUIMETAL - BTE 19/2019 (cl.77ª), especificamente dirigido a trabalhadores com capacidade de trabalho reduzida.</w:t>
      </w:r>
    </w:p>
  </w:footnote>
  <w:footnote w:id="581">
    <w:p w14:paraId="668AA724" w14:textId="24EEE932" w:rsidR="004B7DBA" w:rsidRPr="004B5630" w:rsidRDefault="004B7DBA" w:rsidP="00E720D1">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t xml:space="preserve">CC ADCP/SETAAB – 15/2019(cl.54 ª) ; </w:t>
      </w:r>
      <w:r w:rsidRPr="004B5630">
        <w:rPr>
          <w:rFonts w:eastAsia="Times New Roman" w:cs="Calibri"/>
          <w:sz w:val="18"/>
          <w:szCs w:val="18"/>
          <w:lang w:eastAsia="pt-PT"/>
        </w:rPr>
        <w:t>CC ACIBARCELOS/SITSECCVAC - BTE 27/2019 (cl.72ª).</w:t>
      </w:r>
    </w:p>
  </w:footnote>
  <w:footnote w:id="582">
    <w:p w14:paraId="703B0065" w14:textId="00E81E5C" w:rsidR="004B7DBA" w:rsidRPr="004B5630" w:rsidRDefault="004B7DBA" w:rsidP="00640A65">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20"/>
          <w:szCs w:val="20"/>
        </w:rPr>
        <w:footnoteRef/>
      </w:r>
      <w:r w:rsidRPr="004B5630">
        <w:rPr>
          <w:sz w:val="20"/>
          <w:szCs w:val="20"/>
          <w:vertAlign w:val="superscript"/>
        </w:rPr>
        <w:t xml:space="preserve"> </w:t>
      </w:r>
      <w:r w:rsidRPr="004B5630">
        <w:rPr>
          <w:sz w:val="20"/>
          <w:szCs w:val="20"/>
        </w:rPr>
        <w:tab/>
      </w:r>
      <w:r w:rsidRPr="004B5630">
        <w:rPr>
          <w:rFonts w:eastAsia="Times New Roman" w:cs="Calibri"/>
          <w:sz w:val="18"/>
          <w:szCs w:val="18"/>
          <w:lang w:eastAsia="pt-PT"/>
        </w:rPr>
        <w:t>AC Fidelidade / SINAPSA – BTE 5/2019 (cl. 11ª); AE Seguradoras Unidas/SINAPSA – BTE 5/2019 (cl. 21ª); AC GENERALI/SINAPSA – BTE 13/2019 (cl. 26ª).</w:t>
      </w:r>
    </w:p>
  </w:footnote>
  <w:footnote w:id="583">
    <w:p w14:paraId="228B073F" w14:textId="76357F86" w:rsidR="004B7DBA" w:rsidRPr="004B5630" w:rsidRDefault="004B7DBA" w:rsidP="00640A65">
      <w:pPr>
        <w:tabs>
          <w:tab w:val="left" w:pos="426"/>
        </w:tabs>
        <w:spacing w:after="0" w:line="240" w:lineRule="auto"/>
        <w:ind w:left="425" w:hanging="425"/>
        <w:jc w:val="both"/>
        <w:rPr>
          <w:rFonts w:eastAsia="Times New Roman" w:cs="Calibri"/>
          <w:sz w:val="18"/>
          <w:szCs w:val="18"/>
          <w:lang w:eastAsia="pt-PT"/>
        </w:rPr>
      </w:pPr>
      <w:r w:rsidRPr="004B5630">
        <w:rPr>
          <w:rFonts w:eastAsia="Times New Roman" w:cs="Calibri"/>
          <w:sz w:val="18"/>
          <w:szCs w:val="18"/>
          <w:vertAlign w:val="superscript"/>
          <w:lang w:eastAsia="pt-PT"/>
        </w:rPr>
        <w:footnoteRef/>
      </w:r>
      <w:r w:rsidRPr="004B5630">
        <w:rPr>
          <w:rFonts w:eastAsia="Times New Roman" w:cs="Calibri"/>
          <w:sz w:val="18"/>
          <w:szCs w:val="18"/>
          <w:lang w:eastAsia="pt-PT"/>
        </w:rPr>
        <w:t xml:space="preserve"> </w:t>
      </w:r>
      <w:r w:rsidRPr="004B5630">
        <w:rPr>
          <w:rFonts w:eastAsia="Times New Roman" w:cs="Calibri"/>
          <w:sz w:val="18"/>
          <w:szCs w:val="18"/>
          <w:lang w:eastAsia="pt-PT"/>
        </w:rPr>
        <w:tab/>
        <w:t>Exemplo CC AEVP/SINTICABA – BTE 6/2019.</w:t>
      </w:r>
      <w:r w:rsidRPr="004B5630">
        <w:rPr>
          <w:sz w:val="18"/>
          <w:szCs w:val="18"/>
        </w:rPr>
        <w:t xml:space="preserve"> AE ACIBARECELOS/ SITSECCVAC BTE 27/2019 (cl. 6ª, j).</w:t>
      </w:r>
    </w:p>
  </w:footnote>
  <w:footnote w:id="584">
    <w:p w14:paraId="4AA1CCBC" w14:textId="057157D7" w:rsidR="004B7DBA" w:rsidRPr="004B5630" w:rsidRDefault="004B7DBA" w:rsidP="00640A65">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AC OPERFOZ/SINPORFOZ – BTE 10/2019.</w:t>
      </w:r>
    </w:p>
  </w:footnote>
  <w:footnote w:id="585">
    <w:p w14:paraId="3C3821C3" w14:textId="600885C3" w:rsidR="004B7DBA" w:rsidRPr="004B5630" w:rsidRDefault="004B7DBA" w:rsidP="00640A65">
      <w:pPr>
        <w:tabs>
          <w:tab w:val="left" w:pos="426"/>
        </w:tabs>
        <w:spacing w:after="0" w:line="240" w:lineRule="auto"/>
        <w:ind w:left="425" w:hanging="425"/>
        <w:jc w:val="both"/>
        <w:rPr>
          <w:rFonts w:ascii="Calibri" w:eastAsia="Times New Roman" w:hAnsi="Calibri"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ascii="Calibri" w:eastAsia="Times New Roman" w:hAnsi="Calibri" w:cs="Calibri"/>
          <w:sz w:val="18"/>
          <w:szCs w:val="18"/>
          <w:lang w:eastAsia="pt-PT"/>
        </w:rPr>
        <w:t xml:space="preserve">AE Risto Rail Portugal/FESAHT - BTE 26/2019 </w:t>
      </w:r>
      <w:r w:rsidRPr="004B5630">
        <w:rPr>
          <w:sz w:val="18"/>
          <w:szCs w:val="18"/>
        </w:rPr>
        <w:t>(cl.19.ª).</w:t>
      </w:r>
    </w:p>
  </w:footnote>
  <w:footnote w:id="586">
    <w:p w14:paraId="50740B08" w14:textId="218C38CD" w:rsidR="004B7DBA" w:rsidRPr="004B5630" w:rsidRDefault="004B7DBA" w:rsidP="00640A65">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 xml:space="preserve">CC ADIPA/SITESE </w:t>
      </w:r>
      <w:r w:rsidRPr="004B5630">
        <w:rPr>
          <w:rFonts w:cs="Calibri"/>
          <w:sz w:val="18"/>
          <w:szCs w:val="18"/>
        </w:rPr>
        <w:t xml:space="preserve">– BTE </w:t>
      </w:r>
      <w:r w:rsidRPr="004B5630">
        <w:rPr>
          <w:sz w:val="18"/>
          <w:szCs w:val="18"/>
        </w:rPr>
        <w:t xml:space="preserve">24/2010 (Anexo VI), AE OPERESTIVA/STPSET </w:t>
      </w:r>
      <w:r w:rsidRPr="004B5630">
        <w:rPr>
          <w:rFonts w:cs="Calibri"/>
          <w:sz w:val="18"/>
          <w:szCs w:val="18"/>
        </w:rPr>
        <w:t>– BTE</w:t>
      </w:r>
      <w:r w:rsidRPr="004B5630">
        <w:rPr>
          <w:sz w:val="18"/>
          <w:szCs w:val="18"/>
        </w:rPr>
        <w:t xml:space="preserve"> 26/2019 (Anexo III), AE ANIL/COFESINT </w:t>
      </w:r>
      <w:r w:rsidRPr="004B5630">
        <w:rPr>
          <w:rFonts w:cs="Calibri"/>
          <w:sz w:val="18"/>
          <w:szCs w:val="18"/>
        </w:rPr>
        <w:t>– BTE</w:t>
      </w:r>
      <w:r w:rsidRPr="004B5630">
        <w:rPr>
          <w:sz w:val="18"/>
          <w:szCs w:val="18"/>
        </w:rPr>
        <w:t xml:space="preserve"> 40/2019(cl68ª)</w:t>
      </w:r>
    </w:p>
  </w:footnote>
  <w:footnote w:id="587">
    <w:p w14:paraId="0ED81FE8" w14:textId="0C058230" w:rsidR="004B7DBA" w:rsidRPr="004B5630" w:rsidRDefault="004B7DBA" w:rsidP="00640A65">
      <w:pPr>
        <w:tabs>
          <w:tab w:val="left" w:pos="426"/>
        </w:tabs>
        <w:spacing w:after="0" w:line="240" w:lineRule="auto"/>
        <w:ind w:left="425" w:hanging="425"/>
        <w:jc w:val="both"/>
        <w:rPr>
          <w:rFonts w:ascii="Calibri" w:eastAsia="Times New Roman" w:hAnsi="Calibri"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ascii="Calibri" w:eastAsia="Times New Roman" w:hAnsi="Calibri" w:cs="Calibri"/>
          <w:sz w:val="18"/>
          <w:szCs w:val="18"/>
          <w:lang w:eastAsia="pt-PT"/>
        </w:rPr>
        <w:t>AE Risto Rail Portugal/FESAHT - BTE 26/2019 (cl.20ª).</w:t>
      </w:r>
    </w:p>
  </w:footnote>
  <w:footnote w:id="588">
    <w:p w14:paraId="144CAD46" w14:textId="68CA29C7" w:rsidR="004B7DBA" w:rsidRPr="004B5630" w:rsidRDefault="004B7DBA" w:rsidP="00640A65">
      <w:pPr>
        <w:pStyle w:val="Textodenotaderodap"/>
        <w:tabs>
          <w:tab w:val="left" w:pos="426"/>
        </w:tabs>
        <w:ind w:left="425" w:hanging="425"/>
        <w:rPr>
          <w:sz w:val="18"/>
          <w:szCs w:val="18"/>
          <w:lang w:val="en-US"/>
        </w:rPr>
      </w:pPr>
      <w:r w:rsidRPr="004B5630">
        <w:rPr>
          <w:rStyle w:val="Refdenotaderodap"/>
          <w:sz w:val="18"/>
          <w:szCs w:val="18"/>
        </w:rPr>
        <w:footnoteRef/>
      </w:r>
      <w:r w:rsidRPr="004B5630">
        <w:rPr>
          <w:sz w:val="18"/>
          <w:szCs w:val="18"/>
          <w:lang w:val="en-US"/>
        </w:rPr>
        <w:t xml:space="preserve"> </w:t>
      </w:r>
      <w:bookmarkStart w:id="842" w:name="_Hlk42380282"/>
      <w:r w:rsidRPr="004B5630">
        <w:rPr>
          <w:sz w:val="18"/>
          <w:szCs w:val="18"/>
          <w:lang w:val="en-US"/>
        </w:rPr>
        <w:tab/>
        <w:t>AE Easyjet/SNPVAC BTE 28/2019 (cls. 26ª e 27ª)</w:t>
      </w:r>
      <w:bookmarkEnd w:id="842"/>
      <w:r w:rsidRPr="004B5630">
        <w:rPr>
          <w:sz w:val="18"/>
          <w:szCs w:val="18"/>
          <w:lang w:val="en-US"/>
        </w:rPr>
        <w:t>.</w:t>
      </w:r>
    </w:p>
  </w:footnote>
  <w:footnote w:id="589">
    <w:p w14:paraId="5CA00D6D" w14:textId="69703C73" w:rsidR="004B7DBA" w:rsidRPr="004B5630" w:rsidRDefault="004B7DBA" w:rsidP="00640A65">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AE PARQUES DE SINTRA/SINTAP BTE 35/2019 (cl 27ª).</w:t>
      </w:r>
    </w:p>
  </w:footnote>
  <w:footnote w:id="590">
    <w:p w14:paraId="032FF4E1" w14:textId="2C0A0E48" w:rsidR="004B7DBA" w:rsidRPr="004B5630" w:rsidRDefault="004B7DBA" w:rsidP="00640A65">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 xml:space="preserve">AE CAIMA/SITESE BTE 24/2019 (cl4ª). No </w:t>
      </w:r>
      <w:r w:rsidRPr="004B5630">
        <w:rPr>
          <w:rStyle w:val="Refdenotaderodap"/>
          <w:rFonts w:cstheme="minorHAnsi"/>
          <w:sz w:val="18"/>
          <w:szCs w:val="18"/>
          <w:vertAlign w:val="baseline"/>
        </w:rPr>
        <w:t xml:space="preserve">AE AHBV – ALGÉS/SNBP – BTE 36/2019 (cl.21ª,4 e 5), </w:t>
      </w:r>
      <w:r w:rsidRPr="004B5630">
        <w:rPr>
          <w:rFonts w:cstheme="minorHAnsi"/>
          <w:sz w:val="18"/>
          <w:szCs w:val="18"/>
        </w:rPr>
        <w:t xml:space="preserve">o </w:t>
      </w:r>
      <w:r w:rsidRPr="004B5630">
        <w:rPr>
          <w:rStyle w:val="Refdenotaderodap"/>
          <w:rFonts w:cstheme="minorHAnsi"/>
          <w:sz w:val="18"/>
          <w:szCs w:val="18"/>
          <w:vertAlign w:val="baseline"/>
        </w:rPr>
        <w:t>empregador deve  guardar reserva e confidencialidade de informações sobre dados pessoais; e a informação sobre o  estado de saúde do candidato</w:t>
      </w:r>
      <w:r w:rsidRPr="004B5630">
        <w:rPr>
          <w:rFonts w:cstheme="minorHAnsi"/>
          <w:sz w:val="18"/>
          <w:szCs w:val="18"/>
        </w:rPr>
        <w:t xml:space="preserve"> a emprego </w:t>
      </w:r>
      <w:r w:rsidRPr="004B5630">
        <w:rPr>
          <w:rStyle w:val="Refdenotaderodap"/>
          <w:rFonts w:cstheme="minorHAnsi"/>
          <w:sz w:val="18"/>
          <w:szCs w:val="18"/>
          <w:vertAlign w:val="baseline"/>
        </w:rPr>
        <w:t xml:space="preserve"> deve limitar-se ao “estritamente necessário à sua atividade profissional de bombeiro”.</w:t>
      </w:r>
    </w:p>
  </w:footnote>
  <w:footnote w:id="591">
    <w:p w14:paraId="61D20CE4" w14:textId="762F5E96" w:rsidR="004B7DBA" w:rsidRPr="004B5630" w:rsidRDefault="004B7DBA" w:rsidP="00640A65">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r>
      <w:r w:rsidRPr="004B5630">
        <w:rPr>
          <w:rStyle w:val="Refdenotaderodap"/>
          <w:rFonts w:cstheme="minorHAnsi"/>
          <w:sz w:val="18"/>
          <w:szCs w:val="18"/>
          <w:vertAlign w:val="baseline"/>
        </w:rPr>
        <w:t>AE AHBV – ALGÉS/SNBP – BTE 36/2019 (cl.21ª,4 e 5) condiciona a adoção de meios de vigilância à distância e a utilização de dados biométricos à autorização da CNPD, seguida de informação a todos os trabalhadores. Todavia,  exclui deste regime as funcionalidades de georreferenciação do Sistema Integrado de Redes de Emergência e Segurança de Portugal (SIRESP), associadas aos equipamentos de telecomunicações propriedade da Autoridade Nacional de Proteção Civil (ANPC), instalados nos veículos operacional do corpo de bombeiros, e cujos dados podem ser acedidos e consultados pelo comando do CBV nas condições definidas pela ANPC.</w:t>
      </w:r>
    </w:p>
  </w:footnote>
  <w:footnote w:id="592">
    <w:p w14:paraId="524566AA" w14:textId="0E40AA2A" w:rsidR="004B7DBA" w:rsidRPr="004B5630" w:rsidRDefault="004B7DBA" w:rsidP="00640A65">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r>
      <w:r w:rsidRPr="004B5630">
        <w:rPr>
          <w:rStyle w:val="Refdenotaderodap"/>
          <w:rFonts w:cstheme="minorHAnsi"/>
          <w:sz w:val="18"/>
          <w:szCs w:val="18"/>
          <w:vertAlign w:val="baseline"/>
        </w:rPr>
        <w:t xml:space="preserve">CC ANTRAM/FECTRANS – BTE 45/2019 (cl.72.º) </w:t>
      </w:r>
      <w:r w:rsidRPr="004B5630">
        <w:rPr>
          <w:rStyle w:val="Refdenotaderodap"/>
          <w:sz w:val="18"/>
          <w:szCs w:val="18"/>
          <w:vertAlign w:val="baseline"/>
        </w:rPr>
        <w:t>[(=)BTE 34/2018 (cl.65ª)] admite a utilizaç</w:t>
      </w:r>
      <w:r w:rsidRPr="004B5630">
        <w:rPr>
          <w:sz w:val="18"/>
          <w:szCs w:val="18"/>
        </w:rPr>
        <w:t>ão de</w:t>
      </w:r>
      <w:r w:rsidRPr="004B5630">
        <w:rPr>
          <w:rStyle w:val="Refdenotaderodap"/>
          <w:sz w:val="18"/>
          <w:szCs w:val="18"/>
          <w:vertAlign w:val="baseline"/>
        </w:rPr>
        <w:t xml:space="preserve"> GPS e telemetria com o objetivo proteger a segurança de trabalhadores móveis, veículos e mercadorias; essa informação pode ser usada para fins disciplinares</w:t>
      </w:r>
      <w:r w:rsidRPr="004B5630">
        <w:rPr>
          <w:sz w:val="18"/>
          <w:szCs w:val="18"/>
        </w:rPr>
        <w:t>.</w:t>
      </w:r>
    </w:p>
  </w:footnote>
  <w:footnote w:id="593">
    <w:p w14:paraId="16F9CE12" w14:textId="6BE10A9C" w:rsidR="004B7DBA" w:rsidRPr="004B5630" w:rsidRDefault="004B7DBA" w:rsidP="00D63FB3">
      <w:pPr>
        <w:pStyle w:val="Textodenotaderodap"/>
        <w:tabs>
          <w:tab w:val="left" w:pos="426"/>
        </w:tabs>
        <w:ind w:left="425" w:hanging="425"/>
      </w:pPr>
      <w:r w:rsidRPr="004B5630">
        <w:rPr>
          <w:rStyle w:val="Refdenotaderodap"/>
        </w:rPr>
        <w:footnoteRef/>
      </w:r>
      <w:r w:rsidRPr="004B5630">
        <w:t xml:space="preserve"> </w:t>
      </w:r>
      <w:r w:rsidRPr="004B5630">
        <w:tab/>
      </w:r>
      <w:r w:rsidRPr="004B5630">
        <w:rPr>
          <w:sz w:val="18"/>
          <w:szCs w:val="18"/>
        </w:rPr>
        <w:t>AE INATEL/FESAHT - BTE 76/2019 (Cl 21ª)  e paralelos.</w:t>
      </w:r>
      <w:r w:rsidRPr="004B5630">
        <w:t xml:space="preserve">  </w:t>
      </w:r>
    </w:p>
  </w:footnote>
  <w:footnote w:id="594">
    <w:p w14:paraId="08635858" w14:textId="531ACE2E" w:rsidR="004B7DBA" w:rsidRPr="004B5630" w:rsidRDefault="004B7DBA" w:rsidP="00D63FB3">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CC FENAME/SITESE BTE 27/2019 (CL 16.ºA).</w:t>
      </w:r>
    </w:p>
  </w:footnote>
  <w:footnote w:id="595">
    <w:p w14:paraId="6640DD3E" w14:textId="3302E2F4" w:rsidR="004B7DBA" w:rsidRPr="004B5630" w:rsidRDefault="004B7DBA" w:rsidP="00D63FB3">
      <w:pPr>
        <w:tabs>
          <w:tab w:val="left" w:pos="426"/>
        </w:tabs>
        <w:spacing w:after="0" w:line="240" w:lineRule="auto"/>
        <w:ind w:left="425" w:hanging="425"/>
        <w:jc w:val="both"/>
        <w:rPr>
          <w:rFonts w:ascii="Calibri" w:eastAsia="Times New Roman" w:hAnsi="Calibri"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ascii="Calibri" w:eastAsia="Times New Roman" w:hAnsi="Calibri" w:cs="Calibri"/>
          <w:sz w:val="18"/>
          <w:szCs w:val="18"/>
          <w:lang w:eastAsia="pt-PT"/>
        </w:rPr>
        <w:t>AE INATEL/SITESE – BTE 6/2019 (cl.21º,7) e paralelos.</w:t>
      </w:r>
    </w:p>
  </w:footnote>
  <w:footnote w:id="596">
    <w:p w14:paraId="617472FB" w14:textId="07847571" w:rsidR="004B7DBA" w:rsidRPr="004B5630" w:rsidRDefault="004B7DBA" w:rsidP="00D63FB3">
      <w:pPr>
        <w:spacing w:after="0" w:line="240" w:lineRule="auto"/>
        <w:ind w:left="425" w:hanging="425"/>
        <w:jc w:val="both"/>
        <w:rPr>
          <w:rFonts w:ascii="Calibri" w:eastAsia="Times New Roman" w:hAnsi="Calibri"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ascii="Calibri" w:eastAsia="Times New Roman" w:hAnsi="Calibri" w:cs="Calibri"/>
          <w:sz w:val="18"/>
          <w:szCs w:val="18"/>
          <w:lang w:eastAsia="pt-PT"/>
        </w:rPr>
        <w:t>CC FENAME/SITESE - BTE 27/2019 (cl.16ª-A,6).</w:t>
      </w:r>
    </w:p>
  </w:footnote>
  <w:footnote w:id="597">
    <w:p w14:paraId="4B6BF0C2" w14:textId="24C1F338" w:rsidR="004B7DBA" w:rsidRPr="004B5630" w:rsidRDefault="004B7DBA" w:rsidP="00D63FB3">
      <w:pPr>
        <w:pStyle w:val="Textodenotaderodap"/>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AC Fidelidade / SINAPSA – BTE 5/2019 (cl. 16.ª,3); AE Seguradoras Unidas/SINAPSA – BTE 5/2019 (cl. 21)</w:t>
      </w:r>
    </w:p>
  </w:footnote>
  <w:footnote w:id="598">
    <w:p w14:paraId="070019B2" w14:textId="11B8C899" w:rsidR="004B7DBA" w:rsidRPr="004B5630" w:rsidRDefault="004B7DBA" w:rsidP="00D63FB3">
      <w:pPr>
        <w:pStyle w:val="Textodenotaderodap"/>
        <w:tabs>
          <w:tab w:val="left" w:pos="426"/>
        </w:tabs>
        <w:ind w:left="425" w:hanging="425"/>
        <w:rPr>
          <w:sz w:val="18"/>
          <w:szCs w:val="18"/>
          <w:lang w:val="es-419"/>
        </w:rPr>
      </w:pPr>
      <w:r w:rsidRPr="004B5630">
        <w:rPr>
          <w:rStyle w:val="Refdenotaderodap"/>
          <w:sz w:val="18"/>
          <w:szCs w:val="18"/>
        </w:rPr>
        <w:footnoteRef/>
      </w:r>
      <w:r w:rsidRPr="004B5630">
        <w:rPr>
          <w:sz w:val="18"/>
          <w:szCs w:val="18"/>
          <w:lang w:val="es-419"/>
        </w:rPr>
        <w:t xml:space="preserve"> </w:t>
      </w:r>
      <w:r w:rsidRPr="004B5630">
        <w:rPr>
          <w:sz w:val="18"/>
          <w:szCs w:val="18"/>
          <w:lang w:val="es-419"/>
        </w:rPr>
        <w:tab/>
        <w:t>ABIMOTA/SINDEL BTE 45/2019 (Cl 52ª,1, c)).</w:t>
      </w:r>
    </w:p>
  </w:footnote>
  <w:footnote w:id="599">
    <w:p w14:paraId="29E685A0" w14:textId="3AA71918" w:rsidR="004B7DBA" w:rsidRPr="004B5630" w:rsidRDefault="004B7DBA" w:rsidP="00D63FB3">
      <w:pPr>
        <w:pStyle w:val="Textodenotaderodap"/>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CC FENAME/SITESE BTE 27/2019 (CL 16.ºA).</w:t>
      </w:r>
    </w:p>
  </w:footnote>
  <w:footnote w:id="600">
    <w:p w14:paraId="0BA11B4D" w14:textId="7493096E" w:rsidR="004B7DBA" w:rsidRPr="004B5630" w:rsidRDefault="004B7DBA" w:rsidP="00D63FB3">
      <w:pPr>
        <w:pStyle w:val="Textodenotaderodap"/>
        <w:tabs>
          <w:tab w:val="left" w:pos="426"/>
        </w:tabs>
        <w:ind w:left="425" w:hanging="425"/>
        <w:rPr>
          <w:sz w:val="18"/>
          <w:szCs w:val="18"/>
          <w:lang w:val="fr-FR"/>
        </w:rPr>
      </w:pPr>
      <w:r w:rsidRPr="004B5630">
        <w:rPr>
          <w:rStyle w:val="Refdenotaderodap"/>
          <w:sz w:val="18"/>
          <w:szCs w:val="18"/>
        </w:rPr>
        <w:footnoteRef/>
      </w:r>
      <w:r w:rsidRPr="004B5630">
        <w:rPr>
          <w:sz w:val="18"/>
          <w:szCs w:val="18"/>
          <w:lang w:val="fr-FR"/>
        </w:rPr>
        <w:t xml:space="preserve"> </w:t>
      </w:r>
      <w:r w:rsidRPr="004B5630">
        <w:rPr>
          <w:sz w:val="18"/>
          <w:szCs w:val="18"/>
          <w:lang w:val="fr-FR"/>
        </w:rPr>
        <w:tab/>
        <w:t>AE  AIG Europe SA/STAS - BTE 17/2019 (Cl 21ª).</w:t>
      </w:r>
    </w:p>
  </w:footnote>
  <w:footnote w:id="601">
    <w:p w14:paraId="3EA11A16" w14:textId="7B69E82A" w:rsidR="004B7DBA" w:rsidRPr="004B5630" w:rsidRDefault="004B7DBA" w:rsidP="00D63FB3">
      <w:pPr>
        <w:pStyle w:val="Textodenotaderodap"/>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AC Fidelidade / SINAPSA – BTE 5/2019 (cl. 16.ª); AE Seguradoras Unidas/SINAPSA – BTE 5/2019 (cl. 13ª,2).</w:t>
      </w:r>
    </w:p>
  </w:footnote>
  <w:footnote w:id="602">
    <w:p w14:paraId="457291E9" w14:textId="49588728" w:rsidR="004B7DBA" w:rsidRPr="004B5630" w:rsidRDefault="004B7DBA" w:rsidP="00D63FB3">
      <w:pPr>
        <w:pStyle w:val="Textodenotaderodap"/>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AC Fidelidade / SINAPSA – BTE 5/2019 (cl. 16.ª);AE Seguradoras Unidas/SINAPSA – BTE 5/2019 (cl. 13ª).</w:t>
      </w:r>
    </w:p>
  </w:footnote>
  <w:footnote w:id="603">
    <w:p w14:paraId="57548244" w14:textId="20FB226B" w:rsidR="004B7DBA" w:rsidRPr="004B5630" w:rsidRDefault="004B7DBA" w:rsidP="00D63FB3">
      <w:pPr>
        <w:pStyle w:val="Textodenotaderodap"/>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 xml:space="preserve">CC FENAME/SITESE BTE 27/2019 (CL 16.ºA) AC Fidelidade / SINAPSA – BTE 5/2019 (cl. 16.ª); AE INATEL/FESAHT - BTE 76/2019 (cl 21ª, 2) e paralelos neste AE, </w:t>
      </w:r>
      <w:r w:rsidRPr="004B5630">
        <w:rPr>
          <w:rFonts w:cs="TimesNewRomanPSMT"/>
          <w:sz w:val="18"/>
          <w:szCs w:val="18"/>
        </w:rPr>
        <w:t>em contrapartida é dever do trabalhador a</w:t>
      </w:r>
      <w:r w:rsidRPr="004B5630">
        <w:rPr>
          <w:sz w:val="18"/>
          <w:szCs w:val="18"/>
        </w:rPr>
        <w:t xml:space="preserve"> preservação do equipamento e software  e o cumprimento das regras sobre a  proteção de  dados.</w:t>
      </w:r>
    </w:p>
  </w:footnote>
  <w:footnote w:id="604">
    <w:p w14:paraId="601656C0" w14:textId="30E62EA2" w:rsidR="004B7DBA" w:rsidRPr="004B5630" w:rsidRDefault="004B7DBA" w:rsidP="00D63FB3">
      <w:pPr>
        <w:pStyle w:val="Textodenotaderodap"/>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 xml:space="preserve">AE INATEL/FESAHT - BTE 76/2019 (cl 21ª,6) e paralelos.   </w:t>
      </w:r>
    </w:p>
  </w:footnote>
  <w:footnote w:id="605">
    <w:p w14:paraId="540ADABE" w14:textId="3580351C" w:rsidR="004B7DBA" w:rsidRPr="004B5630" w:rsidRDefault="004B7DBA" w:rsidP="00C55B95">
      <w:pPr>
        <w:spacing w:after="0" w:line="240" w:lineRule="auto"/>
        <w:ind w:left="425"/>
        <w:jc w:val="both"/>
        <w:rPr>
          <w:rFonts w:eastAsia="Times New Roman" w:cs="Times New Roman"/>
          <w:sz w:val="18"/>
          <w:szCs w:val="18"/>
          <w:lang w:eastAsia="pt-PT"/>
        </w:rPr>
      </w:pPr>
      <w:r w:rsidRPr="004B5630">
        <w:rPr>
          <w:rStyle w:val="Refdenotaderodap"/>
          <w:sz w:val="18"/>
          <w:szCs w:val="18"/>
        </w:rPr>
        <w:footnoteRef/>
      </w:r>
      <w:r w:rsidRPr="004B5630">
        <w:rPr>
          <w:rFonts w:eastAsia="Times New Roman" w:cs="Times New Roman"/>
          <w:sz w:val="18"/>
          <w:szCs w:val="18"/>
          <w:lang w:eastAsia="pt-PT"/>
        </w:rPr>
        <w:t xml:space="preserve">GENERALI/SINAPSA – BTE 13/2019 (cl.26.º, 5) e </w:t>
      </w:r>
      <w:r w:rsidRPr="004B5630">
        <w:rPr>
          <w:sz w:val="18"/>
          <w:szCs w:val="18"/>
        </w:rPr>
        <w:t>AE Seguradoras Unidas/SINAPSA – BTE 5/2019 (cl. 13ª,7).</w:t>
      </w:r>
      <w:r w:rsidRPr="004B5630">
        <w:rPr>
          <w:strike/>
          <w:sz w:val="18"/>
          <w:szCs w:val="18"/>
        </w:rPr>
        <w:t xml:space="preserve"> </w:t>
      </w:r>
    </w:p>
  </w:footnote>
  <w:footnote w:id="606">
    <w:p w14:paraId="3F768071" w14:textId="21D7A180" w:rsidR="004B7DBA" w:rsidRPr="004B5630" w:rsidRDefault="004B7DBA" w:rsidP="00C55B95">
      <w:pPr>
        <w:pStyle w:val="Textodenotaderodap"/>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AC Fidelidade / SINAPSA – BTE 5/2019 (cl. 16.ª).</w:t>
      </w:r>
    </w:p>
  </w:footnote>
  <w:footnote w:id="607">
    <w:p w14:paraId="402A4B96" w14:textId="080586C8" w:rsidR="004B7DBA" w:rsidRPr="004B5630" w:rsidRDefault="004B7DBA" w:rsidP="00C55B95">
      <w:pPr>
        <w:pStyle w:val="Textodenotaderodap"/>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GENERALI/SINAPSA – BTE 13/2019 (cl.26ª, 5).</w:t>
      </w:r>
    </w:p>
  </w:footnote>
  <w:footnote w:id="608">
    <w:p w14:paraId="31A29FD8" w14:textId="5D481782" w:rsidR="004B7DBA" w:rsidRPr="004B5630" w:rsidRDefault="004B7DBA" w:rsidP="00C55B95">
      <w:pPr>
        <w:pStyle w:val="Textodenotaderodap"/>
        <w:ind w:left="425" w:hanging="425"/>
        <w:rPr>
          <w:sz w:val="18"/>
          <w:szCs w:val="18"/>
          <w:lang w:val="fr-FR"/>
        </w:rPr>
      </w:pPr>
      <w:r w:rsidRPr="004B5630">
        <w:rPr>
          <w:rStyle w:val="Refdenotaderodap"/>
          <w:sz w:val="18"/>
          <w:szCs w:val="18"/>
        </w:rPr>
        <w:footnoteRef/>
      </w:r>
      <w:r w:rsidRPr="004B5630">
        <w:rPr>
          <w:sz w:val="18"/>
          <w:szCs w:val="18"/>
          <w:lang w:val="fr-FR"/>
        </w:rPr>
        <w:t xml:space="preserve"> </w:t>
      </w:r>
      <w:r w:rsidRPr="004B5630">
        <w:rPr>
          <w:sz w:val="18"/>
          <w:szCs w:val="18"/>
          <w:lang w:val="fr-FR"/>
        </w:rPr>
        <w:tab/>
        <w:t>AE AIG Europe SA/STAS - BTE 17/2019 (Cl 20ª).</w:t>
      </w:r>
    </w:p>
  </w:footnote>
  <w:footnote w:id="609">
    <w:p w14:paraId="46DAFFF4" w14:textId="0FBB7E14" w:rsidR="004B7DBA" w:rsidRPr="004B5630" w:rsidRDefault="004B7DBA" w:rsidP="00C55B95">
      <w:pPr>
        <w:spacing w:after="0" w:line="240" w:lineRule="auto"/>
        <w:ind w:left="425" w:hanging="425"/>
        <w:jc w:val="both"/>
        <w:rPr>
          <w:rFonts w:ascii="Calibri" w:eastAsia="Times New Roman" w:hAnsi="Calibri" w:cs="Calibri"/>
          <w:sz w:val="18"/>
          <w:szCs w:val="18"/>
          <w:lang w:val="en-US" w:eastAsia="pt-PT"/>
        </w:rPr>
      </w:pPr>
      <w:r w:rsidRPr="004B5630">
        <w:rPr>
          <w:rStyle w:val="Refdenotaderodap"/>
          <w:sz w:val="18"/>
          <w:szCs w:val="18"/>
        </w:rPr>
        <w:footnoteRef/>
      </w:r>
      <w:r w:rsidRPr="004B5630">
        <w:rPr>
          <w:sz w:val="18"/>
          <w:szCs w:val="18"/>
          <w:lang w:val="en-US"/>
        </w:rPr>
        <w:t xml:space="preserve"> </w:t>
      </w:r>
      <w:r w:rsidRPr="004B5630">
        <w:rPr>
          <w:sz w:val="18"/>
          <w:szCs w:val="18"/>
          <w:lang w:val="en-US"/>
        </w:rPr>
        <w:tab/>
      </w:r>
      <w:r w:rsidRPr="004B5630">
        <w:rPr>
          <w:rFonts w:ascii="Calibri" w:eastAsia="Times New Roman" w:hAnsi="Calibri" w:cs="Calibri"/>
          <w:sz w:val="18"/>
          <w:szCs w:val="18"/>
          <w:lang w:val="en-US" w:eastAsia="pt-PT"/>
        </w:rPr>
        <w:t>AC ZURICH/SINAPSA – BTE 17/2019 (cl.12ª)</w:t>
      </w:r>
    </w:p>
  </w:footnote>
  <w:footnote w:id="610">
    <w:p w14:paraId="5A9A0F5A" w14:textId="7AC727F0" w:rsidR="004B7DBA" w:rsidRPr="004B5630" w:rsidRDefault="004B7DBA" w:rsidP="00C55B95">
      <w:pPr>
        <w:pStyle w:val="Textodenotaderodap"/>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Enquanto o art. 167º,nº,2,CT  determina o pré-aviso de 30 dias.</w:t>
      </w:r>
    </w:p>
  </w:footnote>
  <w:footnote w:id="611">
    <w:p w14:paraId="634BD61F" w14:textId="7DA1F990" w:rsidR="004B7DBA" w:rsidRPr="004B5630" w:rsidRDefault="004B7DBA" w:rsidP="00C55B95">
      <w:pPr>
        <w:pStyle w:val="Textodenotaderodap"/>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AE INATEL/FESAHT - BTE 76/2019 (cl 21ª, 1) e paralelos</w:t>
      </w:r>
    </w:p>
  </w:footnote>
  <w:footnote w:id="612">
    <w:p w14:paraId="6F6248B6" w14:textId="123ABFEB" w:rsidR="004B7DBA" w:rsidRPr="004B5630" w:rsidRDefault="004B7DBA" w:rsidP="00C55B95">
      <w:pPr>
        <w:pStyle w:val="Textodenotaderodap"/>
        <w:ind w:left="425" w:hanging="425"/>
        <w:rPr>
          <w:sz w:val="18"/>
          <w:szCs w:val="18"/>
          <w:lang w:val="fr-FR"/>
        </w:rPr>
      </w:pPr>
      <w:r w:rsidRPr="004B5630">
        <w:rPr>
          <w:rStyle w:val="Refdenotaderodap"/>
          <w:sz w:val="18"/>
          <w:szCs w:val="18"/>
        </w:rPr>
        <w:footnoteRef/>
      </w:r>
      <w:r w:rsidRPr="004B5630">
        <w:rPr>
          <w:sz w:val="18"/>
          <w:szCs w:val="18"/>
          <w:lang w:val="fr-FR"/>
        </w:rPr>
        <w:t xml:space="preserve"> </w:t>
      </w:r>
      <w:r w:rsidRPr="004B5630">
        <w:rPr>
          <w:sz w:val="18"/>
          <w:szCs w:val="18"/>
          <w:lang w:val="fr-FR"/>
        </w:rPr>
        <w:tab/>
        <w:t>AE AIG Europe SA/STAS - BTE 17/2019 (Cl 20ª).</w:t>
      </w:r>
    </w:p>
  </w:footnote>
  <w:footnote w:id="613">
    <w:p w14:paraId="60BDA4A4" w14:textId="3DB01238" w:rsidR="004B7DBA" w:rsidRPr="004B5630" w:rsidRDefault="004B7DBA" w:rsidP="00C55B95">
      <w:pPr>
        <w:spacing w:after="0" w:line="240" w:lineRule="auto"/>
        <w:ind w:left="425" w:hanging="425"/>
        <w:jc w:val="both"/>
        <w:rPr>
          <w:rFonts w:eastAsia="Times New Roman" w:cs="Times New Roman"/>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eastAsia="Times New Roman" w:cs="Times New Roman"/>
          <w:sz w:val="18"/>
          <w:szCs w:val="18"/>
          <w:lang w:eastAsia="pt-PT"/>
        </w:rPr>
        <w:t>AC Fidelidade / SINAPSA – BTE 5/2019 (cl. 11.ª); AE Seguradoras Unidas/SINAPSA – BTE 5/2019 (cl. 21) ; AC GENERALI/SINAPSA – BTE 13/2019 (cl.26ª).</w:t>
      </w:r>
    </w:p>
  </w:footnote>
  <w:footnote w:id="614">
    <w:p w14:paraId="66621186" w14:textId="77777777" w:rsidR="004B7DBA" w:rsidRPr="004B5630" w:rsidRDefault="004B7DBA" w:rsidP="00C55B95">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Em França   o chamado «direito do trabalhador à desconexão», para assegurar o seu direito ao repouso, consta de alteração ao Code du travail (L. nº 2016-1088, de 8 de agosto de 2016, cujo art. 55º alterou neste sentido o art. L.2242-8 do Code du travail).</w:t>
      </w:r>
    </w:p>
  </w:footnote>
  <w:footnote w:id="615">
    <w:p w14:paraId="5B473BBD" w14:textId="07B87C3D" w:rsidR="004B7DBA" w:rsidRPr="004B5630" w:rsidRDefault="004B7DBA" w:rsidP="00C55B95">
      <w:pPr>
        <w:pStyle w:val="Textodenotaderodap"/>
        <w:tabs>
          <w:tab w:val="left" w:pos="142"/>
          <w:tab w:val="left" w:pos="426"/>
        </w:tabs>
        <w:ind w:left="425" w:hanging="425"/>
        <w:rPr>
          <w:sz w:val="18"/>
          <w:szCs w:val="18"/>
        </w:rPr>
      </w:pPr>
      <w:r w:rsidRPr="004B5630">
        <w:rPr>
          <w:rStyle w:val="Refdenotaderodap"/>
          <w:sz w:val="18"/>
          <w:szCs w:val="18"/>
        </w:rPr>
        <w:footnoteRef/>
      </w:r>
      <w:r w:rsidRPr="004B5630">
        <w:rPr>
          <w:rFonts w:eastAsia="Calibri"/>
          <w:sz w:val="18"/>
          <w:szCs w:val="18"/>
        </w:rPr>
        <w:t xml:space="preserve">  </w:t>
      </w:r>
      <w:r w:rsidRPr="004B5630">
        <w:rPr>
          <w:rFonts w:eastAsia="Calibri"/>
          <w:sz w:val="18"/>
          <w:szCs w:val="18"/>
        </w:rPr>
        <w:tab/>
      </w:r>
      <w:r w:rsidRPr="004B5630">
        <w:rPr>
          <w:sz w:val="18"/>
          <w:szCs w:val="18"/>
        </w:rPr>
        <w:t xml:space="preserve">O AC Fidelidade / SINAPSA – BTE 5/2019 (cl.11ª) remete para regulamento interno da empresa; em sentido próximo, o AE Seguradoras Unidas/SINAPSA – BTE 5/2019 (cl.21ª), também admitindo a possibilidade de regulação por regulamento interno, mas obrigando a audição as estruturas de representação coletiva na empresa.  </w:t>
      </w:r>
    </w:p>
  </w:footnote>
  <w:footnote w:id="616">
    <w:p w14:paraId="56CB9761" w14:textId="46CB706D" w:rsidR="004B7DBA" w:rsidRPr="004B5630" w:rsidRDefault="004B7DBA" w:rsidP="00C55B95">
      <w:pPr>
        <w:pStyle w:val="Textodenotaderodap"/>
        <w:tabs>
          <w:tab w:val="left" w:pos="142"/>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 xml:space="preserve">Nesse sentido, </w:t>
      </w:r>
      <w:r w:rsidRPr="004B5630">
        <w:rPr>
          <w:rFonts w:ascii="Calibri" w:hAnsi="Calibri" w:cs="Calibri"/>
          <w:sz w:val="18"/>
          <w:szCs w:val="18"/>
        </w:rPr>
        <w:t>AC GENERALI/SINAPSA – BTE 13/2019 (cl.26.º); o AE AIG EUROPE/STAS – BTE 17/2019 (cl.7ª) e AC LUSITÂNIA/SINAPSA - BTE 21/2019 (cl.23ª). Todos eles</w:t>
      </w:r>
      <w:r w:rsidRPr="004B5630">
        <w:rPr>
          <w:sz w:val="18"/>
          <w:szCs w:val="18"/>
        </w:rPr>
        <w:t xml:space="preserve"> reproduzindo o </w:t>
      </w:r>
      <w:r w:rsidRPr="004B5630">
        <w:rPr>
          <w:rFonts w:eastAsia="Calibri"/>
          <w:sz w:val="18"/>
          <w:szCs w:val="18"/>
        </w:rPr>
        <w:t xml:space="preserve">[(=) </w:t>
      </w:r>
      <w:r w:rsidRPr="004B5630">
        <w:rPr>
          <w:sz w:val="18"/>
          <w:szCs w:val="18"/>
        </w:rPr>
        <w:t>CC APROSE/ STAS- BTE 40/2018 (cl.44ª)].</w:t>
      </w:r>
      <w:r w:rsidRPr="004B5630">
        <w:rPr>
          <w:color w:val="0070C0"/>
          <w:sz w:val="18"/>
          <w:szCs w:val="18"/>
        </w:rPr>
        <w:t xml:space="preserve"> </w:t>
      </w:r>
    </w:p>
  </w:footnote>
  <w:footnote w:id="617">
    <w:p w14:paraId="145AF356" w14:textId="78E6B7CA" w:rsidR="004B7DBA" w:rsidRPr="004B5630" w:rsidRDefault="004B7DBA" w:rsidP="00B629A4">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t xml:space="preserve">Na negociação de âmbito setorial (CC), a sua regulação é mais ténue. Assim, em três  dos cinco  (CC)  a definição  do regime de avaliação é remetido  para ato de gestão do empregador: no </w:t>
      </w:r>
      <w:r w:rsidRPr="004B5630">
        <w:rPr>
          <w:rFonts w:eastAsia="Times New Roman" w:cs="Calibri"/>
          <w:sz w:val="18"/>
          <w:szCs w:val="18"/>
          <w:lang w:eastAsia="pt-PT"/>
        </w:rPr>
        <w:t xml:space="preserve">CC ADIPA (Grossistas)/SITESE BTE 24/2019 (Anexo II);e nos CC CNIS/FEPCES – BTE 41/2019 (cl.7ª) e ABIMOTA/SINDEL – BTE 45/2019 (cl.8ª). Em todo o caso, nos últimos dois CC, são definidos parâmetros do sistema de avaliação. Também em 2019, apenas três revisões parciais regularam a avaliação de desempenho. (AC AVEIPORT/Sindicato2013TTPAveiro - BTE 21/2019; AE CARRISBUS/FECTRANS - BTE 29/2019; AE CMPEA/SINTAP – BTE 43/2019). </w:t>
      </w:r>
    </w:p>
  </w:footnote>
  <w:footnote w:id="618">
    <w:p w14:paraId="0035E225" w14:textId="2AB16BFA" w:rsidR="004B7DBA" w:rsidRPr="004B5630" w:rsidRDefault="004B7DBA" w:rsidP="00B629A4">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bookmarkStart w:id="850" w:name="_Hlk5530698"/>
      <w:r w:rsidRPr="004B5630">
        <w:rPr>
          <w:sz w:val="18"/>
          <w:szCs w:val="18"/>
          <w:vertAlign w:val="superscript"/>
        </w:rPr>
        <w:tab/>
      </w:r>
      <w:r w:rsidRPr="004B5630">
        <w:rPr>
          <w:rFonts w:eastAsia="Times New Roman"/>
          <w:sz w:val="18"/>
          <w:szCs w:val="18"/>
          <w:lang w:eastAsia="pt-PT"/>
        </w:rPr>
        <w:t>AC Fidelidade / SINAPSA – BTE 5/2019 (cl.20ª); AE LOURES PARQUE/STAL – BTE 7/2019 (cl.61ª, 1, b</w:t>
      </w:r>
      <w:r w:rsidRPr="004B5630">
        <w:rPr>
          <w:rFonts w:eastAsia="Times New Roman" w:cs="Calibri"/>
          <w:sz w:val="18"/>
          <w:szCs w:val="18"/>
          <w:lang w:eastAsia="pt-PT"/>
        </w:rPr>
        <w:t>)</w:t>
      </w:r>
      <w:bookmarkEnd w:id="850"/>
      <w:r w:rsidRPr="004B5630">
        <w:rPr>
          <w:rFonts w:eastAsia="Times New Roman" w:cs="Calibri"/>
          <w:sz w:val="18"/>
          <w:szCs w:val="18"/>
          <w:lang w:eastAsia="pt-PT"/>
        </w:rPr>
        <w:t>.</w:t>
      </w:r>
    </w:p>
  </w:footnote>
  <w:footnote w:id="619">
    <w:p w14:paraId="2E3145E3" w14:textId="33E76FCF" w:rsidR="004B7DBA" w:rsidRPr="004B5630" w:rsidRDefault="004B7DBA" w:rsidP="00B629A4">
      <w:pPr>
        <w:tabs>
          <w:tab w:val="left" w:pos="426"/>
        </w:tabs>
        <w:spacing w:after="0" w:line="240" w:lineRule="auto"/>
        <w:ind w:left="425" w:hanging="425"/>
        <w:jc w:val="both"/>
        <w:rPr>
          <w:rFonts w:eastAsia="Times New Roman"/>
          <w:sz w:val="18"/>
          <w:szCs w:val="18"/>
          <w:lang w:eastAsia="pt-PT"/>
        </w:rPr>
      </w:pPr>
      <w:r w:rsidRPr="004B5630">
        <w:rPr>
          <w:rStyle w:val="Refdenotaderodap"/>
          <w:sz w:val="18"/>
          <w:szCs w:val="18"/>
        </w:rPr>
        <w:footnoteRef/>
      </w:r>
      <w:r w:rsidRPr="004B5630">
        <w:rPr>
          <w:rFonts w:eastAsia="Times New Roman"/>
          <w:sz w:val="18"/>
          <w:szCs w:val="18"/>
          <w:vertAlign w:val="superscript"/>
          <w:lang w:eastAsia="pt-PT"/>
        </w:rPr>
        <w:t xml:space="preserve"> </w:t>
      </w:r>
      <w:r w:rsidRPr="004B5630">
        <w:rPr>
          <w:rFonts w:eastAsia="Times New Roman"/>
          <w:sz w:val="18"/>
          <w:szCs w:val="18"/>
          <w:lang w:eastAsia="pt-PT"/>
        </w:rPr>
        <w:tab/>
        <w:t>AC</w:t>
      </w:r>
      <w:r w:rsidRPr="004B5630">
        <w:rPr>
          <w:rStyle w:val="Refdenotaderodap"/>
          <w:sz w:val="18"/>
          <w:szCs w:val="18"/>
          <w:vertAlign w:val="baseline"/>
        </w:rPr>
        <w:t xml:space="preserve"> </w:t>
      </w:r>
      <w:r w:rsidRPr="004B5630">
        <w:rPr>
          <w:rFonts w:eastAsia="Times New Roman"/>
          <w:sz w:val="18"/>
          <w:szCs w:val="18"/>
          <w:lang w:eastAsia="pt-PT"/>
        </w:rPr>
        <w:t>GENERALI/SINAPSA – BTE 13/2019 (cl. 6ª); AE SUCH/FESAHT - BTE 21/2019 (cl.4ºª).</w:t>
      </w:r>
    </w:p>
  </w:footnote>
  <w:footnote w:id="620">
    <w:p w14:paraId="3352E1E5" w14:textId="52C138B6" w:rsidR="004B7DBA" w:rsidRPr="004B5630" w:rsidRDefault="004B7DBA" w:rsidP="00B629A4">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rFonts w:eastAsia="Times New Roman" w:cs="Calibri"/>
          <w:sz w:val="18"/>
          <w:szCs w:val="18"/>
          <w:vertAlign w:val="superscript"/>
          <w:lang w:eastAsia="pt-PT"/>
        </w:rPr>
        <w:t xml:space="preserve"> </w:t>
      </w:r>
      <w:r w:rsidRPr="004B5630">
        <w:rPr>
          <w:rFonts w:eastAsia="Times New Roman" w:cs="Calibri"/>
          <w:sz w:val="18"/>
          <w:szCs w:val="18"/>
          <w:lang w:eastAsia="pt-PT"/>
        </w:rPr>
        <w:tab/>
        <w:t>CC CNEF/ ASPL – BTE 5/2019 (Anexo I) e paralelos.</w:t>
      </w:r>
    </w:p>
  </w:footnote>
  <w:footnote w:id="621">
    <w:p w14:paraId="0DB0DA8C" w14:textId="7400EB27" w:rsidR="004B7DBA" w:rsidRPr="004B5630" w:rsidRDefault="004B7DBA" w:rsidP="00B629A4">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AE CARRISBUS/SITRA - BTE 20/2019 (Anexo A, cl.7ª, 3); AC AVEIPORT/Sindicato 2013 TTP - Aveiro - BTE 21/2019 (Anexo Ii, cl. 1º, 2); INATEL AE INATEL/SINTAP – BTE 6/2019 (Anexo III) e paralelos.</w:t>
      </w:r>
    </w:p>
  </w:footnote>
  <w:footnote w:id="622">
    <w:p w14:paraId="54BCE3DB" w14:textId="00EEDC06" w:rsidR="004B7DBA" w:rsidRPr="004B5630" w:rsidRDefault="004B7DBA" w:rsidP="00B629A4">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t xml:space="preserve">Por exemplo, </w:t>
      </w:r>
      <w:r w:rsidRPr="004B5630">
        <w:rPr>
          <w:rFonts w:eastAsia="Times New Roman" w:cs="Calibri"/>
          <w:sz w:val="18"/>
          <w:szCs w:val="18"/>
          <w:lang w:eastAsia="pt-PT"/>
        </w:rPr>
        <w:t>AC ZURICH/SINAPSA – BTE 17/2019 (cls.4ª e 5ª) AE AIG EUROPE/STAS – BTE 17/2019 (cls.12ª e 13ª).</w:t>
      </w:r>
    </w:p>
  </w:footnote>
  <w:footnote w:id="623">
    <w:p w14:paraId="6D7E2ED5" w14:textId="22AD04AB" w:rsidR="004B7DBA" w:rsidRPr="004B5630" w:rsidRDefault="004B7DBA" w:rsidP="00B629A4">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AE Seguradoras Unidas/SINAPSA – BTE 5/2019 (cl.5ª).</w:t>
      </w:r>
    </w:p>
  </w:footnote>
  <w:footnote w:id="624">
    <w:p w14:paraId="1CD79F43" w14:textId="299DAC3D" w:rsidR="004B7DBA" w:rsidRPr="004B5630" w:rsidRDefault="004B7DBA" w:rsidP="00B629A4">
      <w:pPr>
        <w:tabs>
          <w:tab w:val="left" w:pos="426"/>
        </w:tabs>
        <w:spacing w:after="0" w:line="240" w:lineRule="auto"/>
        <w:ind w:left="425"/>
        <w:jc w:val="both"/>
        <w:rPr>
          <w:rFonts w:eastAsia="Times New Roman" w:cs="Calibri"/>
          <w:sz w:val="18"/>
          <w:szCs w:val="18"/>
          <w:lang w:eastAsia="pt-PT"/>
        </w:rPr>
      </w:pPr>
      <w:r w:rsidRPr="004B5630">
        <w:rPr>
          <w:rStyle w:val="Refdenotaderodap"/>
          <w:sz w:val="18"/>
          <w:szCs w:val="18"/>
          <w:vertAlign w:val="baseline"/>
        </w:rPr>
        <w:footnoteRef/>
      </w:r>
      <w:r w:rsidRPr="004B5630">
        <w:rPr>
          <w:sz w:val="18"/>
          <w:szCs w:val="18"/>
        </w:rPr>
        <w:t xml:space="preserve"> Tal é o caso do </w:t>
      </w:r>
      <w:r w:rsidRPr="004B5630">
        <w:rPr>
          <w:rFonts w:eastAsia="Times New Roman" w:cs="Calibri"/>
          <w:sz w:val="18"/>
          <w:szCs w:val="18"/>
          <w:lang w:eastAsia="pt-PT"/>
        </w:rPr>
        <w:t>CC ABIMOTA/SINDEL – BTE 45/2019 (cl.8ª).</w:t>
      </w:r>
    </w:p>
  </w:footnote>
  <w:footnote w:id="625">
    <w:p w14:paraId="170586D0" w14:textId="53877213" w:rsidR="004B7DBA" w:rsidRPr="004B5630" w:rsidRDefault="004B7DBA" w:rsidP="00B629A4">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AC CH – Montijo/FESAP – BTE 42/2019 (cl.6ª).</w:t>
      </w:r>
    </w:p>
  </w:footnote>
  <w:footnote w:id="626">
    <w:p w14:paraId="4A119940" w14:textId="657F087E" w:rsidR="004B7DBA" w:rsidRPr="004B5630" w:rsidRDefault="004B7DBA" w:rsidP="00B629A4">
      <w:pPr>
        <w:tabs>
          <w:tab w:val="left" w:pos="426"/>
          <w:tab w:val="left" w:pos="851"/>
        </w:tabs>
        <w:spacing w:after="0" w:line="240" w:lineRule="auto"/>
        <w:ind w:left="425" w:hanging="425"/>
        <w:jc w:val="both"/>
        <w:rPr>
          <w:rFonts w:eastAsia="Calibri" w:cstheme="minorHAns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Em 2019, </w:t>
      </w:r>
      <w:r w:rsidRPr="004B5630">
        <w:rPr>
          <w:rFonts w:eastAsia="Calibri" w:cstheme="minorHAnsi"/>
          <w:sz w:val="18"/>
          <w:szCs w:val="18"/>
          <w:lang w:eastAsia="pt-PT"/>
        </w:rPr>
        <w:t xml:space="preserve">76 convenções estabeleceram regras sobre progressões e promoções, associados ou não a modelos de avaliação de desempenho. </w:t>
      </w:r>
    </w:p>
  </w:footnote>
  <w:footnote w:id="627">
    <w:p w14:paraId="2031153A" w14:textId="0B113856" w:rsidR="004B7DBA" w:rsidRPr="004B5630" w:rsidRDefault="004B7DBA" w:rsidP="00B629A4">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Por exemplo, </w:t>
      </w:r>
      <w:r w:rsidRPr="004B5630">
        <w:rPr>
          <w:rFonts w:eastAsia="Times New Roman" w:cs="Calibri"/>
          <w:sz w:val="18"/>
          <w:szCs w:val="18"/>
          <w:lang w:eastAsia="pt-PT"/>
        </w:rPr>
        <w:t>CC ACRAL/CESP – BTE 16/2019  e CC ACRAL/SITESE - BTE 24/2019  ( ambos cl.16ª).</w:t>
      </w:r>
    </w:p>
  </w:footnote>
  <w:footnote w:id="628">
    <w:p w14:paraId="4F89DDD9" w14:textId="50620714" w:rsidR="004B7DBA" w:rsidRPr="004B5630" w:rsidRDefault="004B7DBA" w:rsidP="00B629A4">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vertAlign w:val="superscript"/>
        </w:rPr>
        <w:tab/>
      </w:r>
      <w:r w:rsidRPr="004B5630">
        <w:rPr>
          <w:sz w:val="18"/>
          <w:szCs w:val="18"/>
        </w:rPr>
        <w:t xml:space="preserve">Por exemplo, </w:t>
      </w:r>
      <w:r w:rsidRPr="004B5630">
        <w:rPr>
          <w:rFonts w:eastAsia="Times New Roman" w:cs="Calibri"/>
          <w:sz w:val="18"/>
          <w:szCs w:val="18"/>
          <w:lang w:eastAsia="pt-PT"/>
        </w:rPr>
        <w:t>CC ACIFF/CESP - BTE 23/2019 (cl.</w:t>
      </w:r>
      <w:r w:rsidRPr="004B5630">
        <w:rPr>
          <w:sz w:val="18"/>
          <w:szCs w:val="18"/>
        </w:rPr>
        <w:t xml:space="preserve"> </w:t>
      </w:r>
      <w:r w:rsidRPr="004B5630">
        <w:rPr>
          <w:rFonts w:eastAsia="Times New Roman" w:cs="Calibri"/>
          <w:sz w:val="18"/>
          <w:szCs w:val="18"/>
          <w:lang w:eastAsia="pt-PT"/>
        </w:rPr>
        <w:t>9ª, Bª e 10ª, g)).</w:t>
      </w:r>
    </w:p>
  </w:footnote>
  <w:footnote w:id="629">
    <w:p w14:paraId="77109B01" w14:textId="4DCB0191" w:rsidR="004B7DBA" w:rsidRPr="004B5630" w:rsidRDefault="004B7DBA" w:rsidP="00B629A4">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rFonts w:eastAsia="Times New Roman" w:cs="Calibri"/>
          <w:sz w:val="18"/>
          <w:szCs w:val="18"/>
          <w:lang w:eastAsia="pt-PT"/>
        </w:rPr>
        <w:t xml:space="preserve"> </w:t>
      </w:r>
      <w:r w:rsidRPr="004B5630">
        <w:rPr>
          <w:rFonts w:eastAsia="Times New Roman" w:cs="Calibri"/>
          <w:sz w:val="18"/>
          <w:szCs w:val="18"/>
          <w:lang w:eastAsia="pt-PT"/>
        </w:rPr>
        <w:tab/>
        <w:t>AE ViaPorto/STTAMP – BTE 31/2019 e paralelo (Anexo II, cl. 8ª).</w:t>
      </w:r>
    </w:p>
  </w:footnote>
  <w:footnote w:id="630">
    <w:p w14:paraId="53177903" w14:textId="091C0E69" w:rsidR="004B7DBA" w:rsidRPr="004B5630" w:rsidRDefault="004B7DBA" w:rsidP="00B629A4">
      <w:pPr>
        <w:tabs>
          <w:tab w:val="left" w:pos="426"/>
        </w:tabs>
        <w:spacing w:after="0" w:line="240" w:lineRule="auto"/>
        <w:ind w:left="425" w:hanging="425"/>
        <w:jc w:val="both"/>
        <w:rPr>
          <w:rFonts w:eastAsia="Times New Roman" w:cs="Calibri"/>
          <w:sz w:val="18"/>
          <w:szCs w:val="18"/>
          <w:lang w:eastAsia="pt-PT"/>
        </w:rPr>
      </w:pPr>
      <w:r w:rsidRPr="004B5630">
        <w:rPr>
          <w:rFonts w:eastAsia="Times New Roman" w:cs="Calibri"/>
          <w:sz w:val="18"/>
          <w:szCs w:val="18"/>
          <w:vertAlign w:val="superscript"/>
          <w:lang w:eastAsia="pt-PT"/>
        </w:rPr>
        <w:footnoteRef/>
      </w:r>
      <w:r w:rsidRPr="004B5630">
        <w:rPr>
          <w:rFonts w:eastAsia="Times New Roman" w:cs="Calibri"/>
          <w:sz w:val="18"/>
          <w:szCs w:val="18"/>
          <w:vertAlign w:val="superscript"/>
          <w:lang w:eastAsia="pt-PT"/>
        </w:rPr>
        <w:t xml:space="preserve"> </w:t>
      </w:r>
      <w:r w:rsidRPr="004B5630">
        <w:rPr>
          <w:rFonts w:eastAsia="Times New Roman" w:cs="Calibri"/>
          <w:sz w:val="18"/>
          <w:szCs w:val="18"/>
          <w:lang w:eastAsia="pt-PT"/>
        </w:rPr>
        <w:tab/>
        <w:t>Exemplo, AC GENERALI/SINAPSA – BTE 13/2019 (cl. 6ª, 2); AE CARRISBUS/SITRA - BTE 20/2019 (Anexo B).</w:t>
      </w:r>
    </w:p>
  </w:footnote>
  <w:footnote w:id="631">
    <w:p w14:paraId="468A4779" w14:textId="7751D4E9" w:rsidR="004B7DBA" w:rsidRPr="004B5630" w:rsidRDefault="004B7DBA" w:rsidP="00B629A4">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AE CARRISBUS/SITRA - BTE 20/2019 (cl. 9ª, g).</w:t>
      </w:r>
    </w:p>
  </w:footnote>
  <w:footnote w:id="632">
    <w:p w14:paraId="41E4CF90" w14:textId="384E783C" w:rsidR="004B7DBA" w:rsidRPr="004B5630" w:rsidRDefault="004B7DBA" w:rsidP="00B629A4">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eastAsia="Times New Roman" w:cs="Calibri"/>
          <w:sz w:val="18"/>
          <w:szCs w:val="18"/>
          <w:lang w:eastAsia="pt-PT"/>
        </w:rPr>
        <w:t>AE BMO PORTUGAL/SNQTB – BTE 5/2019 (</w:t>
      </w:r>
      <w:r w:rsidRPr="004B5630">
        <w:rPr>
          <w:sz w:val="18"/>
          <w:szCs w:val="18"/>
        </w:rPr>
        <w:t>cl. 19.ª).</w:t>
      </w:r>
    </w:p>
  </w:footnote>
  <w:footnote w:id="633">
    <w:p w14:paraId="01FBA2A7" w14:textId="56E4976E" w:rsidR="004B7DBA" w:rsidRPr="004B5630" w:rsidRDefault="004B7DBA" w:rsidP="00B629A4">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 </w:t>
      </w:r>
      <w:r w:rsidRPr="004B5630">
        <w:rPr>
          <w:rFonts w:eastAsia="Times New Roman" w:cs="Calibri"/>
          <w:sz w:val="18"/>
          <w:szCs w:val="18"/>
          <w:lang w:eastAsia="pt-PT"/>
        </w:rPr>
        <w:t>AE AHBV – ALGÉS/SNBP – BTE 36/2019 (Anexo III, art.º 18º, 3); AE CARRISTUR/SITRA – BTE 47/2019 (Anexo V, 4).</w:t>
      </w:r>
    </w:p>
  </w:footnote>
  <w:footnote w:id="634">
    <w:p w14:paraId="2D9BA441" w14:textId="4B765536" w:rsidR="004B7DBA" w:rsidRPr="004B5630" w:rsidRDefault="004B7DBA" w:rsidP="00B629A4">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vertAlign w:val="superscript"/>
        </w:rPr>
        <w:tab/>
      </w:r>
      <w:r w:rsidRPr="004B5630">
        <w:rPr>
          <w:rFonts w:eastAsia="Times New Roman" w:cs="Calibri"/>
          <w:sz w:val="18"/>
          <w:szCs w:val="18"/>
          <w:lang w:eastAsia="pt-PT"/>
        </w:rPr>
        <w:t>AE CARRISBUS/FECTRANS - BTE 29/2019 (Anexo B, cl. 11ª, 5).</w:t>
      </w:r>
    </w:p>
  </w:footnote>
  <w:footnote w:id="635">
    <w:p w14:paraId="46F9254F" w14:textId="747056CF" w:rsidR="004B7DBA" w:rsidRPr="004B5630" w:rsidRDefault="004B7DBA" w:rsidP="00B629A4">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AE BMO PORTUGAL/SNQTB – BTE 5/2019 (cl.19ª,3); AE Europa&amp;C/FIEQUIMETAL – BTE 8/2019 (Anexo II).</w:t>
      </w:r>
    </w:p>
  </w:footnote>
  <w:footnote w:id="636">
    <w:p w14:paraId="5F19346B" w14:textId="797766B4" w:rsidR="004B7DBA" w:rsidRPr="004B5630" w:rsidRDefault="004B7DBA" w:rsidP="00B629A4">
      <w:pPr>
        <w:tabs>
          <w:tab w:val="left" w:pos="426"/>
        </w:tabs>
        <w:spacing w:after="0" w:line="240" w:lineRule="auto"/>
        <w:ind w:left="425" w:hanging="425"/>
        <w:jc w:val="both"/>
        <w:rPr>
          <w:rFonts w:eastAsia="Times New Roman" w:cs="Calibri"/>
          <w:sz w:val="18"/>
          <w:szCs w:val="18"/>
          <w:lang w:eastAsia="pt-PT"/>
        </w:rPr>
      </w:pPr>
      <w:r w:rsidRPr="004B5630">
        <w:rPr>
          <w:rFonts w:eastAsia="Times New Roman" w:cs="Calibri"/>
          <w:sz w:val="18"/>
          <w:szCs w:val="18"/>
          <w:vertAlign w:val="superscript"/>
          <w:lang w:eastAsia="pt-PT"/>
        </w:rPr>
        <w:footnoteRef/>
      </w:r>
      <w:r w:rsidRPr="004B5630">
        <w:rPr>
          <w:rFonts w:eastAsia="Times New Roman" w:cs="Calibri"/>
          <w:sz w:val="18"/>
          <w:szCs w:val="18"/>
          <w:vertAlign w:val="superscript"/>
          <w:lang w:eastAsia="pt-PT"/>
        </w:rPr>
        <w:t xml:space="preserve"> </w:t>
      </w:r>
      <w:r w:rsidRPr="004B5630">
        <w:rPr>
          <w:rFonts w:eastAsia="Times New Roman" w:cs="Calibri"/>
          <w:sz w:val="18"/>
          <w:szCs w:val="18"/>
          <w:lang w:eastAsia="pt-PT"/>
        </w:rPr>
        <w:tab/>
        <w:t>AE ViaPorto/STTAMP – BTE 31/2019 e paralelos (Anexo II, art.º. 13º, 4).</w:t>
      </w:r>
    </w:p>
  </w:footnote>
  <w:footnote w:id="637">
    <w:p w14:paraId="539900AC" w14:textId="2AD0CAE5" w:rsidR="004B7DBA" w:rsidRPr="004B5630" w:rsidRDefault="004B7DBA" w:rsidP="00B629A4">
      <w:pPr>
        <w:pStyle w:val="Textodenotaderodap"/>
        <w:tabs>
          <w:tab w:val="left" w:pos="142"/>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O art. 404.º CT considera estruturas de representação coletiva dos trabalhadores as associações sindicais, as comissões de trabalhadores e as comissões de representantes dos trabalhadores para a segurança e saúde no trabalho e os conselhos de empresa europeus. Desta última categoria não se encontrou qualquer referência nas convenções de 2019. </w:t>
      </w:r>
    </w:p>
    <w:p w14:paraId="2FBBA665" w14:textId="18BFCA86" w:rsidR="004B7DBA" w:rsidRPr="004B5630" w:rsidRDefault="004B7DBA" w:rsidP="00B629A4">
      <w:pPr>
        <w:pStyle w:val="Textodenotaderodap"/>
        <w:tabs>
          <w:tab w:val="left" w:pos="142"/>
          <w:tab w:val="left" w:pos="426"/>
        </w:tabs>
        <w:ind w:left="425" w:hanging="425"/>
        <w:rPr>
          <w:sz w:val="18"/>
          <w:szCs w:val="18"/>
        </w:rPr>
      </w:pPr>
      <w:r w:rsidRPr="004B5630">
        <w:rPr>
          <w:sz w:val="18"/>
          <w:szCs w:val="18"/>
        </w:rPr>
        <w:tab/>
      </w:r>
      <w:r w:rsidRPr="004B5630">
        <w:rPr>
          <w:sz w:val="18"/>
          <w:szCs w:val="18"/>
        </w:rPr>
        <w:tab/>
        <w:t xml:space="preserve">As comissões de representantes dos trabalhadores para a segurança e saúde no trabalho e os conselhos de empresa europeus têm na sua base o Direito Comunitário (respetivamente, por via das Diretivas 89/391/CEE e 2009/38/CE). A disciplina legal destas comissões está prevista na Lei n.º 102/2009, de 10 de setembro. </w:t>
      </w:r>
    </w:p>
  </w:footnote>
  <w:footnote w:id="638">
    <w:p w14:paraId="21FB50B2" w14:textId="53F405DE" w:rsidR="004B7DBA" w:rsidRPr="004B5630" w:rsidRDefault="004B7DBA" w:rsidP="00B629A4">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 Na Constituição, cfr. arts. 55.º e 56.º, sobre o exercício da atividade sindical na empresa e o art. 54.º, sobre as atribuições das comissões de trabalhadores, a este propósito</w:t>
      </w:r>
      <w:r w:rsidRPr="004B5630">
        <w:rPr>
          <w:rFonts w:cstheme="minorBidi"/>
          <w:sz w:val="18"/>
          <w:szCs w:val="18"/>
        </w:rPr>
        <w:t xml:space="preserve">. </w:t>
      </w:r>
    </w:p>
  </w:footnote>
  <w:footnote w:id="639">
    <w:p w14:paraId="4CEB3759" w14:textId="6E6FB75C" w:rsidR="004B7DBA" w:rsidRPr="004B5630" w:rsidRDefault="004B7DBA" w:rsidP="00B629A4">
      <w:pPr>
        <w:pStyle w:val="Textodenotaderodap"/>
        <w:tabs>
          <w:tab w:val="left" w:pos="142"/>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Existem10 convenções que operam revisão parcial nas quais esta matéria é versada, embora em termos parciais.</w:t>
      </w:r>
    </w:p>
  </w:footnote>
  <w:footnote w:id="640">
    <w:p w14:paraId="76B7362F" w14:textId="51BF90EE" w:rsidR="004B7DBA" w:rsidRPr="004B5630" w:rsidRDefault="004B7DBA" w:rsidP="00D07DA0">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Assim, por exemplo, </w:t>
      </w:r>
      <w:r w:rsidRPr="004B5630">
        <w:rPr>
          <w:rFonts w:eastAsia="Times New Roman" w:cs="Calibri"/>
          <w:sz w:val="18"/>
          <w:szCs w:val="18"/>
          <w:lang w:eastAsia="pt-PT"/>
        </w:rPr>
        <w:t xml:space="preserve">CC ANTRAM/FECTRANS – BTE 45/2019 </w:t>
      </w:r>
      <w:r w:rsidRPr="004B5630">
        <w:rPr>
          <w:rFonts w:cstheme="minorHAnsi"/>
          <w:sz w:val="18"/>
          <w:szCs w:val="18"/>
        </w:rPr>
        <w:t>[</w:t>
      </w:r>
      <w:r w:rsidRPr="004B5630">
        <w:rPr>
          <w:sz w:val="18"/>
          <w:szCs w:val="18"/>
        </w:rPr>
        <w:t>cl. 12.ª, 1 a) e c)</w:t>
      </w:r>
      <w:r w:rsidRPr="004B5630">
        <w:rPr>
          <w:rFonts w:cstheme="minorHAnsi"/>
          <w:sz w:val="18"/>
          <w:szCs w:val="18"/>
        </w:rPr>
        <w:t>]</w:t>
      </w:r>
      <w:r w:rsidRPr="004B5630">
        <w:rPr>
          <w:rFonts w:eastAsia="Times New Roman" w:cs="Calibri"/>
          <w:sz w:val="18"/>
          <w:szCs w:val="18"/>
          <w:lang w:eastAsia="pt-PT"/>
        </w:rPr>
        <w:t xml:space="preserve"> [(=)</w:t>
      </w:r>
      <w:r w:rsidRPr="004B5630">
        <w:rPr>
          <w:sz w:val="18"/>
          <w:szCs w:val="18"/>
        </w:rPr>
        <w:t>BTE 34/2018]</w:t>
      </w:r>
      <w:r w:rsidRPr="004B5630">
        <w:rPr>
          <w:rFonts w:eastAsia="Times New Roman" w:cs="Calibri"/>
          <w:sz w:val="18"/>
          <w:szCs w:val="18"/>
          <w:lang w:eastAsia="pt-PT"/>
        </w:rPr>
        <w:t>. AC COOPTOCHA/SETAAB – BTE 18/2019 (cl.43ª e 72ª,2, i)).</w:t>
      </w:r>
    </w:p>
  </w:footnote>
  <w:footnote w:id="641">
    <w:p w14:paraId="6DA695A5" w14:textId="22A2ED0C" w:rsidR="004B7DBA" w:rsidRPr="004B5630" w:rsidRDefault="004B7DBA" w:rsidP="00D07DA0">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Nesse sentido, </w:t>
      </w:r>
      <w:r w:rsidRPr="004B5630">
        <w:rPr>
          <w:rFonts w:eastAsia="Times New Roman" w:cs="Calibri"/>
          <w:sz w:val="18"/>
          <w:szCs w:val="18"/>
          <w:lang w:eastAsia="pt-PT"/>
        </w:rPr>
        <w:t xml:space="preserve">AE The Navigator Company/FETESE – BTE 45/2019 (cl.78ª - 81ª) e </w:t>
      </w:r>
      <w:r w:rsidRPr="004B5630">
        <w:rPr>
          <w:sz w:val="18"/>
          <w:szCs w:val="18"/>
        </w:rPr>
        <w:t xml:space="preserve"> convenções paralelas ; </w:t>
      </w:r>
      <w:r w:rsidRPr="004B5630">
        <w:rPr>
          <w:rFonts w:eastAsia="Times New Roman" w:cs="Calibri"/>
          <w:sz w:val="18"/>
          <w:szCs w:val="18"/>
          <w:lang w:eastAsia="pt-PT"/>
        </w:rPr>
        <w:t>AC Indorama Portugal/COFESINT – BTE 31/2019 (cl.101.º).</w:t>
      </w:r>
    </w:p>
  </w:footnote>
  <w:footnote w:id="642">
    <w:p w14:paraId="2AC7BC6D" w14:textId="42231661" w:rsidR="004B7DBA" w:rsidRPr="004B5630" w:rsidRDefault="004B7DBA" w:rsidP="00D07DA0">
      <w:pPr>
        <w:tabs>
          <w:tab w:val="left" w:pos="426"/>
        </w:tabs>
        <w:spacing w:after="0" w:line="240" w:lineRule="auto"/>
        <w:ind w:left="425" w:hanging="425"/>
        <w:jc w:val="both"/>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 xml:space="preserve">Entre outros, </w:t>
      </w:r>
      <w:r w:rsidRPr="004B5630">
        <w:rPr>
          <w:rFonts w:eastAsia="Times New Roman" w:cs="Calibri"/>
          <w:sz w:val="18"/>
          <w:szCs w:val="18"/>
          <w:lang w:eastAsia="pt-PT"/>
        </w:rPr>
        <w:t>AE UCS/SIMA – BTE 14/2019 (cl.75.ª)e   CC CNIS/FEPCES – BTE 41/2019 (cl.13.ª)</w:t>
      </w:r>
      <w:r w:rsidRPr="004B5630">
        <w:rPr>
          <w:sz w:val="18"/>
          <w:szCs w:val="18"/>
        </w:rPr>
        <w:t xml:space="preserve"> remissão para a lei.</w:t>
      </w:r>
    </w:p>
  </w:footnote>
  <w:footnote w:id="643">
    <w:p w14:paraId="4B946136" w14:textId="71CDF549" w:rsidR="004B7DBA" w:rsidRPr="004B5630" w:rsidRDefault="004B7DBA" w:rsidP="00D07DA0">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t xml:space="preserve"> Por exemplo,  </w:t>
      </w:r>
      <w:r w:rsidRPr="004B5630">
        <w:rPr>
          <w:rFonts w:eastAsia="Times New Roman" w:cs="Calibri"/>
          <w:sz w:val="18"/>
          <w:szCs w:val="18"/>
          <w:lang w:eastAsia="pt-PT"/>
        </w:rPr>
        <w:t>AE PEFACO/FESAHT – BTE 6/2019 (cl.109ª-112ª) e AC Indorama Portugal/COFESINT – BTE 31/2019 (cl.</w:t>
      </w:r>
      <w:r w:rsidRPr="004B5630">
        <w:rPr>
          <w:sz w:val="18"/>
          <w:szCs w:val="18"/>
        </w:rPr>
        <w:t xml:space="preserve"> </w:t>
      </w:r>
      <w:r w:rsidRPr="004B5630">
        <w:rPr>
          <w:rFonts w:eastAsia="Times New Roman" w:cs="Calibri"/>
          <w:sz w:val="18"/>
          <w:szCs w:val="18"/>
          <w:lang w:eastAsia="pt-PT"/>
        </w:rPr>
        <w:t>108.º-112º).</w:t>
      </w:r>
    </w:p>
  </w:footnote>
  <w:footnote w:id="644">
    <w:p w14:paraId="166236A0" w14:textId="7F7004A6" w:rsidR="004B7DBA" w:rsidRPr="004B5630" w:rsidRDefault="004B7DBA" w:rsidP="00D07DA0">
      <w:pPr>
        <w:tabs>
          <w:tab w:val="left" w:pos="426"/>
        </w:tabs>
        <w:spacing w:after="0" w:line="240" w:lineRule="auto"/>
        <w:ind w:left="425" w:hanging="425"/>
        <w:jc w:val="both"/>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AE ViaPorto/SINFB – BTE 35/2019 [cl.11ª,f)] e paralelos; AE SCOTTURB/SITRA -– BTE 35/2019 [cl.11ª,f)].</w:t>
      </w:r>
    </w:p>
  </w:footnote>
  <w:footnote w:id="645">
    <w:p w14:paraId="50D66214" w14:textId="57539EB9" w:rsidR="004B7DBA" w:rsidRPr="004B5630" w:rsidRDefault="004B7DBA" w:rsidP="00D07DA0">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t xml:space="preserve">Por exemplo, </w:t>
      </w:r>
      <w:r w:rsidRPr="004B5630">
        <w:rPr>
          <w:rFonts w:eastAsia="Times New Roman" w:cs="Calibri"/>
          <w:sz w:val="18"/>
          <w:szCs w:val="18"/>
          <w:lang w:eastAsia="pt-PT"/>
        </w:rPr>
        <w:t xml:space="preserve">CC ANIECA/FECTRANS – BTE 13/2019 </w:t>
      </w:r>
      <w:r w:rsidRPr="004B5630">
        <w:rPr>
          <w:sz w:val="18"/>
          <w:szCs w:val="18"/>
        </w:rPr>
        <w:t xml:space="preserve">(cl. 20.ª, 1);  </w:t>
      </w:r>
      <w:r w:rsidRPr="004B5630">
        <w:rPr>
          <w:rFonts w:eastAsia="Times New Roman" w:cs="Calibri"/>
          <w:sz w:val="18"/>
          <w:szCs w:val="18"/>
          <w:lang w:eastAsia="pt-PT"/>
        </w:rPr>
        <w:t>AE ALMAMUSICA/SPGL – BTE 4/2019 (cl.7ª,e) e demais convenções do setor educativo.</w:t>
      </w:r>
    </w:p>
  </w:footnote>
  <w:footnote w:id="646">
    <w:p w14:paraId="4B7D7DD2" w14:textId="5135F0C9" w:rsidR="004B7DBA" w:rsidRPr="004B5630" w:rsidRDefault="004B7DBA" w:rsidP="00106F36">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Por exemplo, </w:t>
      </w:r>
      <w:r w:rsidRPr="004B5630">
        <w:rPr>
          <w:rFonts w:eastAsia="Times New Roman" w:cs="Calibri"/>
          <w:sz w:val="18"/>
          <w:szCs w:val="18"/>
          <w:lang w:eastAsia="pt-PT"/>
        </w:rPr>
        <w:t>CC ALIF/SETAAB – BTE 17/2019 (cl</w:t>
      </w:r>
      <w:r w:rsidRPr="004B5630">
        <w:rPr>
          <w:sz w:val="18"/>
          <w:szCs w:val="18"/>
        </w:rPr>
        <w:t xml:space="preserve">.55.º,2. e); </w:t>
      </w:r>
      <w:r w:rsidRPr="004B5630">
        <w:rPr>
          <w:rFonts w:eastAsia="Times New Roman" w:cs="Calibri"/>
          <w:sz w:val="18"/>
          <w:szCs w:val="18"/>
          <w:lang w:eastAsia="pt-PT"/>
        </w:rPr>
        <w:t>AE ALMAMUSICA/SPGL – BTE 4/2019 (cl.4ª, c) e7ª, e)).</w:t>
      </w:r>
    </w:p>
  </w:footnote>
  <w:footnote w:id="647">
    <w:p w14:paraId="2850B1FD" w14:textId="773093B8" w:rsidR="004B7DBA" w:rsidRPr="004B5630" w:rsidRDefault="004B7DBA" w:rsidP="00106F36">
      <w:pPr>
        <w:tabs>
          <w:tab w:val="left" w:pos="426"/>
        </w:tabs>
        <w:spacing w:after="0" w:line="240" w:lineRule="auto"/>
        <w:ind w:left="425" w:hanging="425"/>
        <w:jc w:val="both"/>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Por exemplo, CC ABIMOTA/SINDEL – BTE 45/2019 (cl.46ª).</w:t>
      </w:r>
    </w:p>
  </w:footnote>
  <w:footnote w:id="648">
    <w:p w14:paraId="3AC90270" w14:textId="569F51A7" w:rsidR="004B7DBA" w:rsidRPr="004B5630" w:rsidRDefault="004B7DBA" w:rsidP="00106F36">
      <w:pPr>
        <w:tabs>
          <w:tab w:val="left" w:pos="426"/>
        </w:tabs>
        <w:spacing w:after="0" w:line="240" w:lineRule="auto"/>
        <w:ind w:left="425" w:hanging="425"/>
        <w:jc w:val="both"/>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 xml:space="preserve"> </w:t>
      </w:r>
      <w:r w:rsidRPr="004B5630">
        <w:rPr>
          <w:sz w:val="18"/>
          <w:szCs w:val="18"/>
        </w:rPr>
        <w:tab/>
        <w:t xml:space="preserve">AE OPERESTIVA/STPSET - BTE 26/2019 (cl.95ª); CC ANCIPA (batata frita) /SETAAB – BTE 18/2019 (cl.76,ª)  CC ANCIPA (hortofrutícolas)/ SETAAB – BTE 18/2019 (cl.75.ª). </w:t>
      </w:r>
    </w:p>
  </w:footnote>
  <w:footnote w:id="649">
    <w:p w14:paraId="4C6F601F" w14:textId="20D60FA9" w:rsidR="004B7DBA" w:rsidRPr="004B5630" w:rsidRDefault="004B7DBA" w:rsidP="00106F36">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eastAsia="Times New Roman" w:cs="Calibri"/>
          <w:sz w:val="18"/>
          <w:szCs w:val="18"/>
          <w:lang w:eastAsia="pt-PT"/>
        </w:rPr>
        <w:t>CC CNEF/SEPLEU – BTE 5/2019 (cl.5ª,e) e CC CNEF/ SIPE – BTE 5/2019 (cl.); AE A. ENSINO BENTO J. CARAÇA/FENPROF – BTE 12/2019 (cl.66.5 e 7 e 71º,3), em sentido mais amplo os dirigentes sindicais também podem aceder ao estabelecimento, desde que informem do data e assunto a tratar.</w:t>
      </w:r>
    </w:p>
  </w:footnote>
  <w:footnote w:id="650">
    <w:p w14:paraId="67C77281" w14:textId="559238DC" w:rsidR="004B7DBA" w:rsidRPr="004B5630" w:rsidRDefault="004B7DBA" w:rsidP="00106F36">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t>Por exemplo</w:t>
      </w:r>
      <w:r w:rsidRPr="004B5630">
        <w:rPr>
          <w:rFonts w:eastAsia="Times New Roman" w:cs="Calibri"/>
          <w:sz w:val="18"/>
          <w:szCs w:val="18"/>
          <w:lang w:eastAsia="pt-PT"/>
        </w:rPr>
        <w:t>, AE LOURES PARQUE/STAL – BTE 7/2019 (cl.12ª,1); AE The Navigator Company/COFESINT – BTE 17/2019 (cl.18ª,1) e paralelos;</w:t>
      </w:r>
    </w:p>
  </w:footnote>
  <w:footnote w:id="651">
    <w:p w14:paraId="6980B89F" w14:textId="03292C20" w:rsidR="004B7DBA" w:rsidRPr="004B5630" w:rsidRDefault="004B7DBA" w:rsidP="00106F36">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t>AC GENERALI/SINAPSA – BTE 13/2019 (cl.30ª,1e));</w:t>
      </w:r>
      <w:r w:rsidRPr="004B5630">
        <w:rPr>
          <w:rFonts w:eastAsia="Times New Roman" w:cs="Calibri"/>
          <w:sz w:val="18"/>
          <w:szCs w:val="18"/>
          <w:lang w:eastAsia="pt-PT"/>
        </w:rPr>
        <w:t xml:space="preserve"> AC LUSITÂNIA/SINAPSA - BTE 21/2019  </w:t>
      </w:r>
      <w:r w:rsidRPr="004B5630">
        <w:rPr>
          <w:rFonts w:cstheme="minorHAnsi"/>
          <w:sz w:val="18"/>
          <w:szCs w:val="18"/>
        </w:rPr>
        <w:t xml:space="preserve"> [</w:t>
      </w:r>
      <w:r w:rsidRPr="004B5630">
        <w:rPr>
          <w:sz w:val="18"/>
          <w:szCs w:val="18"/>
        </w:rPr>
        <w:t>cl. 33.ª, 1, e)</w:t>
      </w:r>
      <w:r w:rsidRPr="004B5630">
        <w:rPr>
          <w:rFonts w:cstheme="minorHAnsi"/>
          <w:sz w:val="18"/>
          <w:szCs w:val="18"/>
        </w:rPr>
        <w:t>]</w:t>
      </w:r>
      <w:r w:rsidRPr="004B5630">
        <w:rPr>
          <w:sz w:val="18"/>
          <w:szCs w:val="18"/>
        </w:rPr>
        <w:t xml:space="preserve">  [(=)AE Ponto Seguro/SINAPSA – BTE 19/2018].</w:t>
      </w:r>
    </w:p>
  </w:footnote>
  <w:footnote w:id="652">
    <w:p w14:paraId="0A378BF9" w14:textId="6678748C" w:rsidR="004B7DBA" w:rsidRPr="004B5630" w:rsidRDefault="004B7DBA" w:rsidP="00106F36">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t>Por exemplo</w:t>
      </w:r>
      <w:r w:rsidRPr="004B5630">
        <w:rPr>
          <w:rFonts w:eastAsia="Times New Roman" w:cs="Calibri"/>
          <w:sz w:val="18"/>
          <w:szCs w:val="18"/>
          <w:lang w:eastAsia="pt-PT"/>
        </w:rPr>
        <w:t>, AE A. ENSINO BENTO J. CARAÇA/FENPROF – BTE 12/2019 (cl.72ª) ((+) 75 trabalhadores); AE ALMAMUSICA/SPGL – BTE 4/2019 (cl.63ª) ((+) 100 trabalhadores).</w:t>
      </w:r>
    </w:p>
  </w:footnote>
  <w:footnote w:id="653">
    <w:p w14:paraId="10018BA1" w14:textId="3C3CFF93" w:rsidR="004B7DBA" w:rsidRPr="004B5630" w:rsidRDefault="004B7DBA" w:rsidP="00140448">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Por </w:t>
      </w:r>
      <w:bookmarkStart w:id="857" w:name="_Hlk6740354"/>
      <w:r w:rsidRPr="004B5630">
        <w:rPr>
          <w:sz w:val="18"/>
          <w:szCs w:val="18"/>
        </w:rPr>
        <w:t xml:space="preserve">exemplo, </w:t>
      </w:r>
      <w:bookmarkEnd w:id="857"/>
      <w:r w:rsidRPr="004B5630">
        <w:rPr>
          <w:sz w:val="18"/>
          <w:szCs w:val="18"/>
        </w:rPr>
        <w:t xml:space="preserve">os </w:t>
      </w:r>
      <w:r w:rsidRPr="004B5630">
        <w:rPr>
          <w:rFonts w:eastAsia="Times New Roman" w:cs="Calibri"/>
          <w:sz w:val="18"/>
          <w:szCs w:val="18"/>
          <w:lang w:eastAsia="pt-PT"/>
        </w:rPr>
        <w:t xml:space="preserve">CC CNEF/SEPLEU </w:t>
      </w:r>
      <w:r w:rsidRPr="004B5630">
        <w:rPr>
          <w:rFonts w:cs="Calibri"/>
          <w:sz w:val="18"/>
          <w:szCs w:val="18"/>
        </w:rPr>
        <w:t xml:space="preserve">e </w:t>
      </w:r>
      <w:r w:rsidRPr="004B5630">
        <w:rPr>
          <w:rFonts w:eastAsia="Times New Roman" w:cs="Calibri"/>
          <w:sz w:val="18"/>
          <w:szCs w:val="18"/>
          <w:lang w:eastAsia="pt-PT"/>
        </w:rPr>
        <w:t>CNEF/ SIPE,</w:t>
      </w:r>
      <w:r w:rsidRPr="004B5630">
        <w:rPr>
          <w:rFonts w:cs="Calibri"/>
          <w:sz w:val="18"/>
          <w:szCs w:val="18"/>
        </w:rPr>
        <w:t xml:space="preserve"> ambos BTE 5/2019 (cl.60ª); </w:t>
      </w:r>
      <w:r w:rsidRPr="004B5630">
        <w:rPr>
          <w:rFonts w:eastAsia="Times New Roman" w:cs="Calibri"/>
          <w:sz w:val="18"/>
          <w:szCs w:val="18"/>
          <w:lang w:eastAsia="pt-PT"/>
        </w:rPr>
        <w:t xml:space="preserve"> AE The Navigator Company/FETESE – BTE 45/2019 (cl.20ª,4 e 5 e 24ª) e paralelos.</w:t>
      </w:r>
    </w:p>
  </w:footnote>
  <w:footnote w:id="654">
    <w:p w14:paraId="26564D7F" w14:textId="1C67858D" w:rsidR="004B7DBA" w:rsidRPr="004B5630" w:rsidRDefault="004B7DBA" w:rsidP="00140448">
      <w:pPr>
        <w:tabs>
          <w:tab w:val="left" w:pos="426"/>
        </w:tabs>
        <w:spacing w:after="0" w:line="240" w:lineRule="auto"/>
        <w:ind w:left="425" w:hanging="425"/>
        <w:jc w:val="both"/>
        <w:rPr>
          <w:rFonts w:eastAsia="Times New Roman" w:cs="Calibri"/>
          <w:sz w:val="18"/>
          <w:szCs w:val="18"/>
          <w:lang w:eastAsia="pt-PT"/>
        </w:rPr>
      </w:pPr>
      <w:r w:rsidRPr="004B5630">
        <w:rPr>
          <w:sz w:val="18"/>
          <w:szCs w:val="18"/>
          <w:vertAlign w:val="superscript"/>
        </w:rPr>
        <w:footnoteRef/>
      </w:r>
      <w:r w:rsidRPr="004B5630">
        <w:rPr>
          <w:sz w:val="18"/>
          <w:szCs w:val="18"/>
        </w:rPr>
        <w:t xml:space="preserve"> </w:t>
      </w:r>
      <w:r w:rsidRPr="004B5630">
        <w:rPr>
          <w:sz w:val="18"/>
          <w:szCs w:val="18"/>
        </w:rPr>
        <w:tab/>
      </w:r>
      <w:r w:rsidRPr="004B5630">
        <w:rPr>
          <w:rFonts w:eastAsia="Times New Roman" w:cs="Calibri"/>
          <w:sz w:val="18"/>
          <w:szCs w:val="18"/>
          <w:lang w:eastAsia="pt-PT"/>
        </w:rPr>
        <w:t xml:space="preserve">AC LUSITÂNIA/SINAPSA - BTE 21/2019 </w:t>
      </w:r>
      <w:r w:rsidRPr="004B5630">
        <w:rPr>
          <w:rFonts w:cstheme="minorHAnsi"/>
          <w:sz w:val="18"/>
          <w:szCs w:val="18"/>
        </w:rPr>
        <w:t>(</w:t>
      </w:r>
      <w:r w:rsidRPr="004B5630">
        <w:rPr>
          <w:sz w:val="18"/>
          <w:szCs w:val="18"/>
        </w:rPr>
        <w:t xml:space="preserve">cl. 35.ª) se o delegado sindical integrar a comissão intersindical terá direito a 8 horas mensais; ou simplesmente 6 horas, </w:t>
      </w:r>
      <w:r w:rsidRPr="004B5630">
        <w:rPr>
          <w:rFonts w:eastAsia="Times New Roman" w:cs="Calibri"/>
          <w:sz w:val="18"/>
          <w:szCs w:val="18"/>
          <w:lang w:eastAsia="pt-PT"/>
        </w:rPr>
        <w:t>AE Europ Assistance – Seguros/SINAPSA - BTE 29/2019 (cl.29º).</w:t>
      </w:r>
    </w:p>
  </w:footnote>
  <w:footnote w:id="655">
    <w:p w14:paraId="57E7C8D8" w14:textId="0DD4D768" w:rsidR="004B7DBA" w:rsidRPr="004B5630" w:rsidRDefault="004B7DBA" w:rsidP="00140448">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t>AC GENERALI/SINAPSA – BTE 13/2019 (cl.39ª), se o delegado sindical integrar a comissão intersindical terá direito a 8 horas mensais; apenas 7H em qualquer circunstância</w:t>
      </w:r>
      <w:r w:rsidRPr="004B5630">
        <w:rPr>
          <w:rFonts w:eastAsia="Times New Roman" w:cs="Calibri"/>
          <w:sz w:val="18"/>
          <w:szCs w:val="18"/>
          <w:lang w:eastAsia="pt-PT"/>
        </w:rPr>
        <w:t xml:space="preserve"> AC ZURICH/SINAPSA – BTE 17/2019 (cl.32.º.).</w:t>
      </w:r>
    </w:p>
  </w:footnote>
  <w:footnote w:id="656">
    <w:p w14:paraId="7210D9C9" w14:textId="3D0A94F5" w:rsidR="004B7DBA" w:rsidRPr="004B5630" w:rsidRDefault="004B7DBA" w:rsidP="00140448">
      <w:pPr>
        <w:tabs>
          <w:tab w:val="left" w:pos="426"/>
        </w:tabs>
        <w:spacing w:after="0" w:line="240" w:lineRule="auto"/>
        <w:ind w:left="425" w:hanging="425"/>
        <w:jc w:val="both"/>
        <w:rPr>
          <w:rFonts w:eastAsia="Times New Roman" w:cs="Calibri"/>
          <w:sz w:val="18"/>
          <w:szCs w:val="18"/>
          <w:lang w:eastAsia="pt-PT"/>
        </w:rPr>
      </w:pPr>
      <w:r w:rsidRPr="004B5630">
        <w:rPr>
          <w:rStyle w:val="Refdenotaderodap"/>
          <w:rFonts w:eastAsia="Times New Roman"/>
          <w:sz w:val="18"/>
          <w:szCs w:val="18"/>
          <w:lang w:eastAsia="pt-PT"/>
        </w:rPr>
        <w:footnoteRef/>
      </w:r>
      <w:r w:rsidRPr="004B5630">
        <w:rPr>
          <w:rStyle w:val="Refdenotaderodap"/>
          <w:rFonts w:eastAsia="Times New Roman"/>
          <w:sz w:val="18"/>
          <w:szCs w:val="18"/>
          <w:lang w:eastAsia="pt-PT"/>
        </w:rPr>
        <w:t xml:space="preserve"> </w:t>
      </w:r>
      <w:r w:rsidRPr="004B5630">
        <w:rPr>
          <w:rFonts w:eastAsia="Times New Roman"/>
          <w:sz w:val="18"/>
          <w:szCs w:val="18"/>
          <w:lang w:eastAsia="pt-PT"/>
        </w:rPr>
        <w:tab/>
      </w:r>
      <w:r w:rsidRPr="004B5630">
        <w:rPr>
          <w:rFonts w:eastAsia="Times New Roman" w:cs="Calibri"/>
          <w:sz w:val="18"/>
          <w:szCs w:val="18"/>
          <w:lang w:eastAsia="pt-PT"/>
        </w:rPr>
        <w:t>AE A. ENSINO BENTO J. CARAÇA/FENPROF – BTE 12/2019 (cl.70º)</w:t>
      </w:r>
      <w:r w:rsidRPr="004B5630">
        <w:rPr>
          <w:sz w:val="18"/>
          <w:szCs w:val="18"/>
        </w:rPr>
        <w:t>.</w:t>
      </w:r>
    </w:p>
  </w:footnote>
  <w:footnote w:id="657">
    <w:p w14:paraId="0B7FF3A0" w14:textId="5343B5D1" w:rsidR="004B7DBA" w:rsidRPr="004B5630" w:rsidRDefault="004B7DBA" w:rsidP="00140448">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lang w:val="it-IT"/>
        </w:rPr>
        <w:t xml:space="preserve"> </w:t>
      </w:r>
      <w:r w:rsidRPr="004B5630">
        <w:rPr>
          <w:sz w:val="18"/>
          <w:szCs w:val="18"/>
          <w:lang w:val="it-IT"/>
        </w:rPr>
        <w:tab/>
      </w:r>
      <w:r w:rsidRPr="004B5630">
        <w:rPr>
          <w:rFonts w:eastAsia="Times New Roman" w:cs="Calibri"/>
          <w:sz w:val="18"/>
          <w:szCs w:val="18"/>
          <w:lang w:eastAsia="pt-PT"/>
        </w:rPr>
        <w:t>AE PEFACO/FESAHT – BTE 6/2019 (cl.110ª).</w:t>
      </w:r>
    </w:p>
  </w:footnote>
  <w:footnote w:id="658">
    <w:p w14:paraId="46B2017D" w14:textId="4DBA33B8" w:rsidR="004B7DBA" w:rsidRPr="004B5630" w:rsidRDefault="004B7DBA" w:rsidP="00140448">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t xml:space="preserve"> AC GENERALI/SINAPSA – BTE 13/2019 (cl.38ª,1),</w:t>
      </w:r>
      <w:r w:rsidRPr="004B5630">
        <w:rPr>
          <w:rFonts w:eastAsia="Times New Roman" w:cs="Calibri"/>
          <w:sz w:val="18"/>
          <w:szCs w:val="18"/>
          <w:lang w:eastAsia="pt-PT"/>
        </w:rPr>
        <w:t xml:space="preserve"> AE ViaPorto/STTAMP – BTE 31/2019 (cl.62.º). </w:t>
      </w:r>
    </w:p>
  </w:footnote>
  <w:footnote w:id="659">
    <w:p w14:paraId="35EFF360" w14:textId="484CF3AE" w:rsidR="004B7DBA" w:rsidRPr="004B5630" w:rsidRDefault="004B7DBA" w:rsidP="00140448">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 xml:space="preserve">CC ACRAL/CESP – BTE 16/2019 e ACRAL/SITESE - BTE 24/2019 </w:t>
      </w:r>
      <w:r w:rsidRPr="004B5630">
        <w:rPr>
          <w:rFonts w:cs="Calibri"/>
          <w:sz w:val="18"/>
          <w:szCs w:val="18"/>
        </w:rPr>
        <w:t xml:space="preserve">[ambos </w:t>
      </w:r>
      <w:r w:rsidRPr="004B5630">
        <w:rPr>
          <w:sz w:val="18"/>
          <w:szCs w:val="18"/>
        </w:rPr>
        <w:t>cl. 7.ª, 1, b)</w:t>
      </w:r>
      <w:r w:rsidRPr="004B5630">
        <w:rPr>
          <w:rFonts w:cs="Calibri"/>
          <w:sz w:val="18"/>
          <w:szCs w:val="18"/>
        </w:rPr>
        <w:t>]</w:t>
      </w:r>
      <w:r w:rsidRPr="004B5630">
        <w:rPr>
          <w:sz w:val="18"/>
          <w:szCs w:val="18"/>
        </w:rPr>
        <w:t xml:space="preserve"> [(=)ACRAL/SITESE – BTE 25/2018].</w:t>
      </w:r>
    </w:p>
  </w:footnote>
  <w:footnote w:id="660">
    <w:p w14:paraId="515870FB" w14:textId="6F234DCB" w:rsidR="004B7DBA" w:rsidRPr="004B5630" w:rsidRDefault="004B7DBA" w:rsidP="00140448">
      <w:pPr>
        <w:tabs>
          <w:tab w:val="left" w:pos="426"/>
        </w:tabs>
        <w:spacing w:after="0" w:line="240" w:lineRule="auto"/>
        <w:ind w:left="425" w:hanging="425"/>
        <w:jc w:val="both"/>
        <w:rPr>
          <w:rFonts w:eastAsia="Times New Roman" w:cs="Calibri"/>
          <w:sz w:val="18"/>
          <w:szCs w:val="18"/>
          <w:lang w:val="en-US" w:eastAsia="pt-PT"/>
        </w:rPr>
      </w:pPr>
      <w:r w:rsidRPr="004B5630">
        <w:rPr>
          <w:rStyle w:val="Refdenotaderodap"/>
          <w:sz w:val="18"/>
          <w:szCs w:val="18"/>
        </w:rPr>
        <w:footnoteRef/>
      </w:r>
      <w:r w:rsidRPr="004B5630">
        <w:rPr>
          <w:sz w:val="18"/>
          <w:szCs w:val="18"/>
          <w:lang w:val="en-US"/>
        </w:rPr>
        <w:t xml:space="preserve"> </w:t>
      </w:r>
      <w:r w:rsidRPr="004B5630">
        <w:rPr>
          <w:sz w:val="18"/>
          <w:szCs w:val="18"/>
          <w:lang w:val="en-US"/>
        </w:rPr>
        <w:tab/>
      </w:r>
      <w:r w:rsidRPr="004B5630">
        <w:rPr>
          <w:rFonts w:eastAsia="Times New Roman" w:cs="Calibri"/>
          <w:sz w:val="18"/>
          <w:szCs w:val="18"/>
          <w:lang w:val="en-US" w:eastAsia="pt-PT"/>
        </w:rPr>
        <w:t>CC ANTROP/STRUP – BTE 35/2019 (cl.64ª,4).</w:t>
      </w:r>
    </w:p>
  </w:footnote>
  <w:footnote w:id="661">
    <w:p w14:paraId="48F3357C" w14:textId="4789BA96" w:rsidR="004B7DBA" w:rsidRPr="004B5630" w:rsidRDefault="004B7DBA" w:rsidP="00140448">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 xml:space="preserve">CC ANORECA/FECTRANS – BTE 17/2019 </w:t>
      </w:r>
      <w:r w:rsidRPr="004B5630">
        <w:rPr>
          <w:rFonts w:cstheme="minorHAnsi"/>
          <w:sz w:val="18"/>
          <w:szCs w:val="18"/>
        </w:rPr>
        <w:t xml:space="preserve">(cl. 22.ª, 3)[(=) BTE 13/2018 ]; </w:t>
      </w:r>
      <w:r w:rsidRPr="004B5630">
        <w:rPr>
          <w:rFonts w:eastAsia="Times New Roman" w:cs="Calibri"/>
          <w:sz w:val="18"/>
          <w:szCs w:val="18"/>
          <w:lang w:eastAsia="pt-PT"/>
        </w:rPr>
        <w:t>AC Fidelidade /SINAPSA – BTE 5/2019 (cl.52ª,2,c) e i));</w:t>
      </w:r>
    </w:p>
  </w:footnote>
  <w:footnote w:id="662">
    <w:p w14:paraId="3557A9E5" w14:textId="59C84C20" w:rsidR="004B7DBA" w:rsidRPr="004B5630" w:rsidRDefault="004B7DBA" w:rsidP="00140448">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cs="Calibri"/>
          <w:sz w:val="18"/>
          <w:szCs w:val="18"/>
        </w:rPr>
        <w:t xml:space="preserve">AE ViaPorto/SINFB – BTE 35/2019 (cl.70.ª,6) </w:t>
      </w:r>
      <w:r w:rsidRPr="004B5630">
        <w:rPr>
          <w:sz w:val="18"/>
          <w:szCs w:val="18"/>
        </w:rPr>
        <w:t>e convenções paralelas.</w:t>
      </w:r>
    </w:p>
  </w:footnote>
  <w:footnote w:id="663">
    <w:p w14:paraId="7F1D737B" w14:textId="32970969" w:rsidR="004B7DBA" w:rsidRPr="004B5630" w:rsidRDefault="004B7DBA" w:rsidP="00140448">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AE SUCH/FESAHT - BTE 21/2019 (cl.141.º), para tanto, basta comunicar ao empregador, cumprindo o pré-aviso de 15 dias; CC ANTROP/SNM – BTE 35/2019 (cl.62.º) e paralelos.</w:t>
      </w:r>
    </w:p>
  </w:footnote>
  <w:footnote w:id="664">
    <w:p w14:paraId="27E425DA" w14:textId="23D7995F" w:rsidR="004B7DBA" w:rsidRPr="004B5630" w:rsidRDefault="004B7DBA" w:rsidP="00140448">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t xml:space="preserve">Por exemplo, </w:t>
      </w:r>
      <w:r w:rsidRPr="004B5630">
        <w:rPr>
          <w:rFonts w:eastAsia="Times New Roman" w:cs="Calibri"/>
          <w:sz w:val="18"/>
          <w:szCs w:val="18"/>
          <w:lang w:eastAsia="pt-PT"/>
        </w:rPr>
        <w:t>AE BMO PORTUGAL/SNQTB – BTE 5/2019 (cl. 66ª,2).</w:t>
      </w:r>
    </w:p>
  </w:footnote>
  <w:footnote w:id="665">
    <w:p w14:paraId="768CF2E2" w14:textId="7E69AFB5" w:rsidR="004B7DBA" w:rsidRPr="004B5630" w:rsidRDefault="004B7DBA" w:rsidP="00140448">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 xml:space="preserve">Ambos os benefícios são usuais </w:t>
      </w:r>
      <w:r w:rsidRPr="004B5630">
        <w:rPr>
          <w:rFonts w:cs="Calibri"/>
          <w:sz w:val="18"/>
          <w:szCs w:val="18"/>
        </w:rPr>
        <w:t>em convenções do setor educativo, por exemplo, AE A. ENSINO BENTO J. CARAÇA/FENPROF – BTE 12/2019 (cl.70ª,3 e 5).</w:t>
      </w:r>
    </w:p>
  </w:footnote>
  <w:footnote w:id="666">
    <w:p w14:paraId="184ECE60" w14:textId="0527D958" w:rsidR="004B7DBA" w:rsidRPr="004B5630" w:rsidRDefault="004B7DBA" w:rsidP="00140448">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 xml:space="preserve">  </w:t>
      </w:r>
      <w:r w:rsidRPr="004B5630">
        <w:rPr>
          <w:sz w:val="18"/>
          <w:szCs w:val="18"/>
        </w:rPr>
        <w:tab/>
        <w:t xml:space="preserve">Por exemplo, </w:t>
      </w:r>
      <w:r w:rsidRPr="004B5630">
        <w:rPr>
          <w:rFonts w:eastAsia="Times New Roman" w:cs="Calibri"/>
          <w:sz w:val="18"/>
          <w:szCs w:val="18"/>
          <w:lang w:eastAsia="pt-PT"/>
        </w:rPr>
        <w:t xml:space="preserve">AE BMO PORTUGAL/SNQTB – BTE 5/2019 (cl.99ª,3). Por sua vez, nos CC ACRAL/CESP – BTE 16/2019 e ACRAL/SITESE - BTE 24/2019 </w:t>
      </w:r>
      <w:r w:rsidRPr="004B5630">
        <w:rPr>
          <w:rFonts w:cs="Calibri"/>
          <w:sz w:val="18"/>
          <w:szCs w:val="18"/>
        </w:rPr>
        <w:t xml:space="preserve">(ambos </w:t>
      </w:r>
      <w:r w:rsidRPr="004B5630">
        <w:rPr>
          <w:sz w:val="18"/>
          <w:szCs w:val="18"/>
        </w:rPr>
        <w:t>cl. 7.ª, 2) presume-se sem justa causa o despedimento de trabalhador que tenha sido dirigente sindical  nos últimos 5 anos (de modo  diferente o art.410.º,3,  CT,  prevê três anos).</w:t>
      </w:r>
    </w:p>
  </w:footnote>
  <w:footnote w:id="667">
    <w:p w14:paraId="224FFF89" w14:textId="1A3B3953" w:rsidR="004B7DBA" w:rsidRPr="004B5630" w:rsidRDefault="004B7DBA" w:rsidP="00140448">
      <w:pPr>
        <w:pStyle w:val="Textodenotaderodap"/>
        <w:tabs>
          <w:tab w:val="left" w:pos="426"/>
        </w:tabs>
        <w:ind w:left="425" w:hanging="425"/>
        <w:rPr>
          <w:sz w:val="18"/>
          <w:szCs w:val="18"/>
          <w:lang w:val="en-US"/>
        </w:rPr>
      </w:pPr>
      <w:r w:rsidRPr="004B5630">
        <w:rPr>
          <w:rStyle w:val="Refdenotaderodap"/>
          <w:sz w:val="18"/>
          <w:szCs w:val="18"/>
        </w:rPr>
        <w:footnoteRef/>
      </w:r>
      <w:r w:rsidRPr="004B5630">
        <w:rPr>
          <w:sz w:val="18"/>
          <w:szCs w:val="18"/>
          <w:vertAlign w:val="superscript"/>
          <w:lang w:val="en-US"/>
        </w:rPr>
        <w:t xml:space="preserve"> </w:t>
      </w:r>
      <w:r w:rsidRPr="004B5630">
        <w:rPr>
          <w:sz w:val="18"/>
          <w:szCs w:val="18"/>
          <w:lang w:val="en-US"/>
        </w:rPr>
        <w:tab/>
      </w:r>
      <w:r w:rsidRPr="004B5630">
        <w:rPr>
          <w:rFonts w:cs="Calibri"/>
          <w:sz w:val="18"/>
          <w:szCs w:val="18"/>
          <w:lang w:val="en-US"/>
        </w:rPr>
        <w:t>AC ZURICH/SINAPSA – BTE 17/2019 (cl.30ª, 2).</w:t>
      </w:r>
    </w:p>
  </w:footnote>
  <w:footnote w:id="668">
    <w:p w14:paraId="720AE942" w14:textId="453B3FD1" w:rsidR="004B7DBA" w:rsidRPr="004B5630" w:rsidRDefault="004B7DBA" w:rsidP="00C55B95">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eastAsia="Times New Roman" w:cs="Calibri"/>
          <w:sz w:val="18"/>
          <w:szCs w:val="18"/>
          <w:lang w:eastAsia="pt-PT"/>
        </w:rPr>
        <w:t xml:space="preserve">CC ANIECA/FECTRANS – BTE 13/2019 (cl.) ; </w:t>
      </w:r>
      <w:r w:rsidRPr="004B5630">
        <w:rPr>
          <w:sz w:val="18"/>
          <w:szCs w:val="18"/>
        </w:rPr>
        <w:t>CC ANIECA/FECTRANS – BTE 10/2018 (cl. 20.ª, 1).</w:t>
      </w:r>
    </w:p>
  </w:footnote>
  <w:footnote w:id="669">
    <w:p w14:paraId="27A3758D" w14:textId="0419D993" w:rsidR="004B7DBA" w:rsidRPr="004B5630" w:rsidRDefault="004B7DBA" w:rsidP="00C55B95">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 xml:space="preserve"> </w:t>
      </w:r>
      <w:r w:rsidRPr="004B5630">
        <w:rPr>
          <w:sz w:val="18"/>
          <w:szCs w:val="18"/>
        </w:rPr>
        <w:tab/>
      </w:r>
      <w:r w:rsidRPr="004B5630">
        <w:rPr>
          <w:rFonts w:cstheme="minorBidi"/>
          <w:sz w:val="18"/>
          <w:szCs w:val="18"/>
        </w:rPr>
        <w:t xml:space="preserve">AC GENERALI/SINAPSA – BTE 13/2019 (cl.10ª,4) (vai para além do art. 411.º,CT admite a transferência de dirigente sindical por acordo ou em caso de extinção de posto de trabalho ou mudança de estabelecimento).   </w:t>
      </w:r>
    </w:p>
  </w:footnote>
  <w:footnote w:id="670">
    <w:p w14:paraId="44E15D57" w14:textId="32090F8F" w:rsidR="004B7DBA" w:rsidRPr="004B5630" w:rsidRDefault="004B7DBA" w:rsidP="00C55B95">
      <w:pPr>
        <w:pStyle w:val="Textodenotaderodap"/>
        <w:tabs>
          <w:tab w:val="left" w:pos="426"/>
        </w:tabs>
        <w:ind w:left="425" w:hanging="425"/>
        <w:rPr>
          <w:rFonts w:cstheme="minorBidi"/>
          <w:sz w:val="18"/>
          <w:szCs w:val="18"/>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cstheme="minorBidi"/>
          <w:sz w:val="18"/>
          <w:szCs w:val="18"/>
        </w:rPr>
        <w:t>AC GENERALI/SINAPSA – BTE 13/2019 (cl.10ª,4), exige-se parecer da comissão de trabalhadores ou, na sua ausência dos respetivos delegados sindicais (regra que vai para além das garantias de proteção do trabalhador, previstas no art.194.º,CT);</w:t>
      </w:r>
    </w:p>
  </w:footnote>
  <w:footnote w:id="671">
    <w:p w14:paraId="14C6B883" w14:textId="25D6F1AC" w:rsidR="004B7DBA" w:rsidRPr="004B5630" w:rsidRDefault="004B7DBA" w:rsidP="00C55B95">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Por exemplo, AC Associação de Regantes do Vale do Sorraia e outras/SETAAB – </w:t>
      </w:r>
      <w:r w:rsidRPr="004B5630">
        <w:rPr>
          <w:rFonts w:cs="Calibri"/>
          <w:sz w:val="18"/>
          <w:szCs w:val="18"/>
        </w:rPr>
        <w:t>BTE 17/2019</w:t>
      </w:r>
      <w:r w:rsidRPr="004B5630">
        <w:rPr>
          <w:sz w:val="18"/>
          <w:szCs w:val="18"/>
        </w:rPr>
        <w:t>(cl. 20.ª,7) [(=)</w:t>
      </w:r>
      <w:r w:rsidRPr="004B5630">
        <w:rPr>
          <w:rFonts w:cs="Calibri"/>
          <w:sz w:val="18"/>
          <w:szCs w:val="18"/>
        </w:rPr>
        <w:t xml:space="preserve"> </w:t>
      </w:r>
      <w:r w:rsidRPr="004B5630">
        <w:rPr>
          <w:sz w:val="18"/>
          <w:szCs w:val="18"/>
        </w:rPr>
        <w:t xml:space="preserve">BTE 28/2018];  </w:t>
      </w:r>
    </w:p>
  </w:footnote>
  <w:footnote w:id="672">
    <w:p w14:paraId="26A12E44" w14:textId="2FCA6E45" w:rsidR="004B7DBA" w:rsidRPr="004B5630" w:rsidRDefault="004B7DBA" w:rsidP="00C55B95">
      <w:pPr>
        <w:pStyle w:val="Textodenotaderodap"/>
        <w:tabs>
          <w:tab w:val="left" w:pos="426"/>
        </w:tabs>
        <w:ind w:left="425" w:hanging="425"/>
        <w:rPr>
          <w:rFonts w:cs="Calibri"/>
          <w:sz w:val="18"/>
          <w:szCs w:val="18"/>
        </w:rPr>
      </w:pPr>
      <w:r w:rsidRPr="004B5630">
        <w:rPr>
          <w:rStyle w:val="Refdenotaderodap"/>
          <w:sz w:val="18"/>
          <w:szCs w:val="18"/>
        </w:rPr>
        <w:footnoteRef/>
      </w:r>
      <w:r w:rsidRPr="004B5630">
        <w:rPr>
          <w:sz w:val="18"/>
          <w:szCs w:val="18"/>
        </w:rPr>
        <w:t xml:space="preserve"> </w:t>
      </w:r>
      <w:r w:rsidRPr="004B5630">
        <w:rPr>
          <w:sz w:val="18"/>
          <w:szCs w:val="18"/>
        </w:rPr>
        <w:tab/>
        <w:t>AC GENERALI/SINAPSA – BTE 13/2019 (cl.</w:t>
      </w:r>
      <w:r w:rsidRPr="004B5630">
        <w:rPr>
          <w:rFonts w:cstheme="minorBidi"/>
          <w:sz w:val="18"/>
          <w:szCs w:val="18"/>
        </w:rPr>
        <w:t xml:space="preserve">10ª,4) e </w:t>
      </w:r>
      <w:r w:rsidRPr="004B5630">
        <w:rPr>
          <w:rFonts w:cs="Calibri"/>
          <w:sz w:val="18"/>
          <w:szCs w:val="18"/>
        </w:rPr>
        <w:t xml:space="preserve">AE Seguradoras Unidas/SINAPSA – BTE 5/2019 </w:t>
      </w:r>
      <w:r w:rsidRPr="004B5630">
        <w:rPr>
          <w:rFonts w:cstheme="minorBidi"/>
          <w:sz w:val="18"/>
          <w:szCs w:val="18"/>
        </w:rPr>
        <w:t>(cl.10ª,7) a mobilidade  funcional definitiva, para além do  acordo do trabalhador, obriga  a  audição  dos delegados sindicais  relativamente  a trabalhadores  sindicalizados</w:t>
      </w:r>
      <w:r w:rsidRPr="004B5630">
        <w:rPr>
          <w:rFonts w:cs="Calibri"/>
          <w:sz w:val="18"/>
          <w:szCs w:val="18"/>
        </w:rPr>
        <w:t xml:space="preserve">. </w:t>
      </w:r>
    </w:p>
  </w:footnote>
  <w:footnote w:id="673">
    <w:p w14:paraId="1078B4C8" w14:textId="2F6EB10A" w:rsidR="004B7DBA" w:rsidRPr="004B5630" w:rsidRDefault="004B7DBA" w:rsidP="00C55B95">
      <w:pPr>
        <w:tabs>
          <w:tab w:val="left" w:pos="426"/>
        </w:tabs>
        <w:spacing w:after="0" w:line="240" w:lineRule="auto"/>
        <w:ind w:left="425" w:hanging="425"/>
        <w:jc w:val="both"/>
        <w:rPr>
          <w:rFonts w:eastAsia="Times New Roman"/>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eastAsia="Times New Roman" w:cs="Calibri"/>
          <w:sz w:val="18"/>
          <w:szCs w:val="18"/>
          <w:lang w:eastAsia="pt-PT"/>
        </w:rPr>
        <w:t xml:space="preserve">CC </w:t>
      </w:r>
      <w:r w:rsidRPr="004B5630">
        <w:rPr>
          <w:rFonts w:eastAsia="Times New Roman"/>
          <w:sz w:val="18"/>
          <w:szCs w:val="18"/>
          <w:lang w:eastAsia="pt-PT"/>
        </w:rPr>
        <w:t xml:space="preserve">APEC/FECTRANS– BTE 9/2019 (cl.15ª,1, o)), exige acordo do sindicato ou da comissão paritária para criação de novas categorias profissionais.   </w:t>
      </w:r>
    </w:p>
  </w:footnote>
  <w:footnote w:id="674">
    <w:p w14:paraId="01BC1A7A" w14:textId="018243A7" w:rsidR="004B7DBA" w:rsidRPr="004B5630" w:rsidRDefault="004B7DBA" w:rsidP="00C55B95">
      <w:pPr>
        <w:tabs>
          <w:tab w:val="left" w:pos="426"/>
        </w:tabs>
        <w:spacing w:after="0" w:line="240" w:lineRule="auto"/>
        <w:ind w:left="425" w:hanging="425"/>
        <w:jc w:val="both"/>
        <w:rPr>
          <w:rFonts w:eastAsia="Times New Roman" w:cs="Calibri"/>
          <w:sz w:val="18"/>
          <w:szCs w:val="18"/>
          <w:lang w:val="en-US" w:eastAsia="pt-PT"/>
        </w:rPr>
      </w:pPr>
      <w:r w:rsidRPr="004B5630">
        <w:rPr>
          <w:rStyle w:val="Refdenotaderodap"/>
          <w:sz w:val="18"/>
          <w:szCs w:val="18"/>
        </w:rPr>
        <w:footnoteRef/>
      </w:r>
      <w:r w:rsidRPr="004B5630">
        <w:rPr>
          <w:sz w:val="18"/>
          <w:szCs w:val="18"/>
          <w:lang w:val="en-US"/>
        </w:rPr>
        <w:t xml:space="preserve"> </w:t>
      </w:r>
      <w:r w:rsidRPr="004B5630">
        <w:rPr>
          <w:sz w:val="18"/>
          <w:szCs w:val="18"/>
          <w:lang w:val="en-US"/>
        </w:rPr>
        <w:tab/>
      </w:r>
      <w:r w:rsidRPr="004B5630">
        <w:rPr>
          <w:rFonts w:eastAsia="Times New Roman" w:cs="Calibri"/>
          <w:sz w:val="18"/>
          <w:szCs w:val="18"/>
          <w:lang w:val="en-US" w:eastAsia="pt-PT"/>
        </w:rPr>
        <w:t>CC ALIF/SETAAB – BTE 17/2019 (cl.65ª).</w:t>
      </w:r>
    </w:p>
  </w:footnote>
  <w:footnote w:id="675">
    <w:p w14:paraId="2850682E" w14:textId="281C1D4F" w:rsidR="004B7DBA" w:rsidRPr="004B5630" w:rsidRDefault="004B7DBA" w:rsidP="00C55B95">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rFonts w:eastAsia="Times New Roman" w:cs="Calibri"/>
          <w:sz w:val="18"/>
          <w:szCs w:val="18"/>
          <w:lang w:eastAsia="pt-PT"/>
        </w:rPr>
        <w:t xml:space="preserve"> </w:t>
      </w:r>
      <w:r w:rsidRPr="004B5630">
        <w:rPr>
          <w:rFonts w:eastAsia="Times New Roman" w:cs="Calibri"/>
          <w:sz w:val="18"/>
          <w:szCs w:val="18"/>
          <w:lang w:eastAsia="pt-PT"/>
        </w:rPr>
        <w:tab/>
        <w:t>CC ADCP/SETAAB – BTE 15/2019 (cl.64.º) e AC ARB- Vale do Sorraia/SETAAB – BTE 17/2019 (cl.82.º). Muitas das convenções outorgadas pelo SETAAB, privilegiam mecanismos de informação e consulta entre as partes.</w:t>
      </w:r>
    </w:p>
  </w:footnote>
  <w:footnote w:id="676">
    <w:p w14:paraId="2FB9667C" w14:textId="6463E70B" w:rsidR="004B7DBA" w:rsidRPr="004B5630" w:rsidRDefault="004B7DBA" w:rsidP="00C55B95">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eastAsia="Times New Roman" w:cs="Calibri"/>
          <w:sz w:val="18"/>
          <w:szCs w:val="18"/>
          <w:lang w:eastAsia="pt-PT"/>
        </w:rPr>
        <w:t xml:space="preserve">AE The Navigator Company/FETESE – BTE 45/2019 (cl.78ª - 81ª) e </w:t>
      </w:r>
      <w:r w:rsidRPr="004B5630">
        <w:rPr>
          <w:sz w:val="18"/>
          <w:szCs w:val="18"/>
        </w:rPr>
        <w:t xml:space="preserve">convenções paralelas; </w:t>
      </w:r>
      <w:r w:rsidRPr="004B5630">
        <w:rPr>
          <w:rFonts w:eastAsia="Times New Roman" w:cs="Calibri"/>
          <w:sz w:val="18"/>
          <w:szCs w:val="18"/>
          <w:lang w:eastAsia="pt-PT"/>
        </w:rPr>
        <w:t>AE LOURES PARQUE/STAL – BTE 7/2019 (cl.15ª,3).</w:t>
      </w:r>
    </w:p>
  </w:footnote>
  <w:footnote w:id="677">
    <w:p w14:paraId="769D6F3F" w14:textId="682232F2" w:rsidR="004B7DBA" w:rsidRPr="004B5630" w:rsidRDefault="004B7DBA" w:rsidP="00C55B95">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AE Risto Rail Portugal/FESAHT - BTE 26/2019 (cl.132.º).</w:t>
      </w:r>
    </w:p>
  </w:footnote>
  <w:footnote w:id="678">
    <w:p w14:paraId="10C1B9AD" w14:textId="4FF41D20" w:rsidR="004B7DBA" w:rsidRPr="004B5630" w:rsidRDefault="004B7DBA" w:rsidP="00C55B95">
      <w:pPr>
        <w:tabs>
          <w:tab w:val="left" w:pos="426"/>
        </w:tabs>
        <w:spacing w:after="0" w:line="240" w:lineRule="auto"/>
        <w:ind w:left="425" w:hanging="425"/>
        <w:jc w:val="both"/>
        <w:rPr>
          <w:rFonts w:eastAsia="Times New Roman" w:cs="Calibri"/>
          <w:sz w:val="20"/>
          <w:szCs w:val="20"/>
          <w:lang w:eastAsia="pt-PT"/>
        </w:rPr>
      </w:pPr>
      <w:r w:rsidRPr="004B5630">
        <w:rPr>
          <w:rStyle w:val="Refdenotaderodap"/>
          <w:sz w:val="18"/>
          <w:szCs w:val="18"/>
        </w:rPr>
        <w:footnoteRef/>
      </w:r>
      <w:r w:rsidRPr="004B5630">
        <w:rPr>
          <w:sz w:val="18"/>
          <w:szCs w:val="18"/>
        </w:rPr>
        <w:t xml:space="preserve"> </w:t>
      </w:r>
      <w:r w:rsidRPr="004B5630">
        <w:rPr>
          <w:sz w:val="18"/>
          <w:szCs w:val="18"/>
        </w:rPr>
        <w:tab/>
        <w:t>CC ANCIPA (batata frita)/SETAAB – BTE 18/2019 (cl.78,ª)  CC ANCIPA (hortofruticolas)/ SETAAB – BTE 18/2019 (cl.77.ª).</w:t>
      </w:r>
    </w:p>
  </w:footnote>
  <w:footnote w:id="679">
    <w:p w14:paraId="72FCEA00" w14:textId="659704A5" w:rsidR="004B7DBA" w:rsidRPr="004B5630" w:rsidRDefault="004B7DBA" w:rsidP="00B11365">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Assim, </w:t>
      </w:r>
      <w:r w:rsidRPr="004B5630">
        <w:rPr>
          <w:rFonts w:eastAsia="Times New Roman" w:cs="Calibri"/>
          <w:sz w:val="18"/>
          <w:szCs w:val="18"/>
          <w:lang w:eastAsia="pt-PT"/>
        </w:rPr>
        <w:t xml:space="preserve">AE Seguradoras Unidas/SINAPSA – BTE 5/2019 (cl.32ª), bem como a maioria das convenções do setor segurador.   </w:t>
      </w:r>
    </w:p>
  </w:footnote>
  <w:footnote w:id="680">
    <w:p w14:paraId="6BA9FF21" w14:textId="3EFAD9DD" w:rsidR="004B7DBA" w:rsidRPr="004B5630" w:rsidRDefault="004B7DBA" w:rsidP="00B11365">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AC LUSITÂNIA/SINAPSA - BTE 21/2019 (</w:t>
      </w:r>
      <w:r w:rsidRPr="004B5630">
        <w:rPr>
          <w:sz w:val="18"/>
          <w:szCs w:val="18"/>
        </w:rPr>
        <w:t>cl. 34.ª).</w:t>
      </w:r>
    </w:p>
  </w:footnote>
  <w:footnote w:id="681">
    <w:p w14:paraId="73AD7C03" w14:textId="3BD075FA" w:rsidR="004B7DBA" w:rsidRPr="004B5630" w:rsidRDefault="004B7DBA" w:rsidP="00B11365">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eastAsia="Times New Roman" w:cs="Calibri"/>
          <w:sz w:val="18"/>
          <w:szCs w:val="18"/>
          <w:lang w:eastAsia="pt-PT"/>
        </w:rPr>
        <w:t>AE OPERESTIVA/STPSET - BTE 26/2019 (cl.96ª).</w:t>
      </w:r>
    </w:p>
  </w:footnote>
  <w:footnote w:id="682">
    <w:p w14:paraId="617B7600" w14:textId="2E3F8BA3" w:rsidR="004B7DBA" w:rsidRPr="004B5630" w:rsidRDefault="004B7DBA" w:rsidP="00B11365">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cfr, quanto aos referenciais da análise, cfr. os pontos 4.4.7, 4.4.8 e 4.4.11 e dos Relatórios de 2016, 2017 e 2018, respetivamente.</w:t>
      </w:r>
    </w:p>
  </w:footnote>
  <w:footnote w:id="683">
    <w:p w14:paraId="586AC207" w14:textId="62D80E38" w:rsidR="004B7DBA" w:rsidRPr="004B5630" w:rsidRDefault="004B7DBA" w:rsidP="00B11365">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cfr. Relatórios de 2017 e de 2018, respetivamente ponto 4.4.7 e 4.4.11.</w:t>
      </w:r>
    </w:p>
  </w:footnote>
  <w:footnote w:id="684">
    <w:p w14:paraId="12A27331" w14:textId="77777777" w:rsidR="004B7DBA" w:rsidRPr="004B5630" w:rsidRDefault="004B7DBA" w:rsidP="00B11365">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A especificidade do setor financeiro é desenvolvida no Relatório de 2017, ponto 4.4.7 (pág. 193).  </w:t>
      </w:r>
    </w:p>
  </w:footnote>
  <w:footnote w:id="685">
    <w:p w14:paraId="7D29E0CF" w14:textId="0F92C86C" w:rsidR="004B7DBA" w:rsidRPr="004B5630" w:rsidRDefault="004B7DBA" w:rsidP="00E15DC8">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cs="Calibri"/>
          <w:sz w:val="18"/>
          <w:szCs w:val="18"/>
        </w:rPr>
        <w:t xml:space="preserve">AC ARAG SE/STAS – BTE 7/2019 (cl.43ª); </w:t>
      </w:r>
      <w:r w:rsidRPr="004B5630">
        <w:rPr>
          <w:rFonts w:eastAsia="Times New Roman" w:cs="Calibri"/>
          <w:sz w:val="18"/>
          <w:szCs w:val="18"/>
          <w:lang w:eastAsia="pt-PT"/>
        </w:rPr>
        <w:t>AE A. ENSINO BENTO J. CARAÇA/FENPROF – BTE 12/2019 (cl.63ª).</w:t>
      </w:r>
    </w:p>
  </w:footnote>
  <w:footnote w:id="686">
    <w:p w14:paraId="4AA26660" w14:textId="4D79E083" w:rsidR="004B7DBA" w:rsidRPr="004B5630" w:rsidRDefault="004B7DBA" w:rsidP="00E15DC8">
      <w:pPr>
        <w:tabs>
          <w:tab w:val="left" w:pos="426"/>
        </w:tabs>
        <w:spacing w:after="0" w:line="240" w:lineRule="auto"/>
        <w:ind w:left="425" w:hanging="425"/>
        <w:jc w:val="both"/>
        <w:rPr>
          <w:rFonts w:eastAsia="Times New Roman" w:cs="Calibri"/>
          <w:sz w:val="18"/>
          <w:szCs w:val="18"/>
          <w:lang w:val="en-US" w:eastAsia="pt-PT"/>
        </w:rPr>
      </w:pPr>
      <w:r w:rsidRPr="004B5630">
        <w:rPr>
          <w:rStyle w:val="Refdenotaderodap"/>
          <w:sz w:val="18"/>
          <w:szCs w:val="18"/>
        </w:rPr>
        <w:footnoteRef/>
      </w:r>
      <w:r w:rsidRPr="004B5630">
        <w:rPr>
          <w:sz w:val="18"/>
          <w:szCs w:val="18"/>
          <w:vertAlign w:val="superscript"/>
          <w:lang w:val="en-US"/>
        </w:rPr>
        <w:t xml:space="preserve"> </w:t>
      </w:r>
      <w:r w:rsidRPr="004B5630">
        <w:rPr>
          <w:sz w:val="18"/>
          <w:szCs w:val="18"/>
          <w:lang w:val="en-US"/>
        </w:rPr>
        <w:t xml:space="preserve"> </w:t>
      </w:r>
      <w:r w:rsidRPr="004B5630">
        <w:rPr>
          <w:sz w:val="18"/>
          <w:szCs w:val="18"/>
          <w:lang w:val="en-US"/>
        </w:rPr>
        <w:tab/>
      </w:r>
      <w:r w:rsidRPr="004B5630">
        <w:rPr>
          <w:rFonts w:eastAsia="Times New Roman" w:cs="Calibri"/>
          <w:sz w:val="18"/>
          <w:szCs w:val="18"/>
          <w:lang w:val="en-US" w:eastAsia="pt-PT"/>
        </w:rPr>
        <w:t>AC  ZURICH/SINAPSA – BTE 17/2019 (cl.42ª).</w:t>
      </w:r>
    </w:p>
  </w:footnote>
  <w:footnote w:id="687">
    <w:p w14:paraId="533E5068" w14:textId="5F842EDB" w:rsidR="004B7DBA" w:rsidRPr="004B5630" w:rsidRDefault="004B7DBA" w:rsidP="00E15DC8">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AE UCS/SIMA – BTE 14/2019 (cl. 69ª, 2).</w:t>
      </w:r>
    </w:p>
  </w:footnote>
  <w:footnote w:id="688">
    <w:p w14:paraId="189F9654" w14:textId="33915309" w:rsidR="004B7DBA" w:rsidRPr="004B5630" w:rsidRDefault="004B7DBA" w:rsidP="00E15DC8">
      <w:pPr>
        <w:tabs>
          <w:tab w:val="left" w:pos="426"/>
        </w:tabs>
        <w:spacing w:after="0" w:line="240" w:lineRule="auto"/>
        <w:ind w:left="425" w:hanging="425"/>
        <w:jc w:val="both"/>
        <w:rPr>
          <w:rFonts w:eastAsia="Times New Roman" w:cs="Calibri"/>
          <w:color w:val="0070C0"/>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AE SCOTTURB/SITRA -– BTE 35/2019 (cl.70ª, 2); AE CARRISTUR/SITRA – BTE 47/2019 (cl.67ª).</w:t>
      </w:r>
    </w:p>
  </w:footnote>
  <w:footnote w:id="689">
    <w:p w14:paraId="3D56C140" w14:textId="4EF91F81" w:rsidR="004B7DBA" w:rsidRPr="004B5630" w:rsidRDefault="004B7DBA" w:rsidP="00E15DC8">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CC ANORECA/FECTRANS – BTE 17/2019 e </w:t>
      </w:r>
      <w:r w:rsidRPr="004B5630">
        <w:rPr>
          <w:rFonts w:eastAsia="Times New Roman" w:cs="Calibri"/>
          <w:sz w:val="18"/>
          <w:szCs w:val="18"/>
          <w:lang w:eastAsia="pt-PT"/>
        </w:rPr>
        <w:t>CC ANIECA/FECTRANS – BTE 13/2019 (cl.)</w:t>
      </w:r>
      <w:r w:rsidRPr="004B5630">
        <w:rPr>
          <w:sz w:val="18"/>
          <w:szCs w:val="18"/>
        </w:rPr>
        <w:t xml:space="preserve"> ambos (cl. 60.ª, 2). </w:t>
      </w:r>
    </w:p>
  </w:footnote>
  <w:footnote w:id="690">
    <w:p w14:paraId="44407896" w14:textId="6FF83A44" w:rsidR="004B7DBA" w:rsidRPr="004B5630" w:rsidRDefault="004B7DBA" w:rsidP="00E15DC8">
      <w:pPr>
        <w:tabs>
          <w:tab w:val="left" w:pos="426"/>
        </w:tabs>
        <w:spacing w:after="0" w:line="240" w:lineRule="auto"/>
        <w:ind w:left="425" w:hanging="425"/>
        <w:jc w:val="both"/>
        <w:rPr>
          <w:rFonts w:eastAsia="Times New Roman" w:cs="Calibri"/>
          <w:sz w:val="18"/>
          <w:szCs w:val="18"/>
          <w:lang w:val="en-US" w:eastAsia="pt-PT"/>
        </w:rPr>
      </w:pPr>
      <w:r w:rsidRPr="004B5630">
        <w:rPr>
          <w:rStyle w:val="Refdenotaderodap"/>
          <w:sz w:val="18"/>
          <w:szCs w:val="18"/>
        </w:rPr>
        <w:footnoteRef/>
      </w:r>
      <w:r w:rsidRPr="004B5630">
        <w:rPr>
          <w:sz w:val="18"/>
          <w:szCs w:val="18"/>
          <w:lang w:val="en-US"/>
        </w:rPr>
        <w:t xml:space="preserve"> </w:t>
      </w:r>
      <w:r w:rsidRPr="004B5630">
        <w:rPr>
          <w:sz w:val="18"/>
          <w:szCs w:val="18"/>
          <w:lang w:val="en-US"/>
        </w:rPr>
        <w:tab/>
      </w:r>
      <w:r w:rsidRPr="004B5630">
        <w:rPr>
          <w:rFonts w:eastAsia="Times New Roman" w:cs="Calibri"/>
          <w:sz w:val="18"/>
          <w:szCs w:val="18"/>
          <w:lang w:val="en-US" w:eastAsia="pt-PT"/>
        </w:rPr>
        <w:t>CC AESIRF/ASSP - BTE 26/2019 (cl.53ª).</w:t>
      </w:r>
    </w:p>
  </w:footnote>
  <w:footnote w:id="691">
    <w:p w14:paraId="785EDF24" w14:textId="5FA93BC4" w:rsidR="004B7DBA" w:rsidRPr="004B5630" w:rsidRDefault="004B7DBA" w:rsidP="00E15DC8">
      <w:pPr>
        <w:pStyle w:val="Textodenotaderodap"/>
        <w:tabs>
          <w:tab w:val="left" w:pos="426"/>
        </w:tabs>
        <w:ind w:left="425" w:hanging="425"/>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cs="Calibri"/>
          <w:sz w:val="18"/>
          <w:szCs w:val="18"/>
        </w:rPr>
        <w:t>CC ANTRAM/FECTRANS – BTE 45/2019 (cl.</w:t>
      </w:r>
      <w:r w:rsidRPr="004B5630">
        <w:rPr>
          <w:sz w:val="18"/>
          <w:szCs w:val="18"/>
        </w:rPr>
        <w:t>.81ª).</w:t>
      </w:r>
    </w:p>
  </w:footnote>
  <w:footnote w:id="692">
    <w:p w14:paraId="6AA3614F" w14:textId="3C3E7FED" w:rsidR="004B7DBA" w:rsidRPr="004B5630" w:rsidRDefault="004B7DBA" w:rsidP="00BF2977">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CC ANTRAM/FECTRANS – BTE 45/2019 (cl. 81.ª, 1).</w:t>
      </w:r>
    </w:p>
  </w:footnote>
  <w:footnote w:id="693">
    <w:p w14:paraId="18D91002" w14:textId="780DF913" w:rsidR="004B7DBA" w:rsidRPr="004B5630" w:rsidRDefault="004B7DBA" w:rsidP="00BF2977">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rFonts w:eastAsia="Times New Roman" w:cs="Calibri"/>
          <w:sz w:val="18"/>
          <w:szCs w:val="18"/>
          <w:vertAlign w:val="superscript"/>
          <w:lang w:eastAsia="pt-PT"/>
        </w:rPr>
        <w:t xml:space="preserve"> </w:t>
      </w:r>
      <w:r w:rsidRPr="004B5630">
        <w:rPr>
          <w:rFonts w:eastAsia="Times New Roman" w:cs="Calibri"/>
          <w:sz w:val="18"/>
          <w:szCs w:val="18"/>
          <w:lang w:eastAsia="pt-PT"/>
        </w:rPr>
        <w:tab/>
        <w:t>CC APEC/FECTRANS– BTE 9/2019 (cl. 56ª-A, 1)</w:t>
      </w:r>
    </w:p>
  </w:footnote>
  <w:footnote w:id="694">
    <w:p w14:paraId="5A47DD50" w14:textId="01E11B8C" w:rsidR="004B7DBA" w:rsidRPr="004B5630" w:rsidRDefault="004B7DBA" w:rsidP="00BF2977">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eastAsia="Times New Roman" w:cs="Calibri"/>
          <w:sz w:val="18"/>
          <w:szCs w:val="18"/>
          <w:lang w:eastAsia="pt-PT"/>
        </w:rPr>
        <w:t>CC ANCIPA/SETAAB – BTE 18/2019 (cl. 67ª).</w:t>
      </w:r>
    </w:p>
  </w:footnote>
  <w:footnote w:id="695">
    <w:p w14:paraId="120235EF" w14:textId="6594C471" w:rsidR="004B7DBA" w:rsidRPr="004B5630" w:rsidRDefault="004B7DBA" w:rsidP="00BF2977">
      <w:pPr>
        <w:tabs>
          <w:tab w:val="left" w:pos="426"/>
        </w:tabs>
        <w:spacing w:after="0" w:line="240" w:lineRule="auto"/>
        <w:ind w:left="425" w:hanging="425"/>
        <w:jc w:val="both"/>
        <w:rPr>
          <w:rFonts w:eastAsia="Times New Roman" w:cs="Calibri"/>
          <w:sz w:val="18"/>
          <w:szCs w:val="18"/>
          <w:lang w:val="en-US" w:eastAsia="pt-PT"/>
        </w:rPr>
      </w:pPr>
      <w:r w:rsidRPr="004B5630">
        <w:rPr>
          <w:rStyle w:val="Refdenotaderodap"/>
          <w:sz w:val="18"/>
          <w:szCs w:val="18"/>
        </w:rPr>
        <w:footnoteRef/>
      </w:r>
      <w:r w:rsidRPr="004B5630">
        <w:rPr>
          <w:sz w:val="18"/>
          <w:szCs w:val="18"/>
          <w:vertAlign w:val="superscript"/>
          <w:lang w:val="en-US"/>
        </w:rPr>
        <w:t xml:space="preserve"> </w:t>
      </w:r>
      <w:r w:rsidRPr="004B5630">
        <w:rPr>
          <w:sz w:val="18"/>
          <w:szCs w:val="18"/>
          <w:vertAlign w:val="superscript"/>
          <w:lang w:val="en-US"/>
        </w:rPr>
        <w:tab/>
      </w:r>
      <w:r w:rsidRPr="004B5630">
        <w:rPr>
          <w:rFonts w:eastAsia="Times New Roman" w:cs="Calibri"/>
          <w:sz w:val="18"/>
          <w:szCs w:val="18"/>
          <w:lang w:val="en-US" w:eastAsia="pt-PT"/>
        </w:rPr>
        <w:t>AE UPS OF PORTUGAL/SNTCT - BTE 19/2019 (cl. 14ª).</w:t>
      </w:r>
    </w:p>
  </w:footnote>
  <w:footnote w:id="696">
    <w:p w14:paraId="79DBCC91" w14:textId="12D698F4" w:rsidR="004B7DBA" w:rsidRPr="004B5630" w:rsidRDefault="004B7DBA" w:rsidP="00BF2977">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AC  BRISA/SETACCOP – BTE 36/2019 (cl. 72ª,4).</w:t>
      </w:r>
    </w:p>
  </w:footnote>
  <w:footnote w:id="697">
    <w:p w14:paraId="0043C01B" w14:textId="1D3DFDAA" w:rsidR="004B7DBA" w:rsidRPr="004B5630" w:rsidRDefault="004B7DBA" w:rsidP="00BF2977">
      <w:pPr>
        <w:pStyle w:val="Textodenotaderodap"/>
        <w:tabs>
          <w:tab w:val="left" w:pos="426"/>
        </w:tabs>
        <w:ind w:left="425" w:hanging="425"/>
        <w:rPr>
          <w:rFonts w:cs="Calibri"/>
          <w:sz w:val="18"/>
          <w:szCs w:val="18"/>
        </w:rPr>
      </w:pPr>
      <w:r w:rsidRPr="004B5630">
        <w:rPr>
          <w:rStyle w:val="Refdenotaderodap"/>
          <w:sz w:val="18"/>
          <w:szCs w:val="18"/>
        </w:rPr>
        <w:footnoteRef/>
      </w:r>
      <w:r w:rsidRPr="004B5630">
        <w:rPr>
          <w:sz w:val="18"/>
          <w:szCs w:val="18"/>
        </w:rPr>
        <w:t xml:space="preserve"> </w:t>
      </w:r>
      <w:r w:rsidRPr="004B5630">
        <w:rPr>
          <w:sz w:val="18"/>
          <w:szCs w:val="18"/>
        </w:rPr>
        <w:tab/>
        <w:t xml:space="preserve">Nos </w:t>
      </w:r>
      <w:r w:rsidRPr="004B5630">
        <w:rPr>
          <w:rFonts w:cs="Calibri"/>
          <w:sz w:val="18"/>
          <w:szCs w:val="18"/>
        </w:rPr>
        <w:t xml:space="preserve">CC ANTROP/STRUP – BTE 35/2019(cl.66ª) [(=) BTE 48/2015] e paralelos; e ANTRAM/FECTRANS – BTE 45/2019 (cl.81º) [(=) BTE 34/2018] – prevê-se que o empregador pague a diferença entre a retribuição liquida e o  subsidio atribuído pela Segurança Social até 30 dias por ano, desde que ocorra internamento hospitalar ou convalesça, após hospitalização.    </w:t>
      </w:r>
    </w:p>
  </w:footnote>
  <w:footnote w:id="698">
    <w:p w14:paraId="422D6ECD" w14:textId="1D80154F" w:rsidR="004B7DBA" w:rsidRPr="004B5630" w:rsidRDefault="004B7DBA" w:rsidP="00BF2977">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CC APEC/FECTRANS – BTE 9/2019 (cl. 56.º-A,1) [(=)BTE 12/2018] e </w:t>
      </w:r>
      <w:r w:rsidRPr="004B5630">
        <w:rPr>
          <w:rFonts w:cs="Calibri"/>
          <w:sz w:val="18"/>
          <w:szCs w:val="18"/>
        </w:rPr>
        <w:t>AE SCOTTURB/SITRA -– BTE 35/2019 (cl.70ª, 2); CC ANTROP/STRUP – BTE 35/2019 (cl.66ª).</w:t>
      </w:r>
    </w:p>
  </w:footnote>
  <w:footnote w:id="699">
    <w:p w14:paraId="640081A5" w14:textId="1FBB32A2" w:rsidR="004B7DBA" w:rsidRPr="004B5630" w:rsidRDefault="004B7DBA" w:rsidP="00BF2977">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AE ADP – Fertilizantes/FIEQUIMETAL – BTE 30/2019 (cl.93ª.)</w:t>
      </w:r>
    </w:p>
  </w:footnote>
  <w:footnote w:id="700">
    <w:p w14:paraId="027A70A2" w14:textId="4B33D7A5" w:rsidR="004B7DBA" w:rsidRPr="004B5630" w:rsidRDefault="004B7DBA" w:rsidP="00BF2977">
      <w:pPr>
        <w:tabs>
          <w:tab w:val="left" w:pos="426"/>
        </w:tabs>
        <w:spacing w:after="0" w:line="240" w:lineRule="auto"/>
        <w:ind w:left="425" w:hanging="425"/>
        <w:jc w:val="both"/>
        <w:rPr>
          <w:rFonts w:eastAsia="Times New Roman"/>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r>
      <w:r w:rsidRPr="004B5630">
        <w:rPr>
          <w:rFonts w:eastAsia="Times New Roman"/>
          <w:sz w:val="18"/>
          <w:szCs w:val="18"/>
          <w:lang w:eastAsia="pt-PT"/>
        </w:rPr>
        <w:t>AE Europ Assistance – Seguros/SINAPSA - BTE 29/2019 (cl.39ª,1) [(=) AE Ponto Seguro/SINAPSA – BTE 19/2018(cl. 44.ª)].</w:t>
      </w:r>
    </w:p>
  </w:footnote>
  <w:footnote w:id="701">
    <w:p w14:paraId="2E3FBA97" w14:textId="57F51E07" w:rsidR="004B7DBA" w:rsidRPr="004B5630" w:rsidRDefault="004B7DBA" w:rsidP="00BF2977">
      <w:pPr>
        <w:pStyle w:val="Textodenotaderodap"/>
        <w:tabs>
          <w:tab w:val="left" w:pos="426"/>
        </w:tabs>
        <w:ind w:left="425" w:hanging="425"/>
        <w:rPr>
          <w:strike/>
          <w:sz w:val="18"/>
          <w:szCs w:val="18"/>
        </w:rPr>
      </w:pPr>
      <w:r w:rsidRPr="004B5630">
        <w:rPr>
          <w:rStyle w:val="Refdenotaderodap"/>
          <w:sz w:val="18"/>
          <w:szCs w:val="18"/>
        </w:rPr>
        <w:footnoteRef/>
      </w:r>
      <w:r w:rsidRPr="004B5630">
        <w:rPr>
          <w:sz w:val="18"/>
          <w:szCs w:val="18"/>
        </w:rPr>
        <w:t xml:space="preserve"> </w:t>
      </w:r>
      <w:r w:rsidRPr="004B5630">
        <w:rPr>
          <w:sz w:val="18"/>
          <w:szCs w:val="18"/>
        </w:rPr>
        <w:tab/>
        <w:t>CC ANTRAM/FECTRANS – BTE 45/2019 (cl. 81.ª, 2) [altera BTE 34/2018 (cl. 73.ª, 2)].</w:t>
      </w:r>
    </w:p>
  </w:footnote>
  <w:footnote w:id="702">
    <w:p w14:paraId="5DE5EE20" w14:textId="2E52B462" w:rsidR="004B7DBA" w:rsidRPr="004B5630" w:rsidRDefault="004B7DBA" w:rsidP="00BF2977">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Cfr. art. 61º, Lei 4/2007, 16-1; Lei de Bases da Segurança Social (</w:t>
      </w:r>
      <w:r w:rsidRPr="004B5630">
        <w:rPr>
          <w:rFonts w:cs="Arial"/>
          <w:sz w:val="18"/>
          <w:szCs w:val="18"/>
        </w:rPr>
        <w:t xml:space="preserve">LBSS), </w:t>
      </w:r>
      <w:r w:rsidRPr="004B5630">
        <w:rPr>
          <w:sz w:val="18"/>
          <w:szCs w:val="18"/>
        </w:rPr>
        <w:t xml:space="preserve">ver </w:t>
      </w:r>
      <w:r w:rsidRPr="004B5630">
        <w:rPr>
          <w:i/>
          <w:sz w:val="18"/>
          <w:szCs w:val="18"/>
        </w:rPr>
        <w:t xml:space="preserve">supra </w:t>
      </w:r>
      <w:r w:rsidRPr="004B5630">
        <w:rPr>
          <w:sz w:val="18"/>
          <w:szCs w:val="18"/>
        </w:rPr>
        <w:t>ponto 4.4.7</w:t>
      </w:r>
    </w:p>
  </w:footnote>
  <w:footnote w:id="703">
    <w:p w14:paraId="58ED261A" w14:textId="454ABD53" w:rsidR="004B7DBA" w:rsidRPr="004B5630" w:rsidRDefault="004B7DBA" w:rsidP="00BF2977">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 xml:space="preserve">  </w:t>
      </w:r>
      <w:r w:rsidRPr="004B5630">
        <w:rPr>
          <w:sz w:val="18"/>
          <w:szCs w:val="18"/>
        </w:rPr>
        <w:tab/>
      </w:r>
      <w:r w:rsidRPr="004B5630">
        <w:rPr>
          <w:rFonts w:eastAsia="Times New Roman" w:cs="Calibri"/>
          <w:sz w:val="18"/>
          <w:szCs w:val="18"/>
          <w:lang w:eastAsia="pt-PT"/>
        </w:rPr>
        <w:t>AE CAIMA/SITESE - BTE 24/2019 (cl.43ª,2); AC Indorama Portugal/COFESINT – BTE 31/2019 (cl.91; 3).</w:t>
      </w:r>
    </w:p>
  </w:footnote>
  <w:footnote w:id="704">
    <w:p w14:paraId="1CDBA38A" w14:textId="7B71D522" w:rsidR="004B7DBA" w:rsidRPr="004B5630" w:rsidRDefault="004B7DBA" w:rsidP="00BF2977">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 xml:space="preserve"> </w:t>
      </w:r>
      <w:r w:rsidRPr="004B5630">
        <w:rPr>
          <w:sz w:val="18"/>
          <w:szCs w:val="18"/>
        </w:rPr>
        <w:tab/>
      </w:r>
      <w:r w:rsidRPr="004B5630">
        <w:rPr>
          <w:rFonts w:eastAsia="Times New Roman" w:cs="Calibri"/>
          <w:sz w:val="18"/>
          <w:szCs w:val="18"/>
          <w:lang w:eastAsia="pt-PT"/>
        </w:rPr>
        <w:t>AE A. ENSINO BENTO J. CARAÇA/FENPROF – BTE 12/2019 (cl.63ª).</w:t>
      </w:r>
    </w:p>
  </w:footnote>
  <w:footnote w:id="705">
    <w:p w14:paraId="311DB4C8" w14:textId="6CD9F345" w:rsidR="004B7DBA" w:rsidRPr="004B5630" w:rsidRDefault="004B7DBA" w:rsidP="00BF2977">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AC Várias Instituições de Crédito/FEBASE – BTE 10/2019 (cl.110ª).</w:t>
      </w:r>
    </w:p>
  </w:footnote>
  <w:footnote w:id="706">
    <w:p w14:paraId="5BAD39B7" w14:textId="1024BDA3" w:rsidR="004B7DBA" w:rsidRPr="004B5630" w:rsidRDefault="004B7DBA" w:rsidP="00BF2977">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cs="Calibri"/>
          <w:sz w:val="18"/>
          <w:szCs w:val="18"/>
        </w:rPr>
        <w:t>AE INATEL/FESAHT – BTE 6/2019 (cl. 83ª) e convenções paralelas.</w:t>
      </w:r>
    </w:p>
  </w:footnote>
  <w:footnote w:id="707">
    <w:p w14:paraId="1F8C1240" w14:textId="729B400D" w:rsidR="004B7DBA" w:rsidRPr="004B5630" w:rsidRDefault="004B7DBA" w:rsidP="00BF2977">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AC BP – Portugal/COFESINT e outra – BTE 37/2019 (cl.100ª.) e convenções paralelas</w:t>
      </w:r>
      <w:r w:rsidRPr="004B5630">
        <w:rPr>
          <w:sz w:val="18"/>
          <w:szCs w:val="18"/>
        </w:rPr>
        <w:t xml:space="preserve">.                        </w:t>
      </w:r>
    </w:p>
  </w:footnote>
  <w:footnote w:id="708">
    <w:p w14:paraId="5BA4E2E3" w14:textId="47E0E622" w:rsidR="004B7DBA" w:rsidRPr="004B5630" w:rsidRDefault="004B7DBA" w:rsidP="00BF2977">
      <w:pPr>
        <w:tabs>
          <w:tab w:val="left" w:pos="426"/>
        </w:tabs>
        <w:spacing w:after="0" w:line="240" w:lineRule="auto"/>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vertAlign w:val="superscript"/>
        </w:rPr>
        <w:tab/>
      </w:r>
      <w:r w:rsidRPr="004B5630">
        <w:rPr>
          <w:sz w:val="18"/>
          <w:szCs w:val="18"/>
        </w:rPr>
        <w:t xml:space="preserve">Por exemplo,  </w:t>
      </w:r>
      <w:r w:rsidRPr="004B5630">
        <w:rPr>
          <w:rFonts w:eastAsia="Times New Roman" w:cs="Calibri"/>
          <w:sz w:val="18"/>
          <w:szCs w:val="18"/>
          <w:lang w:eastAsia="pt-PT"/>
        </w:rPr>
        <w:t>AC GENERALI/SINAPSA – BTE 13/2019 (cl.50ª) e AE Easyjet Airline Company/SNPVAC - BTE 28/2019 (cl.56ª).</w:t>
      </w:r>
    </w:p>
  </w:footnote>
  <w:footnote w:id="709">
    <w:p w14:paraId="5FA0FCCC" w14:textId="645069C9" w:rsidR="004B7DBA" w:rsidRPr="004B5630" w:rsidRDefault="004B7DBA" w:rsidP="00BF2977">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cs="Calibri"/>
          <w:sz w:val="18"/>
          <w:szCs w:val="18"/>
        </w:rPr>
        <w:t>Nos AE PETROGAL/FIEQUIMETAL – BTE 35/2019 (cl.73.º) e convenções paralelas.</w:t>
      </w:r>
    </w:p>
  </w:footnote>
  <w:footnote w:id="710">
    <w:p w14:paraId="3E0F1240" w14:textId="607410CD" w:rsidR="004B7DBA" w:rsidRPr="004B5630" w:rsidRDefault="004B7DBA" w:rsidP="008F57AA">
      <w:pPr>
        <w:tabs>
          <w:tab w:val="left" w:pos="426"/>
        </w:tabs>
        <w:spacing w:after="0" w:line="240" w:lineRule="auto"/>
        <w:ind w:left="426" w:right="-1" w:hanging="426"/>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AE Saint-Gobain Sekurit/FEVICCOM - BTE 27/2019 (cl. 83ª,1); AE ADP – Fertilizantes/COFESINT – BTE 30/2019 (cl.93ª, 3) e convenções paralelas.</w:t>
      </w:r>
    </w:p>
  </w:footnote>
  <w:footnote w:id="711">
    <w:p w14:paraId="633BE98E" w14:textId="3548288E" w:rsidR="004B7DBA" w:rsidRPr="004B5630" w:rsidRDefault="004B7DBA" w:rsidP="008F57AA">
      <w:pPr>
        <w:tabs>
          <w:tab w:val="left" w:pos="426"/>
        </w:tabs>
        <w:spacing w:after="0" w:line="240" w:lineRule="auto"/>
        <w:ind w:left="426" w:right="-1" w:hanging="426"/>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AC APA/SNTAP – BTE 33/2019 (cl. 26ª).</w:t>
      </w:r>
    </w:p>
  </w:footnote>
  <w:footnote w:id="712">
    <w:p w14:paraId="0C7BD14B" w14:textId="34A2875F" w:rsidR="004B7DBA" w:rsidRPr="004B5630" w:rsidRDefault="004B7DBA" w:rsidP="008F57AA">
      <w:pPr>
        <w:tabs>
          <w:tab w:val="left" w:pos="426"/>
        </w:tabs>
        <w:spacing w:after="0" w:line="240" w:lineRule="auto"/>
        <w:ind w:left="426" w:right="-1" w:hanging="426"/>
        <w:jc w:val="both"/>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AE Easyjet Airline Company/SNPVAC - BTE 28/2019 (cl.56ª,1), prevê a consulta ao sindicato (SNPVAC) [(=) BTE  6/2016 (n.42ª)]; os AE PETROGAL/SITESE – BTE 35/2019 (cl.)</w:t>
      </w:r>
      <w:r w:rsidRPr="004B5630">
        <w:rPr>
          <w:sz w:val="18"/>
          <w:szCs w:val="18"/>
        </w:rPr>
        <w:t xml:space="preserve"> </w:t>
      </w:r>
      <w:r w:rsidRPr="004B5630">
        <w:rPr>
          <w:rFonts w:eastAsia="Times New Roman" w:cs="Calibri"/>
          <w:sz w:val="18"/>
          <w:szCs w:val="18"/>
          <w:lang w:eastAsia="pt-PT"/>
        </w:rPr>
        <w:t xml:space="preserve">(cl.73.º) e convenções paralelas,  determinam que os delegados sindicais, ou  comissão sindical ou intersindical, sejam auscultados sobre quaisquer alterações aos benefícios concedidos.  </w:t>
      </w:r>
    </w:p>
  </w:footnote>
  <w:footnote w:id="713">
    <w:p w14:paraId="0518E285" w14:textId="7218AA63" w:rsidR="004B7DBA" w:rsidRPr="004B5630" w:rsidRDefault="004B7DBA" w:rsidP="008F57AA">
      <w:pPr>
        <w:pStyle w:val="Textodenotaderodap"/>
        <w:tabs>
          <w:tab w:val="left" w:pos="426"/>
        </w:tabs>
        <w:ind w:left="426" w:right="-1" w:hanging="426"/>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cs="Calibri"/>
          <w:sz w:val="18"/>
          <w:szCs w:val="18"/>
        </w:rPr>
        <w:t>AE Europa&amp;C/FIEQUIMETAL – BTE 8/2019 (cl.80ª).</w:t>
      </w:r>
    </w:p>
  </w:footnote>
  <w:footnote w:id="714">
    <w:p w14:paraId="26B6CB9B" w14:textId="3E063604" w:rsidR="004B7DBA" w:rsidRPr="004B5630" w:rsidRDefault="004B7DBA" w:rsidP="008F57AA">
      <w:pPr>
        <w:pStyle w:val="Textodenotaderodap"/>
        <w:tabs>
          <w:tab w:val="left" w:pos="426"/>
        </w:tabs>
        <w:ind w:left="426" w:right="-1" w:hanging="426"/>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cs="Calibri"/>
          <w:sz w:val="18"/>
          <w:szCs w:val="18"/>
        </w:rPr>
        <w:t>AE PETROGAL/FIEQUIMETAL – BTE 35/2019 (cl.74ª) e convenções paralelas.</w:t>
      </w:r>
    </w:p>
  </w:footnote>
  <w:footnote w:id="715">
    <w:p w14:paraId="4DADB121" w14:textId="35AB7048" w:rsidR="004B7DBA" w:rsidRPr="004B5630" w:rsidRDefault="004B7DBA" w:rsidP="008F57AA">
      <w:pPr>
        <w:tabs>
          <w:tab w:val="left" w:pos="426"/>
        </w:tabs>
        <w:spacing w:after="0" w:line="240" w:lineRule="auto"/>
        <w:ind w:left="426" w:right="-1" w:hanging="426"/>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t xml:space="preserve">O </w:t>
      </w:r>
      <w:r w:rsidRPr="004B5630">
        <w:rPr>
          <w:rFonts w:eastAsia="Times New Roman" w:cs="Calibri"/>
          <w:sz w:val="18"/>
          <w:szCs w:val="18"/>
          <w:lang w:eastAsia="pt-PT"/>
        </w:rPr>
        <w:t xml:space="preserve">AE Easyjet Airline Company/SNPVAC - BTE 28/2019 (cl.23ª) [(=) BTE 6/2016 (n.10)] considera doença profissional “as lesões físicas e psicológicas, perturbações funcionais ou doenças que sejam consequência do trabalho “. </w:t>
      </w:r>
    </w:p>
  </w:footnote>
  <w:footnote w:id="716">
    <w:p w14:paraId="1B712531" w14:textId="1D19E12D" w:rsidR="004B7DBA" w:rsidRPr="004B5630" w:rsidRDefault="004B7DBA" w:rsidP="008F57AA">
      <w:pPr>
        <w:tabs>
          <w:tab w:val="left" w:pos="426"/>
        </w:tabs>
        <w:spacing w:after="0" w:line="240" w:lineRule="auto"/>
        <w:ind w:left="426" w:right="-1" w:hanging="426"/>
        <w:jc w:val="both"/>
        <w:rPr>
          <w:rFonts w:eastAsia="Times New Roman" w:cs="Calibri"/>
          <w:sz w:val="18"/>
          <w:szCs w:val="18"/>
          <w:lang w:eastAsia="pt-PT"/>
        </w:rPr>
      </w:pPr>
      <w:r w:rsidRPr="004B5630">
        <w:rPr>
          <w:rStyle w:val="Refdenotaderodap"/>
          <w:sz w:val="18"/>
          <w:szCs w:val="18"/>
        </w:rPr>
        <w:footnoteRef/>
      </w:r>
      <w:r w:rsidRPr="004B5630">
        <w:rPr>
          <w:sz w:val="18"/>
          <w:szCs w:val="18"/>
        </w:rPr>
        <w:t xml:space="preserve"> </w:t>
      </w:r>
      <w:r w:rsidRPr="004B5630">
        <w:rPr>
          <w:sz w:val="18"/>
          <w:szCs w:val="18"/>
        </w:rPr>
        <w:tab/>
        <w:t xml:space="preserve">Por exemplo, </w:t>
      </w:r>
      <w:r w:rsidRPr="004B5630">
        <w:rPr>
          <w:rFonts w:eastAsia="Times New Roman" w:cs="Calibri"/>
          <w:sz w:val="18"/>
          <w:szCs w:val="18"/>
          <w:lang w:eastAsia="pt-PT"/>
        </w:rPr>
        <w:t>AC Fidelidade / SINAPSA – BTE 5/2019 (cl 48ª.) e AE Seguradoras Unidas/SINAPSA – BTE 5/2019 (cl.50ª); AE PEFACO/FESAHT – BTE 6/2019 (cl.102ª),</w:t>
      </w:r>
    </w:p>
  </w:footnote>
  <w:footnote w:id="717">
    <w:p w14:paraId="5EAC9959" w14:textId="39B38956" w:rsidR="004B7DBA" w:rsidRPr="004B5630" w:rsidRDefault="004B7DBA" w:rsidP="00FB5FCE">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 xml:space="preserve">ENSINO BENTO J. CARAÇA/FENPROF – BTE 12/2019 (cl. 65ª,3). </w:t>
      </w:r>
    </w:p>
  </w:footnote>
  <w:footnote w:id="718">
    <w:p w14:paraId="1E83CF4A" w14:textId="48EB04FD" w:rsidR="004B7DBA" w:rsidRPr="004B5630" w:rsidRDefault="004B7DBA" w:rsidP="00FB5FCE">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 xml:space="preserve">CC AEVP/SINTICABA – BTE 6/2019 (cl.43ª), limita a 4 meses o apoio do empregador para cobrir o vencimento ilíquido do trabalhador, no caso da seguradora não o fazer. </w:t>
      </w:r>
    </w:p>
  </w:footnote>
  <w:footnote w:id="719">
    <w:p w14:paraId="41B40933" w14:textId="6AF74C5B" w:rsidR="004B7DBA" w:rsidRPr="004B5630" w:rsidRDefault="004B7DBA" w:rsidP="00FB5FCE">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vertAlign w:val="superscript"/>
        </w:rPr>
        <w:tab/>
      </w:r>
      <w:r w:rsidRPr="004B5630">
        <w:rPr>
          <w:sz w:val="18"/>
          <w:szCs w:val="18"/>
        </w:rPr>
        <w:t>CC ACRAL/CESP – BTE 16/2019 (cl. 56.ª, 1) e paralelo.</w:t>
      </w:r>
    </w:p>
  </w:footnote>
  <w:footnote w:id="720">
    <w:p w14:paraId="32D1AFA9" w14:textId="77F859A6" w:rsidR="004B7DBA" w:rsidRPr="004B5630" w:rsidRDefault="004B7DBA" w:rsidP="00FB5FCE">
      <w:pPr>
        <w:tabs>
          <w:tab w:val="left" w:pos="426"/>
        </w:tabs>
        <w:spacing w:after="0" w:line="240" w:lineRule="auto"/>
        <w:ind w:left="425" w:hanging="425"/>
        <w:jc w:val="both"/>
        <w:rPr>
          <w:rFonts w:eastAsia="Times New Roman" w:cs="Calibri"/>
          <w:sz w:val="18"/>
          <w:szCs w:val="18"/>
          <w:lang w:eastAsia="pt-PT"/>
        </w:rPr>
      </w:pPr>
      <w:r w:rsidRPr="004B5630">
        <w:rPr>
          <w:rStyle w:val="Refdenotaderodap"/>
          <w:rFonts w:cs="Calibri"/>
          <w:sz w:val="18"/>
          <w:szCs w:val="18"/>
        </w:rPr>
        <w:footnoteRef/>
      </w:r>
      <w:r w:rsidRPr="004B5630">
        <w:rPr>
          <w:rFonts w:cs="Calibri"/>
          <w:sz w:val="18"/>
          <w:szCs w:val="18"/>
        </w:rPr>
        <w:t xml:space="preserve"> </w:t>
      </w:r>
      <w:r w:rsidRPr="004B5630">
        <w:rPr>
          <w:rFonts w:cs="Calibri"/>
          <w:sz w:val="18"/>
          <w:szCs w:val="18"/>
        </w:rPr>
        <w:tab/>
        <w:t xml:space="preserve">Entre outras, CC APEC/FECTRANS – BTE 9/2019 (cl. 57.ª), </w:t>
      </w:r>
      <w:r w:rsidRPr="004B5630">
        <w:rPr>
          <w:rFonts w:eastAsia="Times New Roman" w:cs="Calibri"/>
          <w:sz w:val="18"/>
          <w:szCs w:val="18"/>
          <w:lang w:eastAsia="pt-PT"/>
        </w:rPr>
        <w:t>AE The Navigator Company/FETESE – BTE 45/2019 (cl.9ª); CC C NIS/FEPCES – BTE 41/2019 (cl.79ª).</w:t>
      </w:r>
    </w:p>
  </w:footnote>
  <w:footnote w:id="721">
    <w:p w14:paraId="314CC0D6" w14:textId="4E26805C" w:rsidR="004B7DBA" w:rsidRPr="004B5630" w:rsidRDefault="004B7DBA" w:rsidP="00FB5FCE">
      <w:pPr>
        <w:tabs>
          <w:tab w:val="left" w:pos="426"/>
        </w:tabs>
        <w:spacing w:after="0" w:line="240" w:lineRule="auto"/>
        <w:ind w:left="425" w:hanging="425"/>
        <w:jc w:val="both"/>
        <w:rPr>
          <w:rFonts w:eastAsia="Times New Roman" w:cs="Calibri"/>
          <w:sz w:val="20"/>
          <w:szCs w:val="20"/>
          <w:lang w:eastAsia="pt-PT"/>
        </w:rPr>
      </w:pPr>
      <w:r w:rsidRPr="004B5630">
        <w:rPr>
          <w:rStyle w:val="Refdenotaderodap"/>
          <w:rFonts w:cs="Calibri"/>
          <w:sz w:val="18"/>
          <w:szCs w:val="18"/>
        </w:rPr>
        <w:footnoteRef/>
      </w:r>
      <w:r w:rsidRPr="004B5630">
        <w:rPr>
          <w:rFonts w:cs="Calibri"/>
          <w:sz w:val="18"/>
          <w:szCs w:val="18"/>
          <w:vertAlign w:val="superscript"/>
        </w:rPr>
        <w:t xml:space="preserve"> </w:t>
      </w:r>
      <w:r w:rsidRPr="004B5630">
        <w:rPr>
          <w:rFonts w:cs="Calibri"/>
          <w:sz w:val="18"/>
          <w:szCs w:val="18"/>
        </w:rPr>
        <w:tab/>
        <w:t xml:space="preserve">Por exemplo, </w:t>
      </w:r>
      <w:r w:rsidRPr="004B5630">
        <w:rPr>
          <w:rFonts w:eastAsia="Times New Roman" w:cs="Calibri"/>
          <w:sz w:val="18"/>
          <w:szCs w:val="18"/>
          <w:lang w:eastAsia="pt-PT"/>
        </w:rPr>
        <w:t>AE BMO PORTUGAL/SNQTB – BTE 5/2019 (cl.107ª).</w:t>
      </w:r>
    </w:p>
  </w:footnote>
  <w:footnote w:id="722">
    <w:p w14:paraId="688E8E6F" w14:textId="5193652F" w:rsidR="004B7DBA" w:rsidRPr="004B5630" w:rsidRDefault="004B7DBA" w:rsidP="00672C90">
      <w:pPr>
        <w:tabs>
          <w:tab w:val="left" w:pos="426"/>
        </w:tabs>
        <w:spacing w:after="0" w:line="240" w:lineRule="auto"/>
        <w:ind w:left="425" w:hanging="425"/>
        <w:jc w:val="both"/>
        <w:rPr>
          <w:rFonts w:eastAsia="Times New Roman" w:cs="Calibri"/>
          <w:sz w:val="18"/>
          <w:szCs w:val="18"/>
          <w:lang w:eastAsia="pt-PT"/>
        </w:rPr>
      </w:pPr>
      <w:r w:rsidRPr="004B5630">
        <w:rPr>
          <w:rStyle w:val="Refdenotaderodap"/>
          <w:rFonts w:cs="Calibri"/>
          <w:sz w:val="18"/>
          <w:szCs w:val="18"/>
        </w:rPr>
        <w:footnoteRef/>
      </w:r>
      <w:r w:rsidRPr="004B5630">
        <w:rPr>
          <w:rFonts w:cs="Calibri"/>
          <w:sz w:val="18"/>
          <w:szCs w:val="18"/>
          <w:vertAlign w:val="superscript"/>
        </w:rPr>
        <w:t xml:space="preserve"> </w:t>
      </w:r>
      <w:r w:rsidRPr="004B5630">
        <w:rPr>
          <w:rFonts w:cs="Calibri"/>
          <w:sz w:val="18"/>
          <w:szCs w:val="18"/>
        </w:rPr>
        <w:tab/>
      </w:r>
      <w:r w:rsidRPr="004B5630">
        <w:rPr>
          <w:rFonts w:eastAsia="Times New Roman" w:cs="Calibri"/>
          <w:sz w:val="18"/>
          <w:szCs w:val="18"/>
          <w:lang w:eastAsia="pt-PT"/>
        </w:rPr>
        <w:t>AE Seguradoras Unidas/SINAPSA – BTE 5/2019 (cl. 54ª); AC ARAG SE/STAS – BTE 7/2019 (cl. 54ª) e AC GENERALI/SINAPSA – BTE 13/2019 (cl. 55ª).</w:t>
      </w:r>
    </w:p>
  </w:footnote>
  <w:footnote w:id="723">
    <w:p w14:paraId="3FFB171C" w14:textId="5A5B307F" w:rsidR="004B7DBA" w:rsidRPr="004B5630" w:rsidRDefault="004B7DBA" w:rsidP="00672C90">
      <w:pPr>
        <w:tabs>
          <w:tab w:val="left" w:pos="426"/>
        </w:tabs>
        <w:spacing w:after="0" w:line="240" w:lineRule="auto"/>
        <w:ind w:left="425" w:hanging="425"/>
        <w:jc w:val="both"/>
        <w:rPr>
          <w:rFonts w:eastAsia="Times New Roman" w:cs="Calibri"/>
          <w:sz w:val="18"/>
          <w:szCs w:val="18"/>
          <w:lang w:eastAsia="pt-PT"/>
        </w:rPr>
      </w:pPr>
      <w:r w:rsidRPr="004B5630">
        <w:rPr>
          <w:rStyle w:val="Refdenotaderodap"/>
          <w:rFonts w:cs="Calibri"/>
          <w:sz w:val="18"/>
          <w:szCs w:val="18"/>
        </w:rPr>
        <w:footnoteRef/>
      </w:r>
      <w:r w:rsidRPr="004B5630">
        <w:rPr>
          <w:rFonts w:eastAsia="Times New Roman" w:cs="Calibri"/>
          <w:sz w:val="18"/>
          <w:szCs w:val="18"/>
          <w:vertAlign w:val="superscript"/>
          <w:lang w:eastAsia="pt-PT"/>
        </w:rPr>
        <w:t xml:space="preserve"> </w:t>
      </w:r>
      <w:r w:rsidRPr="004B5630">
        <w:rPr>
          <w:rFonts w:eastAsia="Times New Roman" w:cs="Calibri"/>
          <w:sz w:val="18"/>
          <w:szCs w:val="18"/>
          <w:lang w:eastAsia="pt-PT"/>
        </w:rPr>
        <w:tab/>
        <w:t>AE PETROGAL FIEQUIMETAL – BTE 35/2019 (cl. 59ª-61ª) e paralelos; CC ANCIPA/SETAAB – BTE 18/2019 (cl.68ª).</w:t>
      </w:r>
    </w:p>
  </w:footnote>
  <w:footnote w:id="724">
    <w:p w14:paraId="1EB25E66" w14:textId="5D9B8202" w:rsidR="004B7DBA" w:rsidRPr="004B5630" w:rsidRDefault="004B7DBA" w:rsidP="00672C90">
      <w:pPr>
        <w:pStyle w:val="Textodenotaderodap"/>
        <w:tabs>
          <w:tab w:val="left" w:pos="426"/>
        </w:tabs>
        <w:ind w:left="425" w:hanging="425"/>
        <w:rPr>
          <w:rFonts w:cs="Calibri"/>
          <w:sz w:val="18"/>
          <w:szCs w:val="18"/>
        </w:rPr>
      </w:pPr>
      <w:r w:rsidRPr="004B5630">
        <w:rPr>
          <w:rStyle w:val="Refdenotaderodap"/>
          <w:rFonts w:cs="Calibri"/>
          <w:sz w:val="18"/>
          <w:szCs w:val="18"/>
        </w:rPr>
        <w:footnoteRef/>
      </w:r>
      <w:r w:rsidRPr="004B5630">
        <w:rPr>
          <w:rFonts w:cs="Calibri"/>
          <w:sz w:val="18"/>
          <w:szCs w:val="18"/>
          <w:vertAlign w:val="superscript"/>
        </w:rPr>
        <w:t xml:space="preserve"> </w:t>
      </w:r>
      <w:r w:rsidRPr="004B5630">
        <w:rPr>
          <w:rFonts w:cs="Calibri"/>
          <w:sz w:val="18"/>
          <w:szCs w:val="18"/>
        </w:rPr>
        <w:tab/>
        <w:t>E AE SCOTTURB/SITRA -– BTE 35/2019 (cl.73ª).</w:t>
      </w:r>
    </w:p>
  </w:footnote>
  <w:footnote w:id="725">
    <w:p w14:paraId="3BDC1EA2" w14:textId="4A388877" w:rsidR="004B7DBA" w:rsidRPr="004B5630" w:rsidRDefault="004B7DBA" w:rsidP="00672C90">
      <w:pPr>
        <w:tabs>
          <w:tab w:val="left" w:pos="426"/>
        </w:tabs>
        <w:spacing w:after="0" w:line="240" w:lineRule="auto"/>
        <w:ind w:left="425" w:hanging="425"/>
        <w:jc w:val="both"/>
        <w:rPr>
          <w:rFonts w:eastAsia="Times New Roman" w:cs="Calibri"/>
          <w:sz w:val="18"/>
          <w:szCs w:val="18"/>
          <w:lang w:eastAsia="pt-PT"/>
        </w:rPr>
      </w:pPr>
      <w:r w:rsidRPr="004B5630">
        <w:rPr>
          <w:rStyle w:val="Refdenotaderodap"/>
          <w:rFonts w:cs="Calibri"/>
          <w:sz w:val="18"/>
          <w:szCs w:val="18"/>
        </w:rPr>
        <w:footnoteRef/>
      </w:r>
      <w:r w:rsidRPr="004B5630">
        <w:rPr>
          <w:rFonts w:cs="Calibri"/>
          <w:sz w:val="18"/>
          <w:szCs w:val="18"/>
        </w:rPr>
        <w:t xml:space="preserve">  </w:t>
      </w:r>
      <w:r w:rsidRPr="004B5630">
        <w:rPr>
          <w:rFonts w:cs="Calibri"/>
          <w:sz w:val="18"/>
          <w:szCs w:val="18"/>
        </w:rPr>
        <w:tab/>
      </w:r>
      <w:r w:rsidRPr="004B5630">
        <w:rPr>
          <w:rFonts w:eastAsia="Times New Roman" w:cs="Calibri"/>
          <w:sz w:val="18"/>
          <w:szCs w:val="18"/>
          <w:lang w:eastAsia="pt-PT"/>
        </w:rPr>
        <w:t>CC ANILACT/SETAAB – BTE 13/2019 (Anexo V).</w:t>
      </w:r>
    </w:p>
  </w:footnote>
  <w:footnote w:id="726">
    <w:p w14:paraId="069013CF" w14:textId="352D9B04" w:rsidR="004B7DBA" w:rsidRPr="004B5630" w:rsidRDefault="004B7DBA" w:rsidP="00672C90">
      <w:pPr>
        <w:tabs>
          <w:tab w:val="left" w:pos="426"/>
        </w:tabs>
        <w:spacing w:after="0" w:line="240" w:lineRule="auto"/>
        <w:ind w:left="425" w:hanging="425"/>
        <w:jc w:val="both"/>
        <w:rPr>
          <w:rFonts w:eastAsia="Times New Roman" w:cs="Calibri"/>
          <w:sz w:val="18"/>
          <w:szCs w:val="18"/>
          <w:lang w:eastAsia="pt-PT"/>
        </w:rPr>
      </w:pPr>
      <w:r w:rsidRPr="004B5630">
        <w:rPr>
          <w:rStyle w:val="Refdenotaderodap"/>
          <w:rFonts w:cs="Calibri"/>
          <w:sz w:val="18"/>
          <w:szCs w:val="18"/>
        </w:rPr>
        <w:footnoteRef/>
      </w:r>
      <w:r w:rsidRPr="004B5630">
        <w:rPr>
          <w:rFonts w:cs="Calibri"/>
          <w:sz w:val="18"/>
          <w:szCs w:val="18"/>
          <w:vertAlign w:val="superscript"/>
        </w:rPr>
        <w:t xml:space="preserve"> </w:t>
      </w:r>
      <w:r w:rsidRPr="004B5630">
        <w:rPr>
          <w:rFonts w:cs="Calibri"/>
          <w:sz w:val="18"/>
          <w:szCs w:val="18"/>
        </w:rPr>
        <w:tab/>
      </w:r>
      <w:r w:rsidRPr="004B5630">
        <w:rPr>
          <w:rFonts w:eastAsia="Times New Roman" w:cs="Calibri"/>
          <w:sz w:val="18"/>
          <w:szCs w:val="18"/>
          <w:lang w:eastAsia="pt-PT"/>
        </w:rPr>
        <w:t>AE PETROGAL FIEQUIMETAL – BTE 35/2019 (cl. 65ª) e paralelos; AC Infraestruturas de Portugal SNTSF - BTE 22/2019 (cl 80ª.).</w:t>
      </w:r>
    </w:p>
  </w:footnote>
  <w:footnote w:id="727">
    <w:p w14:paraId="60548F57" w14:textId="08D43DF8" w:rsidR="004B7DBA" w:rsidRPr="004B5630" w:rsidRDefault="004B7DBA" w:rsidP="00672C90">
      <w:pPr>
        <w:tabs>
          <w:tab w:val="left" w:pos="426"/>
        </w:tabs>
        <w:spacing w:after="0" w:line="240" w:lineRule="auto"/>
        <w:ind w:left="425" w:hanging="425"/>
        <w:jc w:val="both"/>
        <w:rPr>
          <w:rFonts w:eastAsia="Times New Roman" w:cs="Calibri"/>
          <w:sz w:val="18"/>
          <w:szCs w:val="18"/>
          <w:lang w:eastAsia="pt-PT"/>
        </w:rPr>
      </w:pPr>
      <w:r w:rsidRPr="004B5630">
        <w:rPr>
          <w:rStyle w:val="Refdenotaderodap"/>
          <w:rFonts w:cs="Calibri"/>
          <w:sz w:val="18"/>
          <w:szCs w:val="18"/>
        </w:rPr>
        <w:footnoteRef/>
      </w:r>
      <w:r w:rsidRPr="004B5630">
        <w:rPr>
          <w:rFonts w:cs="Calibri"/>
          <w:sz w:val="18"/>
          <w:szCs w:val="18"/>
          <w:vertAlign w:val="superscript"/>
        </w:rPr>
        <w:t xml:space="preserve"> </w:t>
      </w:r>
      <w:r w:rsidRPr="004B5630">
        <w:rPr>
          <w:rFonts w:cs="Calibri"/>
          <w:sz w:val="18"/>
          <w:szCs w:val="18"/>
        </w:rPr>
        <w:tab/>
        <w:t>Por exemplo, A</w:t>
      </w:r>
      <w:r w:rsidRPr="004B5630">
        <w:rPr>
          <w:rFonts w:eastAsia="Times New Roman" w:cs="Calibri"/>
          <w:sz w:val="18"/>
          <w:szCs w:val="18"/>
          <w:lang w:eastAsia="pt-PT"/>
        </w:rPr>
        <w:t xml:space="preserve">E AIG EUROPE/STAS – BTE 17/2019 (cl. 45ª); </w:t>
      </w:r>
      <w:r w:rsidRPr="004B5630">
        <w:rPr>
          <w:rFonts w:cs="Calibri"/>
          <w:sz w:val="18"/>
          <w:szCs w:val="18"/>
        </w:rPr>
        <w:t xml:space="preserve">e  </w:t>
      </w:r>
      <w:r w:rsidRPr="004B5630">
        <w:rPr>
          <w:rFonts w:eastAsia="Times New Roman" w:cs="Calibri"/>
          <w:sz w:val="18"/>
          <w:szCs w:val="18"/>
          <w:lang w:eastAsia="pt-PT"/>
        </w:rPr>
        <w:t xml:space="preserve"> AE Europa&amp;C/FIEQUIMETAL – BTE 8/2019 (cl.80ª).  </w:t>
      </w:r>
    </w:p>
  </w:footnote>
  <w:footnote w:id="728">
    <w:p w14:paraId="270BDDB7" w14:textId="5F2FB670" w:rsidR="004B7DBA" w:rsidRPr="004B5630" w:rsidRDefault="004B7DBA" w:rsidP="00672C90">
      <w:pPr>
        <w:pStyle w:val="Textodenotaderodap"/>
        <w:tabs>
          <w:tab w:val="left" w:pos="426"/>
        </w:tabs>
        <w:ind w:left="425" w:hanging="425"/>
        <w:rPr>
          <w:rFonts w:cs="Calibri"/>
          <w:sz w:val="18"/>
          <w:szCs w:val="18"/>
        </w:rPr>
      </w:pPr>
      <w:r w:rsidRPr="004B5630">
        <w:rPr>
          <w:rStyle w:val="Refdenotaderodap"/>
          <w:rFonts w:cs="Calibri"/>
          <w:sz w:val="18"/>
          <w:szCs w:val="18"/>
        </w:rPr>
        <w:footnoteRef/>
      </w:r>
      <w:r w:rsidRPr="004B5630">
        <w:rPr>
          <w:rFonts w:cs="Calibri"/>
          <w:sz w:val="18"/>
          <w:szCs w:val="18"/>
          <w:vertAlign w:val="superscript"/>
        </w:rPr>
        <w:t xml:space="preserve"> </w:t>
      </w:r>
      <w:r w:rsidRPr="004B5630">
        <w:rPr>
          <w:rFonts w:cs="Calibri"/>
          <w:sz w:val="18"/>
          <w:szCs w:val="18"/>
        </w:rPr>
        <w:tab/>
        <w:t>AC Fidelidade / SINAPSA – BTE 5/2019 (cl.47ª) e AE Seguradoras Unidas/SINAPSA – BTE 5/2019 (cl. 49ª).</w:t>
      </w:r>
    </w:p>
  </w:footnote>
  <w:footnote w:id="729">
    <w:p w14:paraId="0D45788B" w14:textId="767D1F02" w:rsidR="004B7DBA" w:rsidRPr="004B5630" w:rsidRDefault="004B7DBA" w:rsidP="00672C90">
      <w:pPr>
        <w:tabs>
          <w:tab w:val="left" w:pos="426"/>
        </w:tabs>
        <w:spacing w:after="0" w:line="240" w:lineRule="auto"/>
        <w:ind w:left="425" w:hanging="425"/>
        <w:jc w:val="both"/>
        <w:rPr>
          <w:rFonts w:eastAsia="Times New Roman" w:cs="Calibri"/>
          <w:sz w:val="18"/>
          <w:szCs w:val="18"/>
          <w:lang w:eastAsia="pt-PT"/>
        </w:rPr>
      </w:pPr>
      <w:r w:rsidRPr="004B5630">
        <w:rPr>
          <w:rStyle w:val="Refdenotaderodap"/>
          <w:rFonts w:cs="Calibri"/>
          <w:sz w:val="18"/>
          <w:szCs w:val="18"/>
        </w:rPr>
        <w:footnoteRef/>
      </w:r>
      <w:r w:rsidRPr="004B5630">
        <w:rPr>
          <w:rFonts w:cs="Calibri"/>
          <w:sz w:val="18"/>
          <w:szCs w:val="18"/>
          <w:vertAlign w:val="superscript"/>
        </w:rPr>
        <w:t xml:space="preserve"> </w:t>
      </w:r>
      <w:r w:rsidRPr="004B5630">
        <w:rPr>
          <w:rFonts w:cs="Calibri"/>
          <w:sz w:val="18"/>
          <w:szCs w:val="18"/>
        </w:rPr>
        <w:tab/>
      </w:r>
      <w:r w:rsidRPr="004B5630">
        <w:rPr>
          <w:rFonts w:eastAsia="Times New Roman" w:cs="Calibri"/>
          <w:sz w:val="18"/>
          <w:szCs w:val="18"/>
          <w:lang w:eastAsia="pt-PT"/>
        </w:rPr>
        <w:t>AE ADP – Fertilizantes/COFESINT – BTE 30/2019 (cl.95ª) e paralelos.</w:t>
      </w:r>
    </w:p>
  </w:footnote>
  <w:footnote w:id="730">
    <w:p w14:paraId="3D2E35C7" w14:textId="7EE9918E" w:rsidR="004B7DBA" w:rsidRPr="004B5630" w:rsidRDefault="004B7DBA" w:rsidP="00672C90">
      <w:pPr>
        <w:tabs>
          <w:tab w:val="left" w:pos="426"/>
        </w:tabs>
        <w:spacing w:after="0" w:line="240" w:lineRule="auto"/>
        <w:ind w:left="425" w:hanging="425"/>
        <w:jc w:val="both"/>
        <w:rPr>
          <w:rFonts w:eastAsia="Times New Roman" w:cs="Calibri"/>
          <w:sz w:val="18"/>
          <w:szCs w:val="18"/>
          <w:lang w:eastAsia="pt-PT"/>
        </w:rPr>
      </w:pPr>
      <w:r w:rsidRPr="004B5630">
        <w:rPr>
          <w:rStyle w:val="Refdenotaderodap"/>
          <w:rFonts w:cs="Calibri"/>
          <w:sz w:val="18"/>
          <w:szCs w:val="18"/>
        </w:rPr>
        <w:footnoteRef/>
      </w:r>
      <w:r w:rsidRPr="004B5630">
        <w:rPr>
          <w:rFonts w:cs="Calibri"/>
          <w:sz w:val="18"/>
          <w:szCs w:val="18"/>
          <w:vertAlign w:val="superscript"/>
        </w:rPr>
        <w:t xml:space="preserve"> </w:t>
      </w:r>
      <w:r w:rsidRPr="004B5630">
        <w:rPr>
          <w:rFonts w:cs="Calibri"/>
          <w:sz w:val="18"/>
          <w:szCs w:val="18"/>
        </w:rPr>
        <w:tab/>
      </w:r>
      <w:r w:rsidRPr="004B5630">
        <w:rPr>
          <w:rFonts w:eastAsia="Times New Roman" w:cs="Calibri"/>
          <w:sz w:val="18"/>
          <w:szCs w:val="18"/>
          <w:lang w:eastAsia="pt-PT"/>
        </w:rPr>
        <w:t>AC ARAG SE/STAS – BTE 7/2019 (cl.49ª); AE CIMPOR/FEVICCOM - BTE 20/2019 (Cap. XII, cl. nova).</w:t>
      </w:r>
    </w:p>
  </w:footnote>
  <w:footnote w:id="731">
    <w:p w14:paraId="30D1DF7F" w14:textId="285473CD" w:rsidR="004B7DBA" w:rsidRPr="004B5630" w:rsidRDefault="004B7DBA" w:rsidP="00672C90">
      <w:pPr>
        <w:tabs>
          <w:tab w:val="left" w:pos="426"/>
        </w:tabs>
        <w:spacing w:after="0" w:line="240" w:lineRule="auto"/>
        <w:ind w:left="425" w:hanging="425"/>
        <w:jc w:val="both"/>
        <w:rPr>
          <w:rFonts w:eastAsia="Times New Roman" w:cs="Calibri"/>
          <w:sz w:val="18"/>
          <w:szCs w:val="18"/>
          <w:lang w:eastAsia="pt-PT"/>
        </w:rPr>
      </w:pPr>
      <w:r w:rsidRPr="004B5630">
        <w:rPr>
          <w:rStyle w:val="Refdenotaderodap"/>
          <w:rFonts w:cs="Calibri"/>
          <w:sz w:val="18"/>
          <w:szCs w:val="18"/>
        </w:rPr>
        <w:footnoteRef/>
      </w:r>
      <w:r w:rsidRPr="004B5630">
        <w:rPr>
          <w:rFonts w:cs="Calibri"/>
          <w:sz w:val="18"/>
          <w:szCs w:val="18"/>
          <w:vertAlign w:val="superscript"/>
        </w:rPr>
        <w:t xml:space="preserve"> </w:t>
      </w:r>
      <w:r w:rsidRPr="004B5630">
        <w:rPr>
          <w:rFonts w:cs="Calibri"/>
          <w:sz w:val="18"/>
          <w:szCs w:val="18"/>
        </w:rPr>
        <w:tab/>
      </w:r>
      <w:r w:rsidRPr="004B5630">
        <w:rPr>
          <w:rFonts w:eastAsia="Times New Roman" w:cs="Calibri"/>
          <w:sz w:val="18"/>
          <w:szCs w:val="18"/>
          <w:lang w:eastAsia="pt-PT"/>
        </w:rPr>
        <w:t>AC Fidelidade / SINAPSA – BTE 5/2019 (cl.51ª, 2).</w:t>
      </w:r>
    </w:p>
  </w:footnote>
  <w:footnote w:id="732">
    <w:p w14:paraId="7E77DA8F" w14:textId="5AED5D1B" w:rsidR="004B7DBA" w:rsidRPr="004B5630" w:rsidRDefault="004B7DBA" w:rsidP="00672C90">
      <w:pPr>
        <w:tabs>
          <w:tab w:val="left" w:pos="426"/>
        </w:tabs>
        <w:spacing w:after="0" w:line="240" w:lineRule="auto"/>
        <w:ind w:left="425" w:hanging="425"/>
        <w:jc w:val="both"/>
        <w:rPr>
          <w:rFonts w:eastAsia="Times New Roman" w:cs="Calibri"/>
          <w:sz w:val="18"/>
          <w:szCs w:val="18"/>
          <w:lang w:eastAsia="pt-PT"/>
        </w:rPr>
      </w:pPr>
      <w:r w:rsidRPr="004B5630">
        <w:rPr>
          <w:rStyle w:val="Refdenotaderodap"/>
          <w:rFonts w:cs="Calibri"/>
          <w:sz w:val="18"/>
          <w:szCs w:val="18"/>
        </w:rPr>
        <w:footnoteRef/>
      </w:r>
      <w:r w:rsidRPr="004B5630">
        <w:rPr>
          <w:rFonts w:cs="Calibri"/>
          <w:sz w:val="18"/>
          <w:szCs w:val="18"/>
          <w:vertAlign w:val="superscript"/>
        </w:rPr>
        <w:t xml:space="preserve"> </w:t>
      </w:r>
      <w:r w:rsidRPr="004B5630">
        <w:rPr>
          <w:rFonts w:cs="Calibri"/>
          <w:sz w:val="18"/>
          <w:szCs w:val="18"/>
        </w:rPr>
        <w:tab/>
      </w:r>
      <w:r w:rsidRPr="004B5630">
        <w:rPr>
          <w:rFonts w:eastAsia="Times New Roman" w:cs="Calibri"/>
          <w:sz w:val="18"/>
          <w:szCs w:val="18"/>
          <w:lang w:eastAsia="pt-PT"/>
        </w:rPr>
        <w:t>AC ARAG SE/STAS – BTE 7/2019 (cl.49ª); AE SIDUL/COFESINT - BTE 26/2019 (cl. 85ª).</w:t>
      </w:r>
      <w:r w:rsidRPr="004B5630">
        <w:rPr>
          <w:rFonts w:cs="Calibri"/>
          <w:sz w:val="18"/>
          <w:szCs w:val="18"/>
        </w:rPr>
        <w:t xml:space="preserve">                                                                     </w:t>
      </w:r>
    </w:p>
  </w:footnote>
  <w:footnote w:id="733">
    <w:p w14:paraId="57088E78" w14:textId="15BF7013" w:rsidR="004B7DBA" w:rsidRPr="004B5630" w:rsidRDefault="004B7DBA" w:rsidP="00672C90">
      <w:pPr>
        <w:tabs>
          <w:tab w:val="left" w:pos="426"/>
        </w:tabs>
        <w:spacing w:after="0" w:line="240" w:lineRule="auto"/>
        <w:ind w:left="425" w:hanging="425"/>
        <w:jc w:val="both"/>
        <w:rPr>
          <w:rFonts w:eastAsia="Times New Roman" w:cs="Calibri"/>
          <w:sz w:val="18"/>
          <w:szCs w:val="18"/>
          <w:lang w:eastAsia="pt-PT"/>
        </w:rPr>
      </w:pPr>
      <w:r w:rsidRPr="004B5630">
        <w:rPr>
          <w:rStyle w:val="Refdenotaderodap"/>
          <w:rFonts w:cs="Calibri"/>
          <w:sz w:val="18"/>
          <w:szCs w:val="18"/>
        </w:rPr>
        <w:footnoteRef/>
      </w:r>
      <w:r w:rsidRPr="004B5630">
        <w:rPr>
          <w:rFonts w:cs="Calibri"/>
          <w:sz w:val="18"/>
          <w:szCs w:val="18"/>
        </w:rPr>
        <w:t xml:space="preserve"> </w:t>
      </w:r>
      <w:r w:rsidRPr="004B5630">
        <w:rPr>
          <w:rFonts w:cs="Calibri"/>
          <w:sz w:val="18"/>
          <w:szCs w:val="18"/>
        </w:rPr>
        <w:tab/>
      </w:r>
      <w:r w:rsidRPr="004B5630">
        <w:rPr>
          <w:rFonts w:eastAsia="Times New Roman" w:cs="Calibri"/>
          <w:sz w:val="18"/>
          <w:szCs w:val="18"/>
          <w:lang w:eastAsia="pt-PT"/>
        </w:rPr>
        <w:t>AE Seguradoras Unidas/SINAPSA – BTE 5/2019 (cl.53ª,2).</w:t>
      </w:r>
    </w:p>
  </w:footnote>
  <w:footnote w:id="734">
    <w:p w14:paraId="7E4E686F" w14:textId="6DC2EC2B" w:rsidR="004B7DBA" w:rsidRPr="004B5630" w:rsidRDefault="004B7DBA" w:rsidP="00672C90">
      <w:pPr>
        <w:tabs>
          <w:tab w:val="left" w:pos="426"/>
        </w:tabs>
        <w:spacing w:after="0" w:line="240" w:lineRule="auto"/>
        <w:ind w:left="425" w:hanging="425"/>
        <w:jc w:val="both"/>
        <w:rPr>
          <w:rFonts w:eastAsia="Times New Roman" w:cs="Calibri"/>
          <w:sz w:val="18"/>
          <w:szCs w:val="18"/>
          <w:lang w:eastAsia="pt-PT"/>
        </w:rPr>
      </w:pPr>
      <w:r w:rsidRPr="004B5630">
        <w:rPr>
          <w:rStyle w:val="Refdenotaderodap"/>
          <w:rFonts w:cs="Calibri"/>
          <w:sz w:val="18"/>
          <w:szCs w:val="18"/>
        </w:rPr>
        <w:footnoteRef/>
      </w:r>
      <w:r w:rsidRPr="004B5630">
        <w:rPr>
          <w:rFonts w:cs="Calibri"/>
          <w:sz w:val="18"/>
          <w:szCs w:val="18"/>
        </w:rPr>
        <w:t xml:space="preserve"> </w:t>
      </w:r>
      <w:r w:rsidRPr="004B5630">
        <w:rPr>
          <w:rFonts w:cs="Calibri"/>
          <w:sz w:val="18"/>
          <w:szCs w:val="18"/>
        </w:rPr>
        <w:tab/>
      </w:r>
      <w:r w:rsidRPr="004B5630">
        <w:rPr>
          <w:rFonts w:eastAsia="Times New Roman" w:cs="Calibri"/>
          <w:sz w:val="18"/>
          <w:szCs w:val="18"/>
          <w:lang w:eastAsia="pt-PT"/>
        </w:rPr>
        <w:t>AC BRISA/SETACCOP – BTE 36/2019 (cl. 76ª- A, 6); AE Fico Cables/SINDEL – BTE 45/2019 (cl 13ª).</w:t>
      </w:r>
    </w:p>
  </w:footnote>
  <w:footnote w:id="735">
    <w:p w14:paraId="2109582C" w14:textId="76991DB3" w:rsidR="004B7DBA" w:rsidRPr="004B5630" w:rsidRDefault="004B7DBA" w:rsidP="00672C90">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AE UCS/SIMA – BTE 14/2019 (cl.72ª);  AC  BRISA/SETACCOP – BTE 36/2019 (cl.70ª).</w:t>
      </w:r>
    </w:p>
  </w:footnote>
  <w:footnote w:id="736">
    <w:p w14:paraId="7E884E8C" w14:textId="0C7BDCC9" w:rsidR="004B7DBA" w:rsidRPr="004B5630" w:rsidRDefault="004B7DBA" w:rsidP="00672C90">
      <w:pPr>
        <w:tabs>
          <w:tab w:val="left" w:pos="426"/>
        </w:tabs>
        <w:spacing w:after="0" w:line="240" w:lineRule="auto"/>
        <w:ind w:left="425" w:hanging="425"/>
        <w:jc w:val="both"/>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AE PETROGAL/SITESE – BTE 35/2019 (cl.87ª) e paralelos.</w:t>
      </w:r>
    </w:p>
  </w:footnote>
  <w:footnote w:id="737">
    <w:p w14:paraId="4E3A4466" w14:textId="2BB513BA" w:rsidR="004B7DBA" w:rsidRPr="004B5630" w:rsidRDefault="004B7DBA" w:rsidP="00672C90">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AE REPSOL - Polímeros/COFESINT – BTE 5/2019 (cl. 100ª-A); AC Várias Instituições de Crédito/FEBASE – BTE 10/2019 (cl. 103ª-A).</w:t>
      </w:r>
    </w:p>
  </w:footnote>
  <w:footnote w:id="738">
    <w:p w14:paraId="2C5EDA7E" w14:textId="47028697" w:rsidR="004B7DBA" w:rsidRPr="004B5630" w:rsidRDefault="004B7DBA" w:rsidP="00672C90">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rFonts w:eastAsia="Times New Roman" w:cs="Calibri"/>
          <w:sz w:val="18"/>
          <w:szCs w:val="18"/>
          <w:lang w:eastAsia="pt-PT"/>
        </w:rPr>
        <w:t>AE ADP – Fertilizantes/COFESINT – BTE 30/2019 (cl.60ª) e paralelos [(=)</w:t>
      </w:r>
      <w:r w:rsidRPr="004B5630">
        <w:rPr>
          <w:sz w:val="18"/>
          <w:szCs w:val="18"/>
        </w:rPr>
        <w:t>AE ADP Fertilizantes/SITESE – BTE 27/2018 ]</w:t>
      </w:r>
    </w:p>
  </w:footnote>
  <w:footnote w:id="739">
    <w:p w14:paraId="4DF0DAA8" w14:textId="6D4FED50" w:rsidR="004B7DBA" w:rsidRPr="004B5630" w:rsidRDefault="004B7DBA" w:rsidP="00672C90">
      <w:pPr>
        <w:tabs>
          <w:tab w:val="left" w:pos="426"/>
        </w:tabs>
        <w:spacing w:after="0" w:line="240" w:lineRule="auto"/>
        <w:ind w:left="425" w:hanging="425"/>
        <w:jc w:val="both"/>
        <w:rPr>
          <w:rFonts w:eastAsia="Times New Roman" w:cs="Calibri"/>
          <w:sz w:val="18"/>
          <w:szCs w:val="18"/>
          <w:lang w:eastAsia="pt-PT"/>
        </w:rPr>
      </w:pPr>
      <w:r w:rsidRPr="004B5630">
        <w:rPr>
          <w:rStyle w:val="Refdenotaderodap"/>
          <w:sz w:val="18"/>
          <w:szCs w:val="18"/>
        </w:rPr>
        <w:footnoteRef/>
      </w:r>
      <w:r w:rsidRPr="004B5630">
        <w:rPr>
          <w:sz w:val="18"/>
          <w:szCs w:val="18"/>
          <w:vertAlign w:val="superscript"/>
        </w:rPr>
        <w:t xml:space="preserve"> </w:t>
      </w:r>
      <w:r w:rsidRPr="004B5630">
        <w:rPr>
          <w:sz w:val="18"/>
          <w:szCs w:val="18"/>
        </w:rPr>
        <w:t xml:space="preserve"> </w:t>
      </w:r>
      <w:r w:rsidRPr="004B5630">
        <w:rPr>
          <w:sz w:val="18"/>
          <w:szCs w:val="18"/>
        </w:rPr>
        <w:tab/>
      </w:r>
      <w:r w:rsidRPr="004B5630">
        <w:rPr>
          <w:rFonts w:eastAsia="Times New Roman" w:cs="Calibri"/>
          <w:sz w:val="18"/>
          <w:szCs w:val="18"/>
          <w:lang w:eastAsia="pt-PT"/>
        </w:rPr>
        <w:t>AC Fidelidade / SINAPSA – BTE 5/2019 (cl.42ª); AE Seguradoras Unidas/SINAPSA – BTE 5/2019 (cl. 27ª).</w:t>
      </w:r>
    </w:p>
  </w:footnote>
  <w:footnote w:id="740">
    <w:p w14:paraId="308B28DF" w14:textId="22A7C696" w:rsidR="004B7DBA" w:rsidRPr="004B5630" w:rsidRDefault="004B7DBA" w:rsidP="009E480F">
      <w:pPr>
        <w:pStyle w:val="Textodenotaderodap"/>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cfr supra, em especial, capitulo IV.</w:t>
      </w:r>
    </w:p>
  </w:footnote>
  <w:footnote w:id="741">
    <w:p w14:paraId="2C01326E" w14:textId="2BA3D4B8" w:rsidR="004B7DBA" w:rsidRPr="004B5630" w:rsidRDefault="004B7DBA" w:rsidP="00874259">
      <w:pPr>
        <w:pStyle w:val="NotaRodap"/>
        <w:tabs>
          <w:tab w:val="clear" w:pos="284"/>
          <w:tab w:val="left" w:pos="142"/>
          <w:tab w:val="left" w:pos="426"/>
        </w:tabs>
        <w:ind w:left="425" w:right="57" w:hanging="425"/>
        <w:rPr>
          <w:rFonts w:asciiTheme="minorHAnsi" w:hAnsiTheme="minorHAnsi"/>
          <w:szCs w:val="18"/>
        </w:rPr>
      </w:pPr>
      <w:r w:rsidRPr="004B5630">
        <w:rPr>
          <w:rStyle w:val="Refdenotaderodap"/>
          <w:rFonts w:asciiTheme="minorHAnsi" w:hAnsiTheme="minorHAnsi"/>
          <w:szCs w:val="18"/>
        </w:rPr>
        <w:footnoteRef/>
      </w:r>
      <w:r w:rsidRPr="004B5630">
        <w:rPr>
          <w:rFonts w:asciiTheme="minorHAnsi" w:hAnsiTheme="minorHAnsi"/>
          <w:szCs w:val="18"/>
          <w:vertAlign w:val="superscript"/>
        </w:rPr>
        <w:t xml:space="preserve"> </w:t>
      </w:r>
      <w:r w:rsidRPr="004B5630">
        <w:rPr>
          <w:rFonts w:asciiTheme="minorHAnsi" w:hAnsiTheme="minorHAnsi"/>
          <w:szCs w:val="18"/>
        </w:rPr>
        <w:tab/>
        <w:t>Sobre a regulamentação coletiva na Administração pública consultar</w:t>
      </w:r>
      <w:r w:rsidRPr="004B5630">
        <w:rPr>
          <w:rFonts w:asciiTheme="minorHAnsi" w:hAnsiTheme="minorHAnsi"/>
          <w:i/>
          <w:szCs w:val="18"/>
        </w:rPr>
        <w:t xml:space="preserve"> site</w:t>
      </w:r>
      <w:r w:rsidRPr="004B5630">
        <w:rPr>
          <w:rFonts w:asciiTheme="minorHAnsi" w:hAnsiTheme="minorHAnsi"/>
          <w:szCs w:val="18"/>
        </w:rPr>
        <w:t xml:space="preserve"> da Direção-Geral da Administração e do Emprego Público (DGAEP),</w:t>
      </w:r>
      <w:r w:rsidRPr="004B5630">
        <w:rPr>
          <w:rFonts w:asciiTheme="minorHAnsi" w:eastAsia="Calibri" w:hAnsiTheme="minorHAnsi"/>
          <w:szCs w:val="18"/>
        </w:rPr>
        <w:t xml:space="preserve"> </w:t>
      </w:r>
      <w:hyperlink r:id="rId19" w:history="1">
        <w:r w:rsidRPr="004B5630">
          <w:rPr>
            <w:rStyle w:val="Hiperligao"/>
            <w:rFonts w:asciiTheme="minorHAnsi" w:eastAsiaTheme="majorEastAsia" w:hAnsiTheme="minorHAnsi"/>
            <w:szCs w:val="18"/>
          </w:rPr>
          <w:t>http://www.dgaep.gov.pt/</w:t>
        </w:r>
      </w:hyperlink>
      <w:r w:rsidRPr="004B5630">
        <w:rPr>
          <w:rFonts w:asciiTheme="minorHAnsi" w:hAnsiTheme="minorHAnsi"/>
          <w:szCs w:val="18"/>
        </w:rPr>
        <w:t>.</w:t>
      </w:r>
    </w:p>
  </w:footnote>
  <w:footnote w:id="742">
    <w:p w14:paraId="44F85FCE" w14:textId="4509CE46" w:rsidR="004B7DBA" w:rsidRPr="004B5630" w:rsidRDefault="004B7DBA" w:rsidP="00874259">
      <w:pPr>
        <w:pStyle w:val="NotaRodap"/>
        <w:tabs>
          <w:tab w:val="clear" w:pos="284"/>
          <w:tab w:val="left" w:pos="142"/>
          <w:tab w:val="left" w:pos="426"/>
        </w:tabs>
        <w:ind w:left="425" w:right="57" w:hanging="425"/>
        <w:rPr>
          <w:rFonts w:asciiTheme="minorHAnsi" w:hAnsiTheme="minorHAnsi"/>
          <w:szCs w:val="18"/>
        </w:rPr>
      </w:pPr>
      <w:r w:rsidRPr="004B5630">
        <w:rPr>
          <w:rStyle w:val="Refdenotaderodap"/>
          <w:rFonts w:asciiTheme="minorHAnsi" w:hAnsiTheme="minorHAnsi"/>
          <w:szCs w:val="18"/>
        </w:rPr>
        <w:footnoteRef/>
      </w:r>
      <w:r w:rsidRPr="004B5630">
        <w:rPr>
          <w:rFonts w:asciiTheme="minorHAnsi" w:hAnsiTheme="minorHAnsi"/>
          <w:szCs w:val="18"/>
          <w:vertAlign w:val="superscript"/>
        </w:rPr>
        <w:t xml:space="preserve"> </w:t>
      </w:r>
      <w:r w:rsidRPr="004B5630">
        <w:rPr>
          <w:rFonts w:asciiTheme="minorHAnsi" w:hAnsiTheme="minorHAnsi"/>
          <w:szCs w:val="18"/>
        </w:rPr>
        <w:t xml:space="preserve"> </w:t>
      </w:r>
      <w:r w:rsidRPr="004B5630">
        <w:rPr>
          <w:rFonts w:asciiTheme="minorHAnsi" w:hAnsiTheme="minorHAnsi"/>
          <w:szCs w:val="18"/>
        </w:rPr>
        <w:tab/>
        <w:t xml:space="preserve">Lei Geral do Trabalho em Funções Públicas – aprovada pela Lei n.º 35/2014, de 20 de junho, com as alterações subsequentes. </w:t>
      </w:r>
    </w:p>
  </w:footnote>
  <w:footnote w:id="743">
    <w:p w14:paraId="0780445F" w14:textId="1ED71318" w:rsidR="004B7DBA" w:rsidRPr="004B5630" w:rsidRDefault="004B7DBA" w:rsidP="00874259">
      <w:pPr>
        <w:tabs>
          <w:tab w:val="left" w:pos="142"/>
          <w:tab w:val="left" w:pos="426"/>
        </w:tabs>
        <w:spacing w:after="0" w:line="240" w:lineRule="auto"/>
        <w:ind w:left="425" w:right="57" w:hanging="425"/>
        <w:jc w:val="both"/>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Não foi possível obter informação sobre esta primeira dimensão. A DGAEP não recolhe dados quanto à negociação coletiva relativa à obtenção de acordo, em matérias que integram o estatuto dos trabalhadores em funções públicas com vista à respetiva inclusão em atos legislativos. Os processos negociais são promovidos diretamente entre o Governo e as associações sindicais. </w:t>
      </w:r>
    </w:p>
  </w:footnote>
  <w:footnote w:id="744">
    <w:p w14:paraId="5ECB9E84" w14:textId="554BBDC4" w:rsidR="004B7DBA" w:rsidRPr="004B5630" w:rsidRDefault="004B7DBA" w:rsidP="00874259">
      <w:pPr>
        <w:tabs>
          <w:tab w:val="left" w:pos="142"/>
          <w:tab w:val="left" w:pos="426"/>
        </w:tabs>
        <w:spacing w:after="0" w:line="240" w:lineRule="auto"/>
        <w:ind w:left="425" w:right="57" w:hanging="425"/>
        <w:jc w:val="both"/>
        <w:rPr>
          <w:color w:val="FF0000"/>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Cabe referir que alguns membros do CRL têm questionado a falta de inclusão desta informação. Conforme se refere no texto, subsiste um problema de recolha sistemática e em termos estritamente objetivos dos elementos necessários, que obsta à sua consideração no Relatório, atenta a metodologia e critérios assentes desde o Relatório de 2015. </w:t>
      </w:r>
    </w:p>
  </w:footnote>
  <w:footnote w:id="745">
    <w:p w14:paraId="448D1C06" w14:textId="180064C7" w:rsidR="004B7DBA" w:rsidRPr="004B5630" w:rsidRDefault="004B7DBA" w:rsidP="00874259">
      <w:pPr>
        <w:tabs>
          <w:tab w:val="left" w:pos="142"/>
          <w:tab w:val="left" w:pos="426"/>
        </w:tabs>
        <w:spacing w:after="0" w:line="240" w:lineRule="auto"/>
        <w:ind w:left="425" w:right="57" w:hanging="425"/>
        <w:jc w:val="both"/>
        <w:rPr>
          <w:rFonts w:cs="Garamond"/>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Consultar a LTFP </w:t>
      </w:r>
      <w:r w:rsidRPr="004B5630">
        <w:rPr>
          <w:rFonts w:eastAsia="Times New Roman"/>
          <w:sz w:val="18"/>
          <w:szCs w:val="18"/>
          <w:lang w:eastAsia="pt-PT"/>
        </w:rPr>
        <w:t>a propósito: da articulação entre as diferentes modalidades de acordos coletivos (art. 14.º); dos sujeitos com legitimidade para celebrar convenções (arts. 27.º, 349.º e 364.º); sobre âmbito de aplicação pessoal dos IRCT (art. 370.º); e, ainda, quanto ao conteúdo das convenções, redução do período experimental (art. 51.º, n.º 1); deveres do trabalhador (art. 73.º, n. º1); obrigatoriedade de elaboração de regulamentos internos (art.75.º, n.º 4); redução do período normal de trabalho (art. 105.º, n.º 3); isenção de horário de trabalho (arts. 117.º, 118.º e 164.º); trabalho suplementar (arts. 120.º e 162.º); duração das férias (art. 126.º); faltas ao trabalho (art. 134.º); crédito de horas de dirigentes sindicais (art. 345.º); articulação subsidiária do CT (art.4.º), assim como outras matérias admitidas à negociação coletiva (artigo 355.º).</w:t>
      </w:r>
      <w:r w:rsidRPr="004B5630">
        <w:rPr>
          <w:rFonts w:cs="Garamond"/>
          <w:sz w:val="18"/>
          <w:szCs w:val="18"/>
        </w:rPr>
        <w:t xml:space="preserve">  </w:t>
      </w:r>
    </w:p>
  </w:footnote>
  <w:footnote w:id="746">
    <w:p w14:paraId="7478E57F" w14:textId="77777777" w:rsidR="004B7DBA" w:rsidRPr="004B5630" w:rsidRDefault="004B7DBA" w:rsidP="00874259">
      <w:pPr>
        <w:pStyle w:val="Textodenotaderodap"/>
        <w:tabs>
          <w:tab w:val="left" w:pos="142"/>
          <w:tab w:val="left" w:pos="426"/>
        </w:tabs>
        <w:ind w:left="425" w:right="57"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r>
      <w:r w:rsidRPr="004B5630">
        <w:rPr>
          <w:bCs/>
          <w:sz w:val="18"/>
          <w:szCs w:val="18"/>
        </w:rPr>
        <w:t xml:space="preserve">Relatórios sobre a Evolução da Negociação Coletiva em 2015, págs. </w:t>
      </w:r>
      <w:r w:rsidRPr="004B5630">
        <w:rPr>
          <w:sz w:val="18"/>
          <w:szCs w:val="18"/>
        </w:rPr>
        <w:t>116 – 120</w:t>
      </w:r>
      <w:r w:rsidRPr="004B5630">
        <w:rPr>
          <w:bCs/>
          <w:sz w:val="18"/>
          <w:szCs w:val="18"/>
        </w:rPr>
        <w:t xml:space="preserve"> e em 2016, págs.</w:t>
      </w:r>
      <w:r w:rsidRPr="004B5630">
        <w:rPr>
          <w:sz w:val="18"/>
          <w:szCs w:val="18"/>
        </w:rPr>
        <w:t xml:space="preserve"> 152 – 155.</w:t>
      </w:r>
    </w:p>
  </w:footnote>
  <w:footnote w:id="747">
    <w:p w14:paraId="5D0938BD" w14:textId="77777777" w:rsidR="004B7DBA" w:rsidRPr="004B5630" w:rsidRDefault="004B7DBA" w:rsidP="00874259">
      <w:pPr>
        <w:pStyle w:val="NotaRodap"/>
        <w:tabs>
          <w:tab w:val="clear" w:pos="284"/>
          <w:tab w:val="left" w:pos="426"/>
        </w:tabs>
        <w:ind w:left="425" w:hanging="425"/>
        <w:rPr>
          <w:rFonts w:asciiTheme="minorHAnsi" w:hAnsiTheme="minorHAnsi"/>
          <w:szCs w:val="18"/>
        </w:rPr>
      </w:pPr>
      <w:r w:rsidRPr="004B5630">
        <w:rPr>
          <w:rStyle w:val="Refdenotaderodap"/>
          <w:rFonts w:asciiTheme="minorHAnsi" w:hAnsiTheme="minorHAnsi"/>
          <w:szCs w:val="18"/>
        </w:rPr>
        <w:footnoteRef/>
      </w:r>
      <w:r w:rsidRPr="004B5630">
        <w:rPr>
          <w:rFonts w:asciiTheme="minorHAnsi" w:hAnsiTheme="minorHAnsi"/>
          <w:szCs w:val="18"/>
          <w:vertAlign w:val="superscript"/>
        </w:rPr>
        <w:t xml:space="preserve"> </w:t>
      </w:r>
      <w:r w:rsidRPr="004B5630">
        <w:rPr>
          <w:rFonts w:asciiTheme="minorHAnsi" w:hAnsiTheme="minorHAnsi"/>
          <w:szCs w:val="18"/>
        </w:rPr>
        <w:tab/>
        <w:t xml:space="preserve">A Lei n.º 12-A/2008, de 27 de fevereiro, estabeleceu os regimes de vínculos, carreiras e remunerações dos trabalhadores que exercem funções públicas (LVCR).    </w:t>
      </w:r>
    </w:p>
  </w:footnote>
  <w:footnote w:id="748">
    <w:p w14:paraId="45D29163" w14:textId="77777777" w:rsidR="004B7DBA" w:rsidRPr="004B5630" w:rsidRDefault="004B7DBA" w:rsidP="00874259">
      <w:pPr>
        <w:pStyle w:val="Textodenotaderodap"/>
        <w:tabs>
          <w:tab w:val="left" w:pos="426"/>
        </w:tabs>
        <w:ind w:left="425" w:hanging="425"/>
        <w:rPr>
          <w:rFonts w:cstheme="minorHAnsi"/>
          <w:sz w:val="18"/>
          <w:szCs w:val="18"/>
        </w:rPr>
      </w:pPr>
      <w:r w:rsidRPr="004B5630">
        <w:rPr>
          <w:rStyle w:val="Refdenotaderodap"/>
          <w:sz w:val="18"/>
          <w:szCs w:val="18"/>
        </w:rPr>
        <w:footnoteRef/>
      </w:r>
      <w:r w:rsidRPr="004B5630">
        <w:rPr>
          <w:sz w:val="18"/>
          <w:szCs w:val="18"/>
        </w:rPr>
        <w:t xml:space="preserve"> </w:t>
      </w:r>
      <w:r w:rsidRPr="004B5630">
        <w:rPr>
          <w:sz w:val="18"/>
          <w:szCs w:val="18"/>
        </w:rPr>
        <w:tab/>
        <w:t>O art. 13.º, LTFP, considera instrumentos de regulamentação coletiva de trabalho aplicáveis no âmbito do contrato de trabalho em funções públicas: o acordo coletivo de trabalho (</w:t>
      </w:r>
      <w:r w:rsidRPr="004B5630">
        <w:rPr>
          <w:b/>
          <w:sz w:val="18"/>
          <w:szCs w:val="18"/>
        </w:rPr>
        <w:t>ACT</w:t>
      </w:r>
      <w:r w:rsidRPr="004B5630">
        <w:rPr>
          <w:sz w:val="18"/>
          <w:szCs w:val="18"/>
        </w:rPr>
        <w:t>) – nas modalidades de</w:t>
      </w:r>
      <w:r w:rsidRPr="004B5630">
        <w:rPr>
          <w:rFonts w:cstheme="minorHAnsi"/>
          <w:sz w:val="18"/>
          <w:szCs w:val="18"/>
        </w:rPr>
        <w:t xml:space="preserve"> acordo coletivo de carreira (</w:t>
      </w:r>
      <w:r w:rsidRPr="004B5630">
        <w:rPr>
          <w:rFonts w:cstheme="minorHAnsi"/>
          <w:b/>
          <w:sz w:val="18"/>
          <w:szCs w:val="18"/>
        </w:rPr>
        <w:t>ACC</w:t>
      </w:r>
      <w:r w:rsidRPr="004B5630">
        <w:rPr>
          <w:rFonts w:cstheme="minorHAnsi"/>
          <w:sz w:val="18"/>
          <w:szCs w:val="18"/>
        </w:rPr>
        <w:t>) e de acordo coletivo de empregador público (</w:t>
      </w:r>
      <w:r w:rsidRPr="004B5630">
        <w:rPr>
          <w:rFonts w:cstheme="minorHAnsi"/>
          <w:b/>
          <w:sz w:val="18"/>
          <w:szCs w:val="18"/>
        </w:rPr>
        <w:t>ACEP</w:t>
      </w:r>
      <w:r w:rsidRPr="004B5630">
        <w:rPr>
          <w:rFonts w:cstheme="minorHAnsi"/>
          <w:sz w:val="18"/>
          <w:szCs w:val="18"/>
        </w:rPr>
        <w:t xml:space="preserve">) </w:t>
      </w:r>
      <w:r w:rsidRPr="004B5630">
        <w:rPr>
          <w:sz w:val="18"/>
          <w:szCs w:val="18"/>
        </w:rPr>
        <w:t>–</w:t>
      </w:r>
      <w:r w:rsidRPr="004B5630">
        <w:rPr>
          <w:rFonts w:cstheme="minorHAnsi"/>
          <w:sz w:val="18"/>
          <w:szCs w:val="18"/>
        </w:rPr>
        <w:t xml:space="preserve"> </w:t>
      </w:r>
      <w:r w:rsidRPr="004B5630">
        <w:rPr>
          <w:sz w:val="18"/>
          <w:szCs w:val="18"/>
        </w:rPr>
        <w:t xml:space="preserve">o acordo de adesão (AA) e a decisão de arbitragem voluntária, de natureza convencional, bem como a decisão de arbitragem necessária, de caráter não convencional. </w:t>
      </w:r>
      <w:r w:rsidRPr="004B5630">
        <w:rPr>
          <w:rFonts w:cstheme="minorHAnsi"/>
          <w:sz w:val="18"/>
          <w:szCs w:val="18"/>
        </w:rPr>
        <w:t xml:space="preserve">Não prevê regulamentos de extensão.  </w:t>
      </w:r>
    </w:p>
  </w:footnote>
  <w:footnote w:id="749">
    <w:p w14:paraId="3A205DEE" w14:textId="3247ED13" w:rsidR="004B7DBA" w:rsidRPr="004B5630" w:rsidRDefault="004B7DBA" w:rsidP="00874259">
      <w:pPr>
        <w:tabs>
          <w:tab w:val="left" w:pos="426"/>
        </w:tabs>
        <w:autoSpaceDE w:val="0"/>
        <w:autoSpaceDN w:val="0"/>
        <w:adjustRightInd w:val="0"/>
        <w:spacing w:after="0" w:line="240" w:lineRule="auto"/>
        <w:ind w:left="425" w:hanging="425"/>
        <w:jc w:val="both"/>
        <w:rPr>
          <w:rFonts w:eastAsia="Times New Roman" w:cstheme="minorHAnsi"/>
          <w:sz w:val="18"/>
          <w:szCs w:val="18"/>
          <w:lang w:eastAsia="pt-PT"/>
        </w:rPr>
      </w:pPr>
      <w:r w:rsidRPr="004B5630">
        <w:rPr>
          <w:rStyle w:val="Refdenotaderodap"/>
          <w:rFonts w:cs="Times New Roman"/>
          <w:sz w:val="18"/>
          <w:szCs w:val="18"/>
        </w:rPr>
        <w:footnoteRef/>
      </w:r>
      <w:r w:rsidRPr="004B5630">
        <w:rPr>
          <w:rFonts w:eastAsia="Times New Roman" w:cstheme="minorHAnsi"/>
          <w:sz w:val="18"/>
          <w:szCs w:val="18"/>
          <w:lang w:eastAsia="pt-PT"/>
        </w:rPr>
        <w:t xml:space="preserve"> </w:t>
      </w:r>
      <w:r w:rsidRPr="004B5630">
        <w:rPr>
          <w:rFonts w:eastAsia="Times New Roman" w:cstheme="minorHAnsi"/>
          <w:sz w:val="18"/>
          <w:szCs w:val="18"/>
          <w:lang w:eastAsia="pt-PT"/>
        </w:rPr>
        <w:tab/>
        <w:t>Em  2019 foram  publicados os seguintes Acordos Coletivos de Carreira (ACC).</w:t>
      </w:r>
    </w:p>
    <w:p w14:paraId="06C03A92" w14:textId="77777777" w:rsidR="004B7DBA" w:rsidRPr="004B5630" w:rsidRDefault="004B7DBA" w:rsidP="00A95C56">
      <w:pPr>
        <w:pStyle w:val="PargrafodaLista"/>
        <w:numPr>
          <w:ilvl w:val="0"/>
          <w:numId w:val="22"/>
        </w:numPr>
        <w:tabs>
          <w:tab w:val="left" w:pos="567"/>
        </w:tabs>
        <w:autoSpaceDE w:val="0"/>
        <w:autoSpaceDN w:val="0"/>
        <w:adjustRightInd w:val="0"/>
        <w:spacing w:after="0" w:line="240" w:lineRule="auto"/>
        <w:ind w:left="425" w:hanging="425"/>
        <w:contextualSpacing w:val="0"/>
        <w:jc w:val="both"/>
        <w:rPr>
          <w:rFonts w:eastAsia="Times New Roman" w:cstheme="minorHAnsi"/>
          <w:sz w:val="18"/>
          <w:szCs w:val="18"/>
          <w:lang w:eastAsia="pt-PT"/>
        </w:rPr>
      </w:pPr>
      <w:r w:rsidRPr="004B5630">
        <w:rPr>
          <w:rFonts w:eastAsia="Times New Roman" w:cstheme="minorHAnsi"/>
          <w:sz w:val="18"/>
          <w:szCs w:val="18"/>
          <w:lang w:eastAsia="pt-PT"/>
        </w:rPr>
        <w:t>ACT n.º 53/2019, AC da Carreira Especial Farmacêutica entre SNF / SINTAP e STE - DR 2ª série,J3,n.º75, 16-4-2019</w:t>
      </w:r>
    </w:p>
    <w:p w14:paraId="1793B4FB" w14:textId="35AE71DF" w:rsidR="004B7DBA" w:rsidRPr="004B5630" w:rsidRDefault="004B7DBA" w:rsidP="00A95C56">
      <w:pPr>
        <w:pStyle w:val="PargrafodaLista"/>
        <w:numPr>
          <w:ilvl w:val="0"/>
          <w:numId w:val="22"/>
        </w:numPr>
        <w:tabs>
          <w:tab w:val="left" w:pos="567"/>
        </w:tabs>
        <w:autoSpaceDE w:val="0"/>
        <w:autoSpaceDN w:val="0"/>
        <w:adjustRightInd w:val="0"/>
        <w:spacing w:after="0" w:line="240" w:lineRule="auto"/>
        <w:ind w:left="425" w:hanging="425"/>
        <w:contextualSpacing w:val="0"/>
        <w:jc w:val="both"/>
        <w:rPr>
          <w:rFonts w:eastAsia="Times New Roman" w:cstheme="minorHAnsi"/>
          <w:sz w:val="18"/>
          <w:szCs w:val="18"/>
          <w:lang w:eastAsia="pt-PT"/>
        </w:rPr>
      </w:pPr>
      <w:r w:rsidRPr="004B5630">
        <w:rPr>
          <w:rFonts w:eastAsia="Times New Roman" w:cstheme="minorHAnsi"/>
          <w:sz w:val="18"/>
          <w:szCs w:val="18"/>
          <w:lang w:eastAsia="pt-PT"/>
        </w:rPr>
        <w:t>ACT n.º 93/2019, AC da Carreira Especial de Técnico Superior das Áreas de Diagnóstico e Terapêutica entre Governo/STSS, SINDITE, SINTAP e  SFP - DR 2ª série,J3, n.º123, 1-7-2019.</w:t>
      </w:r>
    </w:p>
  </w:footnote>
  <w:footnote w:id="750">
    <w:p w14:paraId="4E439369" w14:textId="3482FC70" w:rsidR="004B7DBA" w:rsidRPr="004B5630" w:rsidRDefault="004B7DBA" w:rsidP="00874259">
      <w:pPr>
        <w:tabs>
          <w:tab w:val="left" w:pos="426"/>
        </w:tabs>
        <w:autoSpaceDE w:val="0"/>
        <w:autoSpaceDN w:val="0"/>
        <w:adjustRightInd w:val="0"/>
        <w:spacing w:after="0" w:line="240" w:lineRule="auto"/>
        <w:ind w:left="425" w:hanging="425"/>
        <w:jc w:val="both"/>
        <w:rPr>
          <w:rFonts w:eastAsia="Times New Roman"/>
          <w:sz w:val="18"/>
          <w:szCs w:val="18"/>
          <w:lang w:eastAsia="pt-PT"/>
        </w:rPr>
      </w:pPr>
      <w:r w:rsidRPr="004B5630">
        <w:rPr>
          <w:rStyle w:val="Refdenotaderodap"/>
          <w:sz w:val="18"/>
          <w:szCs w:val="18"/>
        </w:rPr>
        <w:footnoteRef/>
      </w:r>
      <w:r w:rsidRPr="004B5630">
        <w:rPr>
          <w:bCs/>
          <w:sz w:val="18"/>
          <w:szCs w:val="18"/>
          <w:vertAlign w:val="superscript"/>
        </w:rPr>
        <w:t xml:space="preserve"> </w:t>
      </w:r>
      <w:r w:rsidRPr="004B5630">
        <w:rPr>
          <w:bCs/>
          <w:sz w:val="18"/>
          <w:szCs w:val="18"/>
        </w:rPr>
        <w:tab/>
        <w:t>Cfr. Relatório sobre a Evolução da Negociação Coletiva em 2016, pág.</w:t>
      </w:r>
      <w:r w:rsidRPr="004B5630">
        <w:rPr>
          <w:sz w:val="18"/>
          <w:szCs w:val="18"/>
        </w:rPr>
        <w:t xml:space="preserve"> 152 – 155.  </w:t>
      </w:r>
    </w:p>
  </w:footnote>
  <w:footnote w:id="751">
    <w:p w14:paraId="72E75087" w14:textId="7863E098" w:rsidR="004B7DBA" w:rsidRPr="004B5630" w:rsidRDefault="004B7DBA" w:rsidP="00874259">
      <w:pPr>
        <w:pStyle w:val="Textodecomentrio"/>
        <w:ind w:left="425" w:hanging="425"/>
        <w:jc w:val="both"/>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 xml:space="preserve">A Lei 68/2013, de 29 de agosto  estabelecia a duração do PNT semanal de   40h para os trabalhadores em funções públicas, </w:t>
      </w:r>
    </w:p>
  </w:footnote>
  <w:footnote w:id="752">
    <w:p w14:paraId="117B1351" w14:textId="77777777" w:rsidR="004B7DBA" w:rsidRPr="004B5630" w:rsidRDefault="004B7DBA" w:rsidP="00874259">
      <w:pPr>
        <w:pStyle w:val="Textodenotaderodap"/>
        <w:tabs>
          <w:tab w:val="left" w:pos="426"/>
        </w:tabs>
        <w:ind w:left="425" w:hanging="425"/>
        <w:rPr>
          <w:sz w:val="18"/>
          <w:szCs w:val="18"/>
        </w:rPr>
      </w:pPr>
      <w:r w:rsidRPr="004B5630">
        <w:rPr>
          <w:rStyle w:val="Refdenotaderodap"/>
          <w:sz w:val="18"/>
          <w:szCs w:val="18"/>
        </w:rPr>
        <w:footnoteRef/>
      </w:r>
      <w:r w:rsidRPr="004B5630">
        <w:rPr>
          <w:bCs/>
          <w:sz w:val="18"/>
          <w:szCs w:val="18"/>
        </w:rPr>
        <w:t xml:space="preserve"> </w:t>
      </w:r>
      <w:r w:rsidRPr="004B5630">
        <w:rPr>
          <w:bCs/>
          <w:sz w:val="18"/>
          <w:szCs w:val="18"/>
        </w:rPr>
        <w:tab/>
        <w:t xml:space="preserve">Acórdãos do Tribunal Constitucional n.º 794/2013, 21 de novembro (DR, II série, de 18-12-2013) e n.º 494/2015, de 7 de outubro (DR, I, em 22 de outubro de 2015), consultar, para a adequada contextualização, os Relatórios sobre a Evolução da Negociação Coletiva em 2015, págs. </w:t>
      </w:r>
      <w:r w:rsidRPr="004B5630">
        <w:rPr>
          <w:sz w:val="18"/>
          <w:szCs w:val="18"/>
        </w:rPr>
        <w:t>116 – 120</w:t>
      </w:r>
      <w:r w:rsidRPr="004B5630">
        <w:rPr>
          <w:bCs/>
          <w:sz w:val="18"/>
          <w:szCs w:val="18"/>
        </w:rPr>
        <w:t>, e em 2016, págs.</w:t>
      </w:r>
      <w:r w:rsidRPr="004B5630">
        <w:rPr>
          <w:sz w:val="18"/>
          <w:szCs w:val="18"/>
        </w:rPr>
        <w:t xml:space="preserve"> 152 – 155.</w:t>
      </w:r>
    </w:p>
  </w:footnote>
  <w:footnote w:id="753">
    <w:p w14:paraId="7A0A9F46" w14:textId="26824136" w:rsidR="004B7DBA" w:rsidRPr="004B5630" w:rsidRDefault="004B7DBA" w:rsidP="009E067A">
      <w:pPr>
        <w:pStyle w:val="Textodenotaderodap"/>
        <w:ind w:left="425" w:hanging="425"/>
        <w:rPr>
          <w:sz w:val="18"/>
          <w:szCs w:val="18"/>
        </w:rPr>
      </w:pPr>
      <w:r w:rsidRPr="004B5630">
        <w:rPr>
          <w:rStyle w:val="Refdenotaderodap"/>
        </w:rPr>
        <w:footnoteRef/>
      </w:r>
      <w:r w:rsidRPr="004B5630">
        <w:t xml:space="preserve"> </w:t>
      </w:r>
      <w:r w:rsidRPr="004B5630">
        <w:tab/>
      </w:r>
      <w:r w:rsidRPr="004B5630">
        <w:rPr>
          <w:sz w:val="18"/>
          <w:szCs w:val="18"/>
        </w:rPr>
        <w:t>E também decorrente da entrada em vigor da Lei n.º 18/2016, de 20 de junho, que estabelece as 35 horas como período normal de trabalho dos trabalhadores em funções públicas.</w:t>
      </w:r>
    </w:p>
  </w:footnote>
  <w:footnote w:id="754">
    <w:p w14:paraId="7D6AA9CD" w14:textId="44D5B254" w:rsidR="004B7DBA" w:rsidRPr="004B5630" w:rsidRDefault="004B7DBA" w:rsidP="009E067A">
      <w:pPr>
        <w:pStyle w:val="Textodenotaderodap"/>
        <w:ind w:left="425" w:hanging="425"/>
        <w:rPr>
          <w:sz w:val="18"/>
          <w:szCs w:val="18"/>
        </w:rPr>
      </w:pPr>
      <w:r w:rsidRPr="004B5630">
        <w:rPr>
          <w:rStyle w:val="Refdenotaderodap"/>
          <w:sz w:val="18"/>
          <w:szCs w:val="18"/>
        </w:rPr>
        <w:footnoteRef/>
      </w:r>
      <w:r w:rsidRPr="004B5630">
        <w:rPr>
          <w:sz w:val="18"/>
          <w:szCs w:val="18"/>
        </w:rPr>
        <w:t xml:space="preserve"> </w:t>
      </w:r>
      <w:r w:rsidRPr="004B5630">
        <w:rPr>
          <w:sz w:val="18"/>
          <w:szCs w:val="18"/>
        </w:rPr>
        <w:tab/>
        <w:t>Após a publicação da LTFP, a redução dos limites máximos do PNT, por IRCT, encontra-se habilitada pelo n.º 3 do artigo 105.º da LTFP (nomeadamente por ACEP, ver 14.º/2).</w:t>
      </w:r>
    </w:p>
  </w:footnote>
  <w:footnote w:id="755">
    <w:p w14:paraId="39A0BAAE" w14:textId="0E7F04FF" w:rsidR="004B7DBA" w:rsidRPr="004B5630" w:rsidRDefault="004B7DBA" w:rsidP="002D3EBB">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ab/>
        <w:t xml:space="preserve">Por exemplo: ACT n.º 94/2019 (DR 2ª série, J3, n. º125), 3-7-2019; ACT n.º 95/2019 (DR 2ª série, J3,n.º125), 3-7-2019.  </w:t>
      </w:r>
    </w:p>
  </w:footnote>
  <w:footnote w:id="756">
    <w:p w14:paraId="66267E26" w14:textId="3652EB40" w:rsidR="004B7DBA" w:rsidRPr="002D3EBB" w:rsidRDefault="004B7DBA" w:rsidP="002D3EBB">
      <w:pPr>
        <w:pStyle w:val="Textodenotaderodap"/>
        <w:tabs>
          <w:tab w:val="left" w:pos="426"/>
        </w:tabs>
        <w:ind w:left="425" w:hanging="425"/>
        <w:rPr>
          <w:sz w:val="18"/>
          <w:szCs w:val="18"/>
        </w:rPr>
      </w:pPr>
      <w:r w:rsidRPr="004B5630">
        <w:rPr>
          <w:rStyle w:val="Refdenotaderodap"/>
          <w:sz w:val="18"/>
          <w:szCs w:val="18"/>
        </w:rPr>
        <w:footnoteRef/>
      </w:r>
      <w:r w:rsidRPr="004B5630">
        <w:rPr>
          <w:sz w:val="18"/>
          <w:szCs w:val="18"/>
          <w:vertAlign w:val="superscript"/>
        </w:rPr>
        <w:t xml:space="preserve"> </w:t>
      </w:r>
      <w:r w:rsidRPr="004B5630">
        <w:rPr>
          <w:sz w:val="18"/>
          <w:szCs w:val="18"/>
        </w:rPr>
        <w:t xml:space="preserve"> </w:t>
      </w:r>
      <w:r w:rsidRPr="004B5630">
        <w:rPr>
          <w:sz w:val="18"/>
          <w:szCs w:val="18"/>
        </w:rPr>
        <w:tab/>
        <w:t>Por exemplo: ACT n.º 65/2019 (DR 2ª série, J3, n. º96), 16-5-2019.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4B170E" w14:textId="77777777" w:rsidR="004B7DBA" w:rsidRDefault="004B7DBA" w:rsidP="00B31279">
    <w:pPr>
      <w:tabs>
        <w:tab w:val="left" w:pos="2141"/>
      </w:tabs>
    </w:pPr>
    <w:r w:rsidRPr="000E5309">
      <w:rPr>
        <w:noProof/>
        <w:lang w:eastAsia="pt-PT"/>
      </w:rPr>
      <w:drawing>
        <wp:anchor distT="0" distB="0" distL="114300" distR="114300" simplePos="0" relativeHeight="251657728" behindDoc="0" locked="0" layoutInCell="1" allowOverlap="1" wp14:anchorId="3D9E15C9" wp14:editId="74B688FF">
          <wp:simplePos x="0" y="0"/>
          <wp:positionH relativeFrom="column">
            <wp:posOffset>-670892</wp:posOffset>
          </wp:positionH>
          <wp:positionV relativeFrom="paragraph">
            <wp:posOffset>-179816</wp:posOffset>
          </wp:positionV>
          <wp:extent cx="1872615" cy="486410"/>
          <wp:effectExtent l="0" t="0" r="0" b="0"/>
          <wp:wrapNone/>
          <wp:docPr id="1169" name="Imagem 96" descr="Z:\5 ESTRATÉGIA DE COMUNICAÇÃO DO CRL\5_5 Imagem (Originais)\CRL_Logo_Pasta\VERSÃO HORIZONTAL\RGB\CRL_RGB_horizontal_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96" descr="Z:\5 ESTRATÉGIA DE COMUNICAÇÃO DO CRL\5_5 Imagem (Originais)\CRL_Logo_Pasta\VERSÃO HORIZONTAL\RGB\CRL_RGB_horizontal_af.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872615" cy="486410"/>
                  </a:xfrm>
                  <a:prstGeom prst="rect">
                    <a:avLst/>
                  </a:prstGeom>
                </pic:spPr>
              </pic:pic>
            </a:graphicData>
          </a:graphic>
        </wp:anchor>
      </w:drawing>
    </w:r>
    <w:r>
      <w:tab/>
    </w:r>
  </w:p>
  <w:p w14:paraId="66C01A4C" w14:textId="77777777" w:rsidR="004B7DBA" w:rsidRDefault="004B7DBA" w:rsidP="00B31279">
    <w:pPr>
      <w:tabs>
        <w:tab w:val="left" w:pos="2141"/>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64F67"/>
    <w:multiLevelType w:val="multilevel"/>
    <w:tmpl w:val="B19E6A4A"/>
    <w:lvl w:ilvl="0">
      <w:start w:val="1"/>
      <w:numFmt w:val="upperRoman"/>
      <w:lvlText w:val="%1."/>
      <w:lvlJc w:val="left"/>
      <w:pPr>
        <w:ind w:left="1429" w:hanging="720"/>
      </w:pPr>
      <w:rPr>
        <w:rFonts w:hint="default"/>
      </w:rPr>
    </w:lvl>
    <w:lvl w:ilvl="1">
      <w:start w:val="1"/>
      <w:numFmt w:val="decimal"/>
      <w:isLgl/>
      <w:lvlText w:val="%1.%2"/>
      <w:lvlJc w:val="left"/>
      <w:pPr>
        <w:ind w:left="1980" w:hanging="420"/>
      </w:pPr>
      <w:rPr>
        <w:rFonts w:hint="default"/>
      </w:rPr>
    </w:lvl>
    <w:lvl w:ilvl="2">
      <w:start w:val="1"/>
      <w:numFmt w:val="decimal"/>
      <w:isLgl/>
      <w:lvlText w:val="%1.%2.%3"/>
      <w:lvlJc w:val="left"/>
      <w:pPr>
        <w:ind w:left="2847"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4617" w:hanging="1080"/>
      </w:pPr>
      <w:rPr>
        <w:rFonts w:hint="default"/>
      </w:rPr>
    </w:lvl>
    <w:lvl w:ilvl="5">
      <w:start w:val="1"/>
      <w:numFmt w:val="decimal"/>
      <w:isLgl/>
      <w:lvlText w:val="%1.%2.%3.%4.%5.%6"/>
      <w:lvlJc w:val="left"/>
      <w:pPr>
        <w:ind w:left="5684" w:hanging="1440"/>
      </w:pPr>
      <w:rPr>
        <w:rFonts w:hint="default"/>
      </w:rPr>
    </w:lvl>
    <w:lvl w:ilvl="6">
      <w:start w:val="1"/>
      <w:numFmt w:val="decimal"/>
      <w:isLgl/>
      <w:lvlText w:val="%1.%2.%3.%4.%5.%6.%7"/>
      <w:lvlJc w:val="left"/>
      <w:pPr>
        <w:ind w:left="6391" w:hanging="1440"/>
      </w:pPr>
      <w:rPr>
        <w:rFonts w:hint="default"/>
      </w:rPr>
    </w:lvl>
    <w:lvl w:ilvl="7">
      <w:start w:val="1"/>
      <w:numFmt w:val="decimal"/>
      <w:isLgl/>
      <w:lvlText w:val="%1.%2.%3.%4.%5.%6.%7.%8"/>
      <w:lvlJc w:val="left"/>
      <w:pPr>
        <w:ind w:left="7458" w:hanging="1800"/>
      </w:pPr>
      <w:rPr>
        <w:rFonts w:hint="default"/>
      </w:rPr>
    </w:lvl>
    <w:lvl w:ilvl="8">
      <w:start w:val="1"/>
      <w:numFmt w:val="decimal"/>
      <w:isLgl/>
      <w:lvlText w:val="%1.%2.%3.%4.%5.%6.%7.%8.%9"/>
      <w:lvlJc w:val="left"/>
      <w:pPr>
        <w:ind w:left="8165" w:hanging="1800"/>
      </w:pPr>
      <w:rPr>
        <w:rFonts w:hint="default"/>
      </w:rPr>
    </w:lvl>
  </w:abstractNum>
  <w:abstractNum w:abstractNumId="1">
    <w:nsid w:val="01386FD0"/>
    <w:multiLevelType w:val="hybridMultilevel"/>
    <w:tmpl w:val="B81A5946"/>
    <w:lvl w:ilvl="0" w:tplc="08160001">
      <w:start w:val="1"/>
      <w:numFmt w:val="bullet"/>
      <w:lvlText w:val=""/>
      <w:lvlJc w:val="left"/>
      <w:pPr>
        <w:ind w:left="1713" w:hanging="360"/>
      </w:pPr>
      <w:rPr>
        <w:rFonts w:ascii="Symbol" w:hAnsi="Symbol" w:hint="default"/>
      </w:rPr>
    </w:lvl>
    <w:lvl w:ilvl="1" w:tplc="08160003" w:tentative="1">
      <w:start w:val="1"/>
      <w:numFmt w:val="bullet"/>
      <w:lvlText w:val="o"/>
      <w:lvlJc w:val="left"/>
      <w:pPr>
        <w:ind w:left="2433" w:hanging="360"/>
      </w:pPr>
      <w:rPr>
        <w:rFonts w:ascii="Courier New" w:hAnsi="Courier New" w:cs="Courier New" w:hint="default"/>
      </w:rPr>
    </w:lvl>
    <w:lvl w:ilvl="2" w:tplc="08160005" w:tentative="1">
      <w:start w:val="1"/>
      <w:numFmt w:val="bullet"/>
      <w:lvlText w:val=""/>
      <w:lvlJc w:val="left"/>
      <w:pPr>
        <w:ind w:left="3153" w:hanging="360"/>
      </w:pPr>
      <w:rPr>
        <w:rFonts w:ascii="Wingdings" w:hAnsi="Wingdings" w:hint="default"/>
      </w:rPr>
    </w:lvl>
    <w:lvl w:ilvl="3" w:tplc="08160001" w:tentative="1">
      <w:start w:val="1"/>
      <w:numFmt w:val="bullet"/>
      <w:lvlText w:val=""/>
      <w:lvlJc w:val="left"/>
      <w:pPr>
        <w:ind w:left="3873" w:hanging="360"/>
      </w:pPr>
      <w:rPr>
        <w:rFonts w:ascii="Symbol" w:hAnsi="Symbol" w:hint="default"/>
      </w:rPr>
    </w:lvl>
    <w:lvl w:ilvl="4" w:tplc="08160003" w:tentative="1">
      <w:start w:val="1"/>
      <w:numFmt w:val="bullet"/>
      <w:lvlText w:val="o"/>
      <w:lvlJc w:val="left"/>
      <w:pPr>
        <w:ind w:left="4593" w:hanging="360"/>
      </w:pPr>
      <w:rPr>
        <w:rFonts w:ascii="Courier New" w:hAnsi="Courier New" w:cs="Courier New" w:hint="default"/>
      </w:rPr>
    </w:lvl>
    <w:lvl w:ilvl="5" w:tplc="08160005" w:tentative="1">
      <w:start w:val="1"/>
      <w:numFmt w:val="bullet"/>
      <w:lvlText w:val=""/>
      <w:lvlJc w:val="left"/>
      <w:pPr>
        <w:ind w:left="5313" w:hanging="360"/>
      </w:pPr>
      <w:rPr>
        <w:rFonts w:ascii="Wingdings" w:hAnsi="Wingdings" w:hint="default"/>
      </w:rPr>
    </w:lvl>
    <w:lvl w:ilvl="6" w:tplc="08160001" w:tentative="1">
      <w:start w:val="1"/>
      <w:numFmt w:val="bullet"/>
      <w:lvlText w:val=""/>
      <w:lvlJc w:val="left"/>
      <w:pPr>
        <w:ind w:left="6033" w:hanging="360"/>
      </w:pPr>
      <w:rPr>
        <w:rFonts w:ascii="Symbol" w:hAnsi="Symbol" w:hint="default"/>
      </w:rPr>
    </w:lvl>
    <w:lvl w:ilvl="7" w:tplc="08160003" w:tentative="1">
      <w:start w:val="1"/>
      <w:numFmt w:val="bullet"/>
      <w:lvlText w:val="o"/>
      <w:lvlJc w:val="left"/>
      <w:pPr>
        <w:ind w:left="6753" w:hanging="360"/>
      </w:pPr>
      <w:rPr>
        <w:rFonts w:ascii="Courier New" w:hAnsi="Courier New" w:cs="Courier New" w:hint="default"/>
      </w:rPr>
    </w:lvl>
    <w:lvl w:ilvl="8" w:tplc="08160005" w:tentative="1">
      <w:start w:val="1"/>
      <w:numFmt w:val="bullet"/>
      <w:lvlText w:val=""/>
      <w:lvlJc w:val="left"/>
      <w:pPr>
        <w:ind w:left="7473" w:hanging="360"/>
      </w:pPr>
      <w:rPr>
        <w:rFonts w:ascii="Wingdings" w:hAnsi="Wingdings" w:hint="default"/>
      </w:rPr>
    </w:lvl>
  </w:abstractNum>
  <w:abstractNum w:abstractNumId="2">
    <w:nsid w:val="01E71DC1"/>
    <w:multiLevelType w:val="hybridMultilevel"/>
    <w:tmpl w:val="2286F27E"/>
    <w:lvl w:ilvl="0" w:tplc="24702D96">
      <w:start w:val="1"/>
      <w:numFmt w:val="upperRoman"/>
      <w:lvlText w:val="%1."/>
      <w:lvlJc w:val="left"/>
      <w:pPr>
        <w:ind w:left="1281" w:hanging="855"/>
      </w:pPr>
      <w:rPr>
        <w:rFonts w:hint="default"/>
        <w:b/>
      </w:rPr>
    </w:lvl>
    <w:lvl w:ilvl="1" w:tplc="08160019" w:tentative="1">
      <w:start w:val="1"/>
      <w:numFmt w:val="lowerLetter"/>
      <w:lvlText w:val="%2."/>
      <w:lvlJc w:val="left"/>
      <w:pPr>
        <w:ind w:left="1506" w:hanging="360"/>
      </w:pPr>
    </w:lvl>
    <w:lvl w:ilvl="2" w:tplc="0816001B" w:tentative="1">
      <w:start w:val="1"/>
      <w:numFmt w:val="lowerRoman"/>
      <w:lvlText w:val="%3."/>
      <w:lvlJc w:val="right"/>
      <w:pPr>
        <w:ind w:left="2226" w:hanging="180"/>
      </w:pPr>
    </w:lvl>
    <w:lvl w:ilvl="3" w:tplc="0816000F" w:tentative="1">
      <w:start w:val="1"/>
      <w:numFmt w:val="decimal"/>
      <w:lvlText w:val="%4."/>
      <w:lvlJc w:val="left"/>
      <w:pPr>
        <w:ind w:left="2946" w:hanging="360"/>
      </w:pPr>
    </w:lvl>
    <w:lvl w:ilvl="4" w:tplc="08160019" w:tentative="1">
      <w:start w:val="1"/>
      <w:numFmt w:val="lowerLetter"/>
      <w:lvlText w:val="%5."/>
      <w:lvlJc w:val="left"/>
      <w:pPr>
        <w:ind w:left="3666" w:hanging="360"/>
      </w:pPr>
    </w:lvl>
    <w:lvl w:ilvl="5" w:tplc="0816001B" w:tentative="1">
      <w:start w:val="1"/>
      <w:numFmt w:val="lowerRoman"/>
      <w:lvlText w:val="%6."/>
      <w:lvlJc w:val="right"/>
      <w:pPr>
        <w:ind w:left="4386" w:hanging="180"/>
      </w:pPr>
    </w:lvl>
    <w:lvl w:ilvl="6" w:tplc="0816000F" w:tentative="1">
      <w:start w:val="1"/>
      <w:numFmt w:val="decimal"/>
      <w:lvlText w:val="%7."/>
      <w:lvlJc w:val="left"/>
      <w:pPr>
        <w:ind w:left="5106" w:hanging="360"/>
      </w:pPr>
    </w:lvl>
    <w:lvl w:ilvl="7" w:tplc="08160019" w:tentative="1">
      <w:start w:val="1"/>
      <w:numFmt w:val="lowerLetter"/>
      <w:lvlText w:val="%8."/>
      <w:lvlJc w:val="left"/>
      <w:pPr>
        <w:ind w:left="5826" w:hanging="360"/>
      </w:pPr>
    </w:lvl>
    <w:lvl w:ilvl="8" w:tplc="0816001B" w:tentative="1">
      <w:start w:val="1"/>
      <w:numFmt w:val="lowerRoman"/>
      <w:lvlText w:val="%9."/>
      <w:lvlJc w:val="right"/>
      <w:pPr>
        <w:ind w:left="6546" w:hanging="180"/>
      </w:pPr>
    </w:lvl>
  </w:abstractNum>
  <w:abstractNum w:abstractNumId="3">
    <w:nsid w:val="035E4C2C"/>
    <w:multiLevelType w:val="hybridMultilevel"/>
    <w:tmpl w:val="8974CCA8"/>
    <w:lvl w:ilvl="0" w:tplc="0882A85E">
      <w:start w:val="1"/>
      <w:numFmt w:val="upperRoman"/>
      <w:lvlText w:val="%1."/>
      <w:lvlJc w:val="left"/>
      <w:pPr>
        <w:ind w:left="1004" w:hanging="360"/>
      </w:pPr>
      <w:rPr>
        <w:rFonts w:hint="default"/>
        <w:b/>
        <w:sz w:val="24"/>
        <w:szCs w:val="24"/>
      </w:rPr>
    </w:lvl>
    <w:lvl w:ilvl="1" w:tplc="08160019" w:tentative="1">
      <w:start w:val="1"/>
      <w:numFmt w:val="lowerLetter"/>
      <w:lvlText w:val="%2."/>
      <w:lvlJc w:val="left"/>
      <w:pPr>
        <w:ind w:left="1724" w:hanging="360"/>
      </w:pPr>
    </w:lvl>
    <w:lvl w:ilvl="2" w:tplc="0816001B" w:tentative="1">
      <w:start w:val="1"/>
      <w:numFmt w:val="lowerRoman"/>
      <w:lvlText w:val="%3."/>
      <w:lvlJc w:val="right"/>
      <w:pPr>
        <w:ind w:left="2444" w:hanging="180"/>
      </w:pPr>
    </w:lvl>
    <w:lvl w:ilvl="3" w:tplc="0816000F" w:tentative="1">
      <w:start w:val="1"/>
      <w:numFmt w:val="decimal"/>
      <w:lvlText w:val="%4."/>
      <w:lvlJc w:val="left"/>
      <w:pPr>
        <w:ind w:left="3164" w:hanging="360"/>
      </w:pPr>
    </w:lvl>
    <w:lvl w:ilvl="4" w:tplc="08160019" w:tentative="1">
      <w:start w:val="1"/>
      <w:numFmt w:val="lowerLetter"/>
      <w:lvlText w:val="%5."/>
      <w:lvlJc w:val="left"/>
      <w:pPr>
        <w:ind w:left="3884" w:hanging="360"/>
      </w:pPr>
    </w:lvl>
    <w:lvl w:ilvl="5" w:tplc="0816001B" w:tentative="1">
      <w:start w:val="1"/>
      <w:numFmt w:val="lowerRoman"/>
      <w:lvlText w:val="%6."/>
      <w:lvlJc w:val="right"/>
      <w:pPr>
        <w:ind w:left="4604" w:hanging="180"/>
      </w:pPr>
    </w:lvl>
    <w:lvl w:ilvl="6" w:tplc="0816000F" w:tentative="1">
      <w:start w:val="1"/>
      <w:numFmt w:val="decimal"/>
      <w:lvlText w:val="%7."/>
      <w:lvlJc w:val="left"/>
      <w:pPr>
        <w:ind w:left="5324" w:hanging="360"/>
      </w:pPr>
    </w:lvl>
    <w:lvl w:ilvl="7" w:tplc="08160019" w:tentative="1">
      <w:start w:val="1"/>
      <w:numFmt w:val="lowerLetter"/>
      <w:lvlText w:val="%8."/>
      <w:lvlJc w:val="left"/>
      <w:pPr>
        <w:ind w:left="6044" w:hanging="360"/>
      </w:pPr>
    </w:lvl>
    <w:lvl w:ilvl="8" w:tplc="0816001B" w:tentative="1">
      <w:start w:val="1"/>
      <w:numFmt w:val="lowerRoman"/>
      <w:lvlText w:val="%9."/>
      <w:lvlJc w:val="right"/>
      <w:pPr>
        <w:ind w:left="6764" w:hanging="180"/>
      </w:pPr>
    </w:lvl>
  </w:abstractNum>
  <w:abstractNum w:abstractNumId="4">
    <w:nsid w:val="045849DB"/>
    <w:multiLevelType w:val="hybridMultilevel"/>
    <w:tmpl w:val="241E1EAE"/>
    <w:lvl w:ilvl="0" w:tplc="9E48DF9A">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nsid w:val="04D17B98"/>
    <w:multiLevelType w:val="hybridMultilevel"/>
    <w:tmpl w:val="B87E4F76"/>
    <w:lvl w:ilvl="0" w:tplc="9E48DF9A">
      <w:start w:val="1"/>
      <w:numFmt w:val="bullet"/>
      <w:lvlText w:val=""/>
      <w:lvlJc w:val="left"/>
      <w:pPr>
        <w:ind w:left="2768" w:hanging="360"/>
      </w:pPr>
      <w:rPr>
        <w:rFonts w:ascii="Symbol" w:hAnsi="Symbol" w:hint="default"/>
      </w:rPr>
    </w:lvl>
    <w:lvl w:ilvl="1" w:tplc="08160003">
      <w:start w:val="1"/>
      <w:numFmt w:val="bullet"/>
      <w:lvlText w:val="o"/>
      <w:lvlJc w:val="left"/>
      <w:pPr>
        <w:ind w:left="10352" w:hanging="360"/>
      </w:pPr>
      <w:rPr>
        <w:rFonts w:ascii="Courier New" w:hAnsi="Courier New" w:cs="Courier New" w:hint="default"/>
      </w:rPr>
    </w:lvl>
    <w:lvl w:ilvl="2" w:tplc="08160005" w:tentative="1">
      <w:start w:val="1"/>
      <w:numFmt w:val="bullet"/>
      <w:lvlText w:val=""/>
      <w:lvlJc w:val="left"/>
      <w:pPr>
        <w:ind w:left="11072" w:hanging="360"/>
      </w:pPr>
      <w:rPr>
        <w:rFonts w:ascii="Wingdings" w:hAnsi="Wingdings" w:hint="default"/>
      </w:rPr>
    </w:lvl>
    <w:lvl w:ilvl="3" w:tplc="08160001" w:tentative="1">
      <w:start w:val="1"/>
      <w:numFmt w:val="bullet"/>
      <w:lvlText w:val=""/>
      <w:lvlJc w:val="left"/>
      <w:pPr>
        <w:ind w:left="11792" w:hanging="360"/>
      </w:pPr>
      <w:rPr>
        <w:rFonts w:ascii="Symbol" w:hAnsi="Symbol" w:hint="default"/>
      </w:rPr>
    </w:lvl>
    <w:lvl w:ilvl="4" w:tplc="08160003" w:tentative="1">
      <w:start w:val="1"/>
      <w:numFmt w:val="bullet"/>
      <w:lvlText w:val="o"/>
      <w:lvlJc w:val="left"/>
      <w:pPr>
        <w:ind w:left="12512" w:hanging="360"/>
      </w:pPr>
      <w:rPr>
        <w:rFonts w:ascii="Courier New" w:hAnsi="Courier New" w:cs="Courier New" w:hint="default"/>
      </w:rPr>
    </w:lvl>
    <w:lvl w:ilvl="5" w:tplc="08160005" w:tentative="1">
      <w:start w:val="1"/>
      <w:numFmt w:val="bullet"/>
      <w:lvlText w:val=""/>
      <w:lvlJc w:val="left"/>
      <w:pPr>
        <w:ind w:left="13232" w:hanging="360"/>
      </w:pPr>
      <w:rPr>
        <w:rFonts w:ascii="Wingdings" w:hAnsi="Wingdings" w:hint="default"/>
      </w:rPr>
    </w:lvl>
    <w:lvl w:ilvl="6" w:tplc="08160001" w:tentative="1">
      <w:start w:val="1"/>
      <w:numFmt w:val="bullet"/>
      <w:lvlText w:val=""/>
      <w:lvlJc w:val="left"/>
      <w:pPr>
        <w:ind w:left="13952" w:hanging="360"/>
      </w:pPr>
      <w:rPr>
        <w:rFonts w:ascii="Symbol" w:hAnsi="Symbol" w:hint="default"/>
      </w:rPr>
    </w:lvl>
    <w:lvl w:ilvl="7" w:tplc="08160003" w:tentative="1">
      <w:start w:val="1"/>
      <w:numFmt w:val="bullet"/>
      <w:lvlText w:val="o"/>
      <w:lvlJc w:val="left"/>
      <w:pPr>
        <w:ind w:left="14672" w:hanging="360"/>
      </w:pPr>
      <w:rPr>
        <w:rFonts w:ascii="Courier New" w:hAnsi="Courier New" w:cs="Courier New" w:hint="default"/>
      </w:rPr>
    </w:lvl>
    <w:lvl w:ilvl="8" w:tplc="08160005" w:tentative="1">
      <w:start w:val="1"/>
      <w:numFmt w:val="bullet"/>
      <w:lvlText w:val=""/>
      <w:lvlJc w:val="left"/>
      <w:pPr>
        <w:ind w:left="15392" w:hanging="360"/>
      </w:pPr>
      <w:rPr>
        <w:rFonts w:ascii="Wingdings" w:hAnsi="Wingdings" w:hint="default"/>
      </w:rPr>
    </w:lvl>
  </w:abstractNum>
  <w:abstractNum w:abstractNumId="6">
    <w:nsid w:val="059D0B97"/>
    <w:multiLevelType w:val="hybridMultilevel"/>
    <w:tmpl w:val="5822A45E"/>
    <w:lvl w:ilvl="0" w:tplc="2C201EF8">
      <w:start w:val="1"/>
      <w:numFmt w:val="upperRoman"/>
      <w:lvlText w:val="%1."/>
      <w:lvlJc w:val="left"/>
      <w:pPr>
        <w:ind w:left="1080" w:hanging="720"/>
      </w:pPr>
      <w:rPr>
        <w:rFonts w:hint="default"/>
      </w:r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nsid w:val="0914679C"/>
    <w:multiLevelType w:val="hybridMultilevel"/>
    <w:tmpl w:val="BDF4DEBA"/>
    <w:lvl w:ilvl="0" w:tplc="C214EDEE">
      <w:start w:val="1"/>
      <w:numFmt w:val="upperRoman"/>
      <w:lvlText w:val="%1."/>
      <w:lvlJc w:val="left"/>
      <w:pPr>
        <w:ind w:left="1430" w:hanging="72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nsid w:val="0A7A0E19"/>
    <w:multiLevelType w:val="hybridMultilevel"/>
    <w:tmpl w:val="1D6C1D68"/>
    <w:lvl w:ilvl="0" w:tplc="08160005">
      <w:start w:val="1"/>
      <w:numFmt w:val="bullet"/>
      <w:lvlText w:val=""/>
      <w:lvlJc w:val="left"/>
      <w:pPr>
        <w:ind w:left="1004" w:hanging="360"/>
      </w:pPr>
      <w:rPr>
        <w:rFonts w:ascii="Wingdings" w:hAnsi="Wingdings" w:hint="default"/>
      </w:rPr>
    </w:lvl>
    <w:lvl w:ilvl="1" w:tplc="08160003" w:tentative="1">
      <w:start w:val="1"/>
      <w:numFmt w:val="bullet"/>
      <w:lvlText w:val="o"/>
      <w:lvlJc w:val="left"/>
      <w:pPr>
        <w:ind w:left="1724" w:hanging="360"/>
      </w:pPr>
      <w:rPr>
        <w:rFonts w:ascii="Courier New" w:hAnsi="Courier New" w:cs="Courier New" w:hint="default"/>
      </w:rPr>
    </w:lvl>
    <w:lvl w:ilvl="2" w:tplc="08160005" w:tentative="1">
      <w:start w:val="1"/>
      <w:numFmt w:val="bullet"/>
      <w:lvlText w:val=""/>
      <w:lvlJc w:val="left"/>
      <w:pPr>
        <w:ind w:left="2444" w:hanging="360"/>
      </w:pPr>
      <w:rPr>
        <w:rFonts w:ascii="Wingdings" w:hAnsi="Wingdings" w:hint="default"/>
      </w:rPr>
    </w:lvl>
    <w:lvl w:ilvl="3" w:tplc="08160001" w:tentative="1">
      <w:start w:val="1"/>
      <w:numFmt w:val="bullet"/>
      <w:lvlText w:val=""/>
      <w:lvlJc w:val="left"/>
      <w:pPr>
        <w:ind w:left="3164" w:hanging="360"/>
      </w:pPr>
      <w:rPr>
        <w:rFonts w:ascii="Symbol" w:hAnsi="Symbol" w:hint="default"/>
      </w:rPr>
    </w:lvl>
    <w:lvl w:ilvl="4" w:tplc="08160003" w:tentative="1">
      <w:start w:val="1"/>
      <w:numFmt w:val="bullet"/>
      <w:lvlText w:val="o"/>
      <w:lvlJc w:val="left"/>
      <w:pPr>
        <w:ind w:left="3884" w:hanging="360"/>
      </w:pPr>
      <w:rPr>
        <w:rFonts w:ascii="Courier New" w:hAnsi="Courier New" w:cs="Courier New" w:hint="default"/>
      </w:rPr>
    </w:lvl>
    <w:lvl w:ilvl="5" w:tplc="08160005" w:tentative="1">
      <w:start w:val="1"/>
      <w:numFmt w:val="bullet"/>
      <w:lvlText w:val=""/>
      <w:lvlJc w:val="left"/>
      <w:pPr>
        <w:ind w:left="4604" w:hanging="360"/>
      </w:pPr>
      <w:rPr>
        <w:rFonts w:ascii="Wingdings" w:hAnsi="Wingdings" w:hint="default"/>
      </w:rPr>
    </w:lvl>
    <w:lvl w:ilvl="6" w:tplc="08160001" w:tentative="1">
      <w:start w:val="1"/>
      <w:numFmt w:val="bullet"/>
      <w:lvlText w:val=""/>
      <w:lvlJc w:val="left"/>
      <w:pPr>
        <w:ind w:left="5324" w:hanging="360"/>
      </w:pPr>
      <w:rPr>
        <w:rFonts w:ascii="Symbol" w:hAnsi="Symbol" w:hint="default"/>
      </w:rPr>
    </w:lvl>
    <w:lvl w:ilvl="7" w:tplc="08160003" w:tentative="1">
      <w:start w:val="1"/>
      <w:numFmt w:val="bullet"/>
      <w:lvlText w:val="o"/>
      <w:lvlJc w:val="left"/>
      <w:pPr>
        <w:ind w:left="6044" w:hanging="360"/>
      </w:pPr>
      <w:rPr>
        <w:rFonts w:ascii="Courier New" w:hAnsi="Courier New" w:cs="Courier New" w:hint="default"/>
      </w:rPr>
    </w:lvl>
    <w:lvl w:ilvl="8" w:tplc="08160005" w:tentative="1">
      <w:start w:val="1"/>
      <w:numFmt w:val="bullet"/>
      <w:lvlText w:val=""/>
      <w:lvlJc w:val="left"/>
      <w:pPr>
        <w:ind w:left="6764" w:hanging="360"/>
      </w:pPr>
      <w:rPr>
        <w:rFonts w:ascii="Wingdings" w:hAnsi="Wingdings" w:hint="default"/>
      </w:rPr>
    </w:lvl>
  </w:abstractNum>
  <w:abstractNum w:abstractNumId="9">
    <w:nsid w:val="0CBA661A"/>
    <w:multiLevelType w:val="hybridMultilevel"/>
    <w:tmpl w:val="6160326C"/>
    <w:lvl w:ilvl="0" w:tplc="9E48DF9A">
      <w:start w:val="1"/>
      <w:numFmt w:val="bullet"/>
      <w:lvlText w:val=""/>
      <w:lvlJc w:val="left"/>
      <w:pPr>
        <w:ind w:left="1004" w:hanging="360"/>
      </w:pPr>
      <w:rPr>
        <w:rFonts w:ascii="Symbol" w:hAnsi="Symbol" w:hint="default"/>
      </w:rPr>
    </w:lvl>
    <w:lvl w:ilvl="1" w:tplc="08160003" w:tentative="1">
      <w:start w:val="1"/>
      <w:numFmt w:val="bullet"/>
      <w:lvlText w:val="o"/>
      <w:lvlJc w:val="left"/>
      <w:pPr>
        <w:ind w:left="1724" w:hanging="360"/>
      </w:pPr>
      <w:rPr>
        <w:rFonts w:ascii="Courier New" w:hAnsi="Courier New" w:cs="Courier New" w:hint="default"/>
      </w:rPr>
    </w:lvl>
    <w:lvl w:ilvl="2" w:tplc="08160005" w:tentative="1">
      <w:start w:val="1"/>
      <w:numFmt w:val="bullet"/>
      <w:lvlText w:val=""/>
      <w:lvlJc w:val="left"/>
      <w:pPr>
        <w:ind w:left="2444" w:hanging="360"/>
      </w:pPr>
      <w:rPr>
        <w:rFonts w:ascii="Wingdings" w:hAnsi="Wingdings" w:hint="default"/>
      </w:rPr>
    </w:lvl>
    <w:lvl w:ilvl="3" w:tplc="08160001" w:tentative="1">
      <w:start w:val="1"/>
      <w:numFmt w:val="bullet"/>
      <w:lvlText w:val=""/>
      <w:lvlJc w:val="left"/>
      <w:pPr>
        <w:ind w:left="3164" w:hanging="360"/>
      </w:pPr>
      <w:rPr>
        <w:rFonts w:ascii="Symbol" w:hAnsi="Symbol" w:hint="default"/>
      </w:rPr>
    </w:lvl>
    <w:lvl w:ilvl="4" w:tplc="08160003" w:tentative="1">
      <w:start w:val="1"/>
      <w:numFmt w:val="bullet"/>
      <w:lvlText w:val="o"/>
      <w:lvlJc w:val="left"/>
      <w:pPr>
        <w:ind w:left="3884" w:hanging="360"/>
      </w:pPr>
      <w:rPr>
        <w:rFonts w:ascii="Courier New" w:hAnsi="Courier New" w:cs="Courier New" w:hint="default"/>
      </w:rPr>
    </w:lvl>
    <w:lvl w:ilvl="5" w:tplc="08160005" w:tentative="1">
      <w:start w:val="1"/>
      <w:numFmt w:val="bullet"/>
      <w:lvlText w:val=""/>
      <w:lvlJc w:val="left"/>
      <w:pPr>
        <w:ind w:left="4604" w:hanging="360"/>
      </w:pPr>
      <w:rPr>
        <w:rFonts w:ascii="Wingdings" w:hAnsi="Wingdings" w:hint="default"/>
      </w:rPr>
    </w:lvl>
    <w:lvl w:ilvl="6" w:tplc="08160001" w:tentative="1">
      <w:start w:val="1"/>
      <w:numFmt w:val="bullet"/>
      <w:lvlText w:val=""/>
      <w:lvlJc w:val="left"/>
      <w:pPr>
        <w:ind w:left="5324" w:hanging="360"/>
      </w:pPr>
      <w:rPr>
        <w:rFonts w:ascii="Symbol" w:hAnsi="Symbol" w:hint="default"/>
      </w:rPr>
    </w:lvl>
    <w:lvl w:ilvl="7" w:tplc="08160003" w:tentative="1">
      <w:start w:val="1"/>
      <w:numFmt w:val="bullet"/>
      <w:lvlText w:val="o"/>
      <w:lvlJc w:val="left"/>
      <w:pPr>
        <w:ind w:left="6044" w:hanging="360"/>
      </w:pPr>
      <w:rPr>
        <w:rFonts w:ascii="Courier New" w:hAnsi="Courier New" w:cs="Courier New" w:hint="default"/>
      </w:rPr>
    </w:lvl>
    <w:lvl w:ilvl="8" w:tplc="08160005" w:tentative="1">
      <w:start w:val="1"/>
      <w:numFmt w:val="bullet"/>
      <w:lvlText w:val=""/>
      <w:lvlJc w:val="left"/>
      <w:pPr>
        <w:ind w:left="6764" w:hanging="360"/>
      </w:pPr>
      <w:rPr>
        <w:rFonts w:ascii="Wingdings" w:hAnsi="Wingdings" w:hint="default"/>
      </w:rPr>
    </w:lvl>
  </w:abstractNum>
  <w:abstractNum w:abstractNumId="10">
    <w:nsid w:val="0D093D95"/>
    <w:multiLevelType w:val="hybridMultilevel"/>
    <w:tmpl w:val="5AA60914"/>
    <w:lvl w:ilvl="0" w:tplc="9E48DF9A">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nsid w:val="0FF96E79"/>
    <w:multiLevelType w:val="hybridMultilevel"/>
    <w:tmpl w:val="DC88044E"/>
    <w:lvl w:ilvl="0" w:tplc="9E48DF9A">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nsid w:val="12D76761"/>
    <w:multiLevelType w:val="hybridMultilevel"/>
    <w:tmpl w:val="44EA3D7C"/>
    <w:lvl w:ilvl="0" w:tplc="B9405504">
      <w:start w:val="1"/>
      <w:numFmt w:val="upperRoman"/>
      <w:lvlText w:val="%1."/>
      <w:lvlJc w:val="left"/>
      <w:pPr>
        <w:ind w:left="1146" w:hanging="360"/>
      </w:pPr>
      <w:rPr>
        <w:rFonts w:hint="default"/>
        <w:b/>
        <w:strike w:val="0"/>
      </w:rPr>
    </w:lvl>
    <w:lvl w:ilvl="1" w:tplc="26785038">
      <w:start w:val="1"/>
      <w:numFmt w:val="upperRoman"/>
      <w:lvlText w:val="%2."/>
      <w:lvlJc w:val="left"/>
      <w:pPr>
        <w:ind w:left="1866" w:hanging="360"/>
      </w:pPr>
      <w:rPr>
        <w:rFonts w:hint="default"/>
        <w:b/>
        <w:strike w:val="0"/>
        <w:sz w:val="24"/>
        <w:szCs w:val="24"/>
      </w:rPr>
    </w:lvl>
    <w:lvl w:ilvl="2" w:tplc="0816001B" w:tentative="1">
      <w:start w:val="1"/>
      <w:numFmt w:val="lowerRoman"/>
      <w:lvlText w:val="%3."/>
      <w:lvlJc w:val="right"/>
      <w:pPr>
        <w:ind w:left="2586" w:hanging="180"/>
      </w:pPr>
    </w:lvl>
    <w:lvl w:ilvl="3" w:tplc="0816000F" w:tentative="1">
      <w:start w:val="1"/>
      <w:numFmt w:val="decimal"/>
      <w:lvlText w:val="%4."/>
      <w:lvlJc w:val="left"/>
      <w:pPr>
        <w:ind w:left="3306" w:hanging="360"/>
      </w:pPr>
    </w:lvl>
    <w:lvl w:ilvl="4" w:tplc="08160019" w:tentative="1">
      <w:start w:val="1"/>
      <w:numFmt w:val="lowerLetter"/>
      <w:lvlText w:val="%5."/>
      <w:lvlJc w:val="left"/>
      <w:pPr>
        <w:ind w:left="4026" w:hanging="360"/>
      </w:pPr>
    </w:lvl>
    <w:lvl w:ilvl="5" w:tplc="0816001B" w:tentative="1">
      <w:start w:val="1"/>
      <w:numFmt w:val="lowerRoman"/>
      <w:lvlText w:val="%6."/>
      <w:lvlJc w:val="right"/>
      <w:pPr>
        <w:ind w:left="4746" w:hanging="180"/>
      </w:pPr>
    </w:lvl>
    <w:lvl w:ilvl="6" w:tplc="0816000F" w:tentative="1">
      <w:start w:val="1"/>
      <w:numFmt w:val="decimal"/>
      <w:lvlText w:val="%7."/>
      <w:lvlJc w:val="left"/>
      <w:pPr>
        <w:ind w:left="5466" w:hanging="360"/>
      </w:pPr>
    </w:lvl>
    <w:lvl w:ilvl="7" w:tplc="08160019" w:tentative="1">
      <w:start w:val="1"/>
      <w:numFmt w:val="lowerLetter"/>
      <w:lvlText w:val="%8."/>
      <w:lvlJc w:val="left"/>
      <w:pPr>
        <w:ind w:left="6186" w:hanging="360"/>
      </w:pPr>
    </w:lvl>
    <w:lvl w:ilvl="8" w:tplc="0816001B" w:tentative="1">
      <w:start w:val="1"/>
      <w:numFmt w:val="lowerRoman"/>
      <w:lvlText w:val="%9."/>
      <w:lvlJc w:val="right"/>
      <w:pPr>
        <w:ind w:left="6906" w:hanging="180"/>
      </w:pPr>
    </w:lvl>
  </w:abstractNum>
  <w:abstractNum w:abstractNumId="13">
    <w:nsid w:val="13BA0CB6"/>
    <w:multiLevelType w:val="hybridMultilevel"/>
    <w:tmpl w:val="EF565E0A"/>
    <w:lvl w:ilvl="0" w:tplc="0882A85E">
      <w:start w:val="1"/>
      <w:numFmt w:val="upperRoman"/>
      <w:lvlText w:val="%1."/>
      <w:lvlJc w:val="left"/>
      <w:pPr>
        <w:ind w:left="1145" w:hanging="360"/>
      </w:pPr>
      <w:rPr>
        <w:rFonts w:hint="default"/>
        <w:b/>
        <w:sz w:val="24"/>
        <w:szCs w:val="24"/>
      </w:rPr>
    </w:lvl>
    <w:lvl w:ilvl="1" w:tplc="08160019" w:tentative="1">
      <w:start w:val="1"/>
      <w:numFmt w:val="lowerLetter"/>
      <w:lvlText w:val="%2."/>
      <w:lvlJc w:val="left"/>
      <w:pPr>
        <w:ind w:left="1865" w:hanging="360"/>
      </w:pPr>
    </w:lvl>
    <w:lvl w:ilvl="2" w:tplc="0816001B" w:tentative="1">
      <w:start w:val="1"/>
      <w:numFmt w:val="lowerRoman"/>
      <w:lvlText w:val="%3."/>
      <w:lvlJc w:val="right"/>
      <w:pPr>
        <w:ind w:left="2585" w:hanging="180"/>
      </w:pPr>
    </w:lvl>
    <w:lvl w:ilvl="3" w:tplc="0816000F" w:tentative="1">
      <w:start w:val="1"/>
      <w:numFmt w:val="decimal"/>
      <w:lvlText w:val="%4."/>
      <w:lvlJc w:val="left"/>
      <w:pPr>
        <w:ind w:left="3305" w:hanging="360"/>
      </w:pPr>
    </w:lvl>
    <w:lvl w:ilvl="4" w:tplc="08160019" w:tentative="1">
      <w:start w:val="1"/>
      <w:numFmt w:val="lowerLetter"/>
      <w:lvlText w:val="%5."/>
      <w:lvlJc w:val="left"/>
      <w:pPr>
        <w:ind w:left="4025" w:hanging="360"/>
      </w:pPr>
    </w:lvl>
    <w:lvl w:ilvl="5" w:tplc="0816001B" w:tentative="1">
      <w:start w:val="1"/>
      <w:numFmt w:val="lowerRoman"/>
      <w:lvlText w:val="%6."/>
      <w:lvlJc w:val="right"/>
      <w:pPr>
        <w:ind w:left="4745" w:hanging="180"/>
      </w:pPr>
    </w:lvl>
    <w:lvl w:ilvl="6" w:tplc="0816000F" w:tentative="1">
      <w:start w:val="1"/>
      <w:numFmt w:val="decimal"/>
      <w:lvlText w:val="%7."/>
      <w:lvlJc w:val="left"/>
      <w:pPr>
        <w:ind w:left="5465" w:hanging="360"/>
      </w:pPr>
    </w:lvl>
    <w:lvl w:ilvl="7" w:tplc="08160019" w:tentative="1">
      <w:start w:val="1"/>
      <w:numFmt w:val="lowerLetter"/>
      <w:lvlText w:val="%8."/>
      <w:lvlJc w:val="left"/>
      <w:pPr>
        <w:ind w:left="6185" w:hanging="360"/>
      </w:pPr>
    </w:lvl>
    <w:lvl w:ilvl="8" w:tplc="0816001B" w:tentative="1">
      <w:start w:val="1"/>
      <w:numFmt w:val="lowerRoman"/>
      <w:lvlText w:val="%9."/>
      <w:lvlJc w:val="right"/>
      <w:pPr>
        <w:ind w:left="6905" w:hanging="180"/>
      </w:pPr>
    </w:lvl>
  </w:abstractNum>
  <w:abstractNum w:abstractNumId="14">
    <w:nsid w:val="14E72520"/>
    <w:multiLevelType w:val="multilevel"/>
    <w:tmpl w:val="66786FEA"/>
    <w:lvl w:ilvl="0">
      <w:start w:val="1"/>
      <w:numFmt w:val="upperRoman"/>
      <w:lvlText w:val="%1."/>
      <w:lvlJc w:val="left"/>
      <w:pPr>
        <w:ind w:left="1080" w:hanging="720"/>
      </w:pPr>
      <w:rPr>
        <w:rFonts w:eastAsiaTheme="minorHAnsi" w:cstheme="minorBidi" w:hint="default"/>
        <w:b/>
        <w:color w:val="auto"/>
      </w:rPr>
    </w:lvl>
    <w:lvl w:ilvl="1">
      <w:start w:val="4"/>
      <w:numFmt w:val="decimal"/>
      <w:isLgl/>
      <w:lvlText w:val="%1.%2"/>
      <w:lvlJc w:val="left"/>
      <w:pPr>
        <w:ind w:left="900" w:hanging="540"/>
      </w:pPr>
      <w:rPr>
        <w:rFonts w:hint="default"/>
      </w:rPr>
    </w:lvl>
    <w:lvl w:ilvl="2">
      <w:start w:val="1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155478CC"/>
    <w:multiLevelType w:val="hybridMultilevel"/>
    <w:tmpl w:val="E13EA484"/>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nsid w:val="177F22BE"/>
    <w:multiLevelType w:val="hybridMultilevel"/>
    <w:tmpl w:val="FCACD69A"/>
    <w:lvl w:ilvl="0" w:tplc="48844C8C">
      <w:start w:val="1"/>
      <w:numFmt w:val="upperRoman"/>
      <w:lvlText w:val="%1."/>
      <w:lvlJc w:val="left"/>
      <w:pPr>
        <w:ind w:left="1134" w:hanging="360"/>
      </w:pPr>
      <w:rPr>
        <w:rFonts w:hint="default"/>
        <w:b/>
      </w:rPr>
    </w:lvl>
    <w:lvl w:ilvl="1" w:tplc="08160019" w:tentative="1">
      <w:start w:val="1"/>
      <w:numFmt w:val="lowerLetter"/>
      <w:lvlText w:val="%2."/>
      <w:lvlJc w:val="left"/>
      <w:pPr>
        <w:ind w:left="1854" w:hanging="360"/>
      </w:pPr>
    </w:lvl>
    <w:lvl w:ilvl="2" w:tplc="0816001B" w:tentative="1">
      <w:start w:val="1"/>
      <w:numFmt w:val="lowerRoman"/>
      <w:lvlText w:val="%3."/>
      <w:lvlJc w:val="right"/>
      <w:pPr>
        <w:ind w:left="2574" w:hanging="180"/>
      </w:pPr>
    </w:lvl>
    <w:lvl w:ilvl="3" w:tplc="0816000F" w:tentative="1">
      <w:start w:val="1"/>
      <w:numFmt w:val="decimal"/>
      <w:lvlText w:val="%4."/>
      <w:lvlJc w:val="left"/>
      <w:pPr>
        <w:ind w:left="3294" w:hanging="360"/>
      </w:pPr>
    </w:lvl>
    <w:lvl w:ilvl="4" w:tplc="08160019" w:tentative="1">
      <w:start w:val="1"/>
      <w:numFmt w:val="lowerLetter"/>
      <w:lvlText w:val="%5."/>
      <w:lvlJc w:val="left"/>
      <w:pPr>
        <w:ind w:left="4014" w:hanging="360"/>
      </w:pPr>
    </w:lvl>
    <w:lvl w:ilvl="5" w:tplc="0816001B" w:tentative="1">
      <w:start w:val="1"/>
      <w:numFmt w:val="lowerRoman"/>
      <w:lvlText w:val="%6."/>
      <w:lvlJc w:val="right"/>
      <w:pPr>
        <w:ind w:left="4734" w:hanging="180"/>
      </w:pPr>
    </w:lvl>
    <w:lvl w:ilvl="6" w:tplc="0816000F" w:tentative="1">
      <w:start w:val="1"/>
      <w:numFmt w:val="decimal"/>
      <w:lvlText w:val="%7."/>
      <w:lvlJc w:val="left"/>
      <w:pPr>
        <w:ind w:left="5454" w:hanging="360"/>
      </w:pPr>
    </w:lvl>
    <w:lvl w:ilvl="7" w:tplc="08160019" w:tentative="1">
      <w:start w:val="1"/>
      <w:numFmt w:val="lowerLetter"/>
      <w:lvlText w:val="%8."/>
      <w:lvlJc w:val="left"/>
      <w:pPr>
        <w:ind w:left="6174" w:hanging="360"/>
      </w:pPr>
    </w:lvl>
    <w:lvl w:ilvl="8" w:tplc="0816001B" w:tentative="1">
      <w:start w:val="1"/>
      <w:numFmt w:val="lowerRoman"/>
      <w:lvlText w:val="%9."/>
      <w:lvlJc w:val="right"/>
      <w:pPr>
        <w:ind w:left="6894" w:hanging="180"/>
      </w:pPr>
    </w:lvl>
  </w:abstractNum>
  <w:abstractNum w:abstractNumId="17">
    <w:nsid w:val="1A0F721E"/>
    <w:multiLevelType w:val="multilevel"/>
    <w:tmpl w:val="FC168C20"/>
    <w:lvl w:ilvl="0">
      <w:start w:val="1"/>
      <w:numFmt w:val="upperRoman"/>
      <w:lvlText w:val="%1."/>
      <w:lvlJc w:val="left"/>
      <w:pPr>
        <w:ind w:left="1004" w:hanging="720"/>
      </w:pPr>
      <w:rPr>
        <w:rFonts w:hint="default"/>
        <w:b/>
        <w:strike w:val="0"/>
        <w:sz w:val="24"/>
        <w:szCs w:val="24"/>
      </w:rPr>
    </w:lvl>
    <w:lvl w:ilvl="1">
      <w:start w:val="2"/>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8">
    <w:nsid w:val="1A945C80"/>
    <w:multiLevelType w:val="hybridMultilevel"/>
    <w:tmpl w:val="C1D2083E"/>
    <w:lvl w:ilvl="0" w:tplc="82743276">
      <w:start w:val="1"/>
      <w:numFmt w:val="upperRoman"/>
      <w:lvlText w:val="%1."/>
      <w:lvlJc w:val="left"/>
      <w:pPr>
        <w:ind w:left="1134" w:hanging="360"/>
      </w:pPr>
      <w:rPr>
        <w:rFonts w:hint="default"/>
        <w:b/>
        <w:color w:val="auto"/>
      </w:rPr>
    </w:lvl>
    <w:lvl w:ilvl="1" w:tplc="08160019">
      <w:start w:val="1"/>
      <w:numFmt w:val="lowerLetter"/>
      <w:lvlText w:val="%2."/>
      <w:lvlJc w:val="left"/>
      <w:pPr>
        <w:ind w:left="1854" w:hanging="360"/>
      </w:pPr>
    </w:lvl>
    <w:lvl w:ilvl="2" w:tplc="0816001B" w:tentative="1">
      <w:start w:val="1"/>
      <w:numFmt w:val="lowerRoman"/>
      <w:lvlText w:val="%3."/>
      <w:lvlJc w:val="right"/>
      <w:pPr>
        <w:ind w:left="2574" w:hanging="180"/>
      </w:pPr>
    </w:lvl>
    <w:lvl w:ilvl="3" w:tplc="0816000F" w:tentative="1">
      <w:start w:val="1"/>
      <w:numFmt w:val="decimal"/>
      <w:lvlText w:val="%4."/>
      <w:lvlJc w:val="left"/>
      <w:pPr>
        <w:ind w:left="3294" w:hanging="360"/>
      </w:pPr>
    </w:lvl>
    <w:lvl w:ilvl="4" w:tplc="08160019" w:tentative="1">
      <w:start w:val="1"/>
      <w:numFmt w:val="lowerLetter"/>
      <w:lvlText w:val="%5."/>
      <w:lvlJc w:val="left"/>
      <w:pPr>
        <w:ind w:left="4014" w:hanging="360"/>
      </w:pPr>
    </w:lvl>
    <w:lvl w:ilvl="5" w:tplc="0816001B" w:tentative="1">
      <w:start w:val="1"/>
      <w:numFmt w:val="lowerRoman"/>
      <w:lvlText w:val="%6."/>
      <w:lvlJc w:val="right"/>
      <w:pPr>
        <w:ind w:left="4734" w:hanging="180"/>
      </w:pPr>
    </w:lvl>
    <w:lvl w:ilvl="6" w:tplc="0816000F" w:tentative="1">
      <w:start w:val="1"/>
      <w:numFmt w:val="decimal"/>
      <w:lvlText w:val="%7."/>
      <w:lvlJc w:val="left"/>
      <w:pPr>
        <w:ind w:left="5454" w:hanging="360"/>
      </w:pPr>
    </w:lvl>
    <w:lvl w:ilvl="7" w:tplc="08160019" w:tentative="1">
      <w:start w:val="1"/>
      <w:numFmt w:val="lowerLetter"/>
      <w:lvlText w:val="%8."/>
      <w:lvlJc w:val="left"/>
      <w:pPr>
        <w:ind w:left="6174" w:hanging="360"/>
      </w:pPr>
    </w:lvl>
    <w:lvl w:ilvl="8" w:tplc="0816001B" w:tentative="1">
      <w:start w:val="1"/>
      <w:numFmt w:val="lowerRoman"/>
      <w:lvlText w:val="%9."/>
      <w:lvlJc w:val="right"/>
      <w:pPr>
        <w:ind w:left="6894" w:hanging="180"/>
      </w:pPr>
    </w:lvl>
  </w:abstractNum>
  <w:abstractNum w:abstractNumId="19">
    <w:nsid w:val="1CA463A7"/>
    <w:multiLevelType w:val="hybridMultilevel"/>
    <w:tmpl w:val="64AA670C"/>
    <w:lvl w:ilvl="0" w:tplc="BF803372">
      <w:start w:val="1"/>
      <w:numFmt w:val="upperRoman"/>
      <w:lvlText w:val="%1."/>
      <w:lvlJc w:val="left"/>
      <w:pPr>
        <w:ind w:left="927" w:hanging="720"/>
      </w:pPr>
      <w:rPr>
        <w:rFonts w:hint="default"/>
        <w:b w:val="0"/>
        <w:sz w:val="22"/>
        <w:szCs w:val="22"/>
      </w:rPr>
    </w:lvl>
    <w:lvl w:ilvl="1" w:tplc="08160019" w:tentative="1">
      <w:start w:val="1"/>
      <w:numFmt w:val="lowerLetter"/>
      <w:lvlText w:val="%2."/>
      <w:lvlJc w:val="left"/>
      <w:pPr>
        <w:ind w:left="1287" w:hanging="360"/>
      </w:pPr>
    </w:lvl>
    <w:lvl w:ilvl="2" w:tplc="0816001B" w:tentative="1">
      <w:start w:val="1"/>
      <w:numFmt w:val="lowerRoman"/>
      <w:lvlText w:val="%3."/>
      <w:lvlJc w:val="right"/>
      <w:pPr>
        <w:ind w:left="2007" w:hanging="180"/>
      </w:pPr>
    </w:lvl>
    <w:lvl w:ilvl="3" w:tplc="0816000F" w:tentative="1">
      <w:start w:val="1"/>
      <w:numFmt w:val="decimal"/>
      <w:lvlText w:val="%4."/>
      <w:lvlJc w:val="left"/>
      <w:pPr>
        <w:ind w:left="2727" w:hanging="360"/>
      </w:pPr>
    </w:lvl>
    <w:lvl w:ilvl="4" w:tplc="08160019" w:tentative="1">
      <w:start w:val="1"/>
      <w:numFmt w:val="lowerLetter"/>
      <w:lvlText w:val="%5."/>
      <w:lvlJc w:val="left"/>
      <w:pPr>
        <w:ind w:left="3447" w:hanging="360"/>
      </w:pPr>
    </w:lvl>
    <w:lvl w:ilvl="5" w:tplc="0816001B" w:tentative="1">
      <w:start w:val="1"/>
      <w:numFmt w:val="lowerRoman"/>
      <w:lvlText w:val="%6."/>
      <w:lvlJc w:val="right"/>
      <w:pPr>
        <w:ind w:left="4167" w:hanging="180"/>
      </w:pPr>
    </w:lvl>
    <w:lvl w:ilvl="6" w:tplc="0816000F" w:tentative="1">
      <w:start w:val="1"/>
      <w:numFmt w:val="decimal"/>
      <w:lvlText w:val="%7."/>
      <w:lvlJc w:val="left"/>
      <w:pPr>
        <w:ind w:left="4887" w:hanging="360"/>
      </w:pPr>
    </w:lvl>
    <w:lvl w:ilvl="7" w:tplc="08160019" w:tentative="1">
      <w:start w:val="1"/>
      <w:numFmt w:val="lowerLetter"/>
      <w:lvlText w:val="%8."/>
      <w:lvlJc w:val="left"/>
      <w:pPr>
        <w:ind w:left="5607" w:hanging="360"/>
      </w:pPr>
    </w:lvl>
    <w:lvl w:ilvl="8" w:tplc="0816001B" w:tentative="1">
      <w:start w:val="1"/>
      <w:numFmt w:val="lowerRoman"/>
      <w:lvlText w:val="%9."/>
      <w:lvlJc w:val="right"/>
      <w:pPr>
        <w:ind w:left="6327" w:hanging="180"/>
      </w:pPr>
    </w:lvl>
  </w:abstractNum>
  <w:abstractNum w:abstractNumId="20">
    <w:nsid w:val="1CA92D0A"/>
    <w:multiLevelType w:val="multilevel"/>
    <w:tmpl w:val="4262F8D6"/>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1D1437AF"/>
    <w:multiLevelType w:val="hybridMultilevel"/>
    <w:tmpl w:val="FEDCFDE6"/>
    <w:lvl w:ilvl="0" w:tplc="108624E0">
      <w:start w:val="1"/>
      <w:numFmt w:val="upperRoman"/>
      <w:lvlText w:val="%1."/>
      <w:lvlJc w:val="left"/>
      <w:pPr>
        <w:ind w:left="1146" w:hanging="720"/>
      </w:pPr>
      <w:rPr>
        <w:rFonts w:hint="default"/>
        <w:b/>
      </w:rPr>
    </w:lvl>
    <w:lvl w:ilvl="1" w:tplc="08160019" w:tentative="1">
      <w:start w:val="1"/>
      <w:numFmt w:val="lowerLetter"/>
      <w:lvlText w:val="%2."/>
      <w:lvlJc w:val="left"/>
      <w:pPr>
        <w:ind w:left="1505" w:hanging="360"/>
      </w:pPr>
    </w:lvl>
    <w:lvl w:ilvl="2" w:tplc="0816001B" w:tentative="1">
      <w:start w:val="1"/>
      <w:numFmt w:val="lowerRoman"/>
      <w:lvlText w:val="%3."/>
      <w:lvlJc w:val="right"/>
      <w:pPr>
        <w:ind w:left="2225" w:hanging="180"/>
      </w:pPr>
    </w:lvl>
    <w:lvl w:ilvl="3" w:tplc="0816000F" w:tentative="1">
      <w:start w:val="1"/>
      <w:numFmt w:val="decimal"/>
      <w:lvlText w:val="%4."/>
      <w:lvlJc w:val="left"/>
      <w:pPr>
        <w:ind w:left="2945" w:hanging="360"/>
      </w:pPr>
    </w:lvl>
    <w:lvl w:ilvl="4" w:tplc="08160019" w:tentative="1">
      <w:start w:val="1"/>
      <w:numFmt w:val="lowerLetter"/>
      <w:lvlText w:val="%5."/>
      <w:lvlJc w:val="left"/>
      <w:pPr>
        <w:ind w:left="3665" w:hanging="360"/>
      </w:pPr>
    </w:lvl>
    <w:lvl w:ilvl="5" w:tplc="0816001B" w:tentative="1">
      <w:start w:val="1"/>
      <w:numFmt w:val="lowerRoman"/>
      <w:lvlText w:val="%6."/>
      <w:lvlJc w:val="right"/>
      <w:pPr>
        <w:ind w:left="4385" w:hanging="180"/>
      </w:pPr>
    </w:lvl>
    <w:lvl w:ilvl="6" w:tplc="0816000F" w:tentative="1">
      <w:start w:val="1"/>
      <w:numFmt w:val="decimal"/>
      <w:lvlText w:val="%7."/>
      <w:lvlJc w:val="left"/>
      <w:pPr>
        <w:ind w:left="5105" w:hanging="360"/>
      </w:pPr>
    </w:lvl>
    <w:lvl w:ilvl="7" w:tplc="08160019" w:tentative="1">
      <w:start w:val="1"/>
      <w:numFmt w:val="lowerLetter"/>
      <w:lvlText w:val="%8."/>
      <w:lvlJc w:val="left"/>
      <w:pPr>
        <w:ind w:left="5825" w:hanging="360"/>
      </w:pPr>
    </w:lvl>
    <w:lvl w:ilvl="8" w:tplc="0816001B" w:tentative="1">
      <w:start w:val="1"/>
      <w:numFmt w:val="lowerRoman"/>
      <w:lvlText w:val="%9."/>
      <w:lvlJc w:val="right"/>
      <w:pPr>
        <w:ind w:left="6545" w:hanging="180"/>
      </w:pPr>
    </w:lvl>
  </w:abstractNum>
  <w:abstractNum w:abstractNumId="22">
    <w:nsid w:val="1E607B6F"/>
    <w:multiLevelType w:val="multilevel"/>
    <w:tmpl w:val="3FD68174"/>
    <w:lvl w:ilvl="0">
      <w:start w:val="4"/>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1F6B00D5"/>
    <w:multiLevelType w:val="hybridMultilevel"/>
    <w:tmpl w:val="47F4AF02"/>
    <w:lvl w:ilvl="0" w:tplc="9E48DF9A">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nsid w:val="1FC62C90"/>
    <w:multiLevelType w:val="hybridMultilevel"/>
    <w:tmpl w:val="9DC4005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nsid w:val="25961548"/>
    <w:multiLevelType w:val="hybridMultilevel"/>
    <w:tmpl w:val="1CC88618"/>
    <w:lvl w:ilvl="0" w:tplc="63841D86">
      <w:start w:val="1"/>
      <w:numFmt w:val="upperRoman"/>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6">
    <w:nsid w:val="2700770F"/>
    <w:multiLevelType w:val="hybridMultilevel"/>
    <w:tmpl w:val="7380703C"/>
    <w:lvl w:ilvl="0" w:tplc="9E48DF9A">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7">
    <w:nsid w:val="2AB63987"/>
    <w:multiLevelType w:val="hybridMultilevel"/>
    <w:tmpl w:val="BB94C19E"/>
    <w:lvl w:ilvl="0" w:tplc="48844C8C">
      <w:start w:val="1"/>
      <w:numFmt w:val="upperRoman"/>
      <w:lvlText w:val="%1."/>
      <w:lvlJc w:val="left"/>
      <w:pPr>
        <w:ind w:left="2059" w:hanging="360"/>
      </w:pPr>
      <w:rPr>
        <w:rFonts w:hint="default"/>
        <w:b/>
      </w:rPr>
    </w:lvl>
    <w:lvl w:ilvl="1" w:tplc="08160019" w:tentative="1">
      <w:start w:val="1"/>
      <w:numFmt w:val="lowerLetter"/>
      <w:lvlText w:val="%2."/>
      <w:lvlJc w:val="left"/>
      <w:pPr>
        <w:ind w:left="2702" w:hanging="360"/>
      </w:pPr>
    </w:lvl>
    <w:lvl w:ilvl="2" w:tplc="0816001B" w:tentative="1">
      <w:start w:val="1"/>
      <w:numFmt w:val="lowerRoman"/>
      <w:lvlText w:val="%3."/>
      <w:lvlJc w:val="right"/>
      <w:pPr>
        <w:ind w:left="3422" w:hanging="180"/>
      </w:pPr>
    </w:lvl>
    <w:lvl w:ilvl="3" w:tplc="0816000F" w:tentative="1">
      <w:start w:val="1"/>
      <w:numFmt w:val="decimal"/>
      <w:lvlText w:val="%4."/>
      <w:lvlJc w:val="left"/>
      <w:pPr>
        <w:ind w:left="4142" w:hanging="360"/>
      </w:pPr>
    </w:lvl>
    <w:lvl w:ilvl="4" w:tplc="08160019" w:tentative="1">
      <w:start w:val="1"/>
      <w:numFmt w:val="lowerLetter"/>
      <w:lvlText w:val="%5."/>
      <w:lvlJc w:val="left"/>
      <w:pPr>
        <w:ind w:left="4862" w:hanging="360"/>
      </w:pPr>
    </w:lvl>
    <w:lvl w:ilvl="5" w:tplc="0816001B" w:tentative="1">
      <w:start w:val="1"/>
      <w:numFmt w:val="lowerRoman"/>
      <w:lvlText w:val="%6."/>
      <w:lvlJc w:val="right"/>
      <w:pPr>
        <w:ind w:left="5582" w:hanging="180"/>
      </w:pPr>
    </w:lvl>
    <w:lvl w:ilvl="6" w:tplc="0816000F" w:tentative="1">
      <w:start w:val="1"/>
      <w:numFmt w:val="decimal"/>
      <w:lvlText w:val="%7."/>
      <w:lvlJc w:val="left"/>
      <w:pPr>
        <w:ind w:left="6302" w:hanging="360"/>
      </w:pPr>
    </w:lvl>
    <w:lvl w:ilvl="7" w:tplc="08160019" w:tentative="1">
      <w:start w:val="1"/>
      <w:numFmt w:val="lowerLetter"/>
      <w:lvlText w:val="%8."/>
      <w:lvlJc w:val="left"/>
      <w:pPr>
        <w:ind w:left="7022" w:hanging="360"/>
      </w:pPr>
    </w:lvl>
    <w:lvl w:ilvl="8" w:tplc="0816001B" w:tentative="1">
      <w:start w:val="1"/>
      <w:numFmt w:val="lowerRoman"/>
      <w:lvlText w:val="%9."/>
      <w:lvlJc w:val="right"/>
      <w:pPr>
        <w:ind w:left="7742" w:hanging="180"/>
      </w:pPr>
    </w:lvl>
  </w:abstractNum>
  <w:abstractNum w:abstractNumId="28">
    <w:nsid w:val="2B6150CB"/>
    <w:multiLevelType w:val="hybridMultilevel"/>
    <w:tmpl w:val="C4B02F1C"/>
    <w:lvl w:ilvl="0" w:tplc="91DC0D24">
      <w:start w:val="1"/>
      <w:numFmt w:val="bullet"/>
      <w:lvlText w:val=""/>
      <w:lvlJc w:val="left"/>
      <w:pPr>
        <w:ind w:left="1503" w:hanging="360"/>
      </w:pPr>
      <w:rPr>
        <w:rFonts w:ascii="Wingdings" w:hAnsi="Wingdings" w:hint="default"/>
        <w:strike w:val="0"/>
      </w:rPr>
    </w:lvl>
    <w:lvl w:ilvl="1" w:tplc="08160003" w:tentative="1">
      <w:start w:val="1"/>
      <w:numFmt w:val="bullet"/>
      <w:lvlText w:val="o"/>
      <w:lvlJc w:val="left"/>
      <w:pPr>
        <w:ind w:left="2223" w:hanging="360"/>
      </w:pPr>
      <w:rPr>
        <w:rFonts w:ascii="Courier New" w:hAnsi="Courier New" w:cs="Courier New" w:hint="default"/>
      </w:rPr>
    </w:lvl>
    <w:lvl w:ilvl="2" w:tplc="08160005" w:tentative="1">
      <w:start w:val="1"/>
      <w:numFmt w:val="bullet"/>
      <w:lvlText w:val=""/>
      <w:lvlJc w:val="left"/>
      <w:pPr>
        <w:ind w:left="2943" w:hanging="360"/>
      </w:pPr>
      <w:rPr>
        <w:rFonts w:ascii="Wingdings" w:hAnsi="Wingdings" w:hint="default"/>
      </w:rPr>
    </w:lvl>
    <w:lvl w:ilvl="3" w:tplc="08160001" w:tentative="1">
      <w:start w:val="1"/>
      <w:numFmt w:val="bullet"/>
      <w:lvlText w:val=""/>
      <w:lvlJc w:val="left"/>
      <w:pPr>
        <w:ind w:left="3663" w:hanging="360"/>
      </w:pPr>
      <w:rPr>
        <w:rFonts w:ascii="Symbol" w:hAnsi="Symbol" w:hint="default"/>
      </w:rPr>
    </w:lvl>
    <w:lvl w:ilvl="4" w:tplc="08160003" w:tentative="1">
      <w:start w:val="1"/>
      <w:numFmt w:val="bullet"/>
      <w:lvlText w:val="o"/>
      <w:lvlJc w:val="left"/>
      <w:pPr>
        <w:ind w:left="4383" w:hanging="360"/>
      </w:pPr>
      <w:rPr>
        <w:rFonts w:ascii="Courier New" w:hAnsi="Courier New" w:cs="Courier New" w:hint="default"/>
      </w:rPr>
    </w:lvl>
    <w:lvl w:ilvl="5" w:tplc="08160005" w:tentative="1">
      <w:start w:val="1"/>
      <w:numFmt w:val="bullet"/>
      <w:lvlText w:val=""/>
      <w:lvlJc w:val="left"/>
      <w:pPr>
        <w:ind w:left="5103" w:hanging="360"/>
      </w:pPr>
      <w:rPr>
        <w:rFonts w:ascii="Wingdings" w:hAnsi="Wingdings" w:hint="default"/>
      </w:rPr>
    </w:lvl>
    <w:lvl w:ilvl="6" w:tplc="08160001" w:tentative="1">
      <w:start w:val="1"/>
      <w:numFmt w:val="bullet"/>
      <w:lvlText w:val=""/>
      <w:lvlJc w:val="left"/>
      <w:pPr>
        <w:ind w:left="5823" w:hanging="360"/>
      </w:pPr>
      <w:rPr>
        <w:rFonts w:ascii="Symbol" w:hAnsi="Symbol" w:hint="default"/>
      </w:rPr>
    </w:lvl>
    <w:lvl w:ilvl="7" w:tplc="08160003" w:tentative="1">
      <w:start w:val="1"/>
      <w:numFmt w:val="bullet"/>
      <w:lvlText w:val="o"/>
      <w:lvlJc w:val="left"/>
      <w:pPr>
        <w:ind w:left="6543" w:hanging="360"/>
      </w:pPr>
      <w:rPr>
        <w:rFonts w:ascii="Courier New" w:hAnsi="Courier New" w:cs="Courier New" w:hint="default"/>
      </w:rPr>
    </w:lvl>
    <w:lvl w:ilvl="8" w:tplc="08160005" w:tentative="1">
      <w:start w:val="1"/>
      <w:numFmt w:val="bullet"/>
      <w:lvlText w:val=""/>
      <w:lvlJc w:val="left"/>
      <w:pPr>
        <w:ind w:left="7263" w:hanging="360"/>
      </w:pPr>
      <w:rPr>
        <w:rFonts w:ascii="Wingdings" w:hAnsi="Wingdings" w:hint="default"/>
      </w:rPr>
    </w:lvl>
  </w:abstractNum>
  <w:abstractNum w:abstractNumId="29">
    <w:nsid w:val="2CB6033E"/>
    <w:multiLevelType w:val="hybridMultilevel"/>
    <w:tmpl w:val="129EACA8"/>
    <w:lvl w:ilvl="0" w:tplc="208E5300">
      <w:start w:val="1"/>
      <w:numFmt w:val="upperRoman"/>
      <w:lvlText w:val="%1."/>
      <w:lvlJc w:val="left"/>
      <w:pPr>
        <w:ind w:left="1145" w:hanging="720"/>
      </w:pPr>
      <w:rPr>
        <w:rFonts w:cstheme="minorHAnsi" w:hint="default"/>
        <w:b/>
      </w:rPr>
    </w:lvl>
    <w:lvl w:ilvl="1" w:tplc="08160019" w:tentative="1">
      <w:start w:val="1"/>
      <w:numFmt w:val="lowerLetter"/>
      <w:lvlText w:val="%2."/>
      <w:lvlJc w:val="left"/>
      <w:pPr>
        <w:ind w:left="1505" w:hanging="360"/>
      </w:pPr>
    </w:lvl>
    <w:lvl w:ilvl="2" w:tplc="0816001B" w:tentative="1">
      <w:start w:val="1"/>
      <w:numFmt w:val="lowerRoman"/>
      <w:lvlText w:val="%3."/>
      <w:lvlJc w:val="right"/>
      <w:pPr>
        <w:ind w:left="2225" w:hanging="180"/>
      </w:pPr>
    </w:lvl>
    <w:lvl w:ilvl="3" w:tplc="0816000F" w:tentative="1">
      <w:start w:val="1"/>
      <w:numFmt w:val="decimal"/>
      <w:lvlText w:val="%4."/>
      <w:lvlJc w:val="left"/>
      <w:pPr>
        <w:ind w:left="2945" w:hanging="360"/>
      </w:pPr>
    </w:lvl>
    <w:lvl w:ilvl="4" w:tplc="08160019" w:tentative="1">
      <w:start w:val="1"/>
      <w:numFmt w:val="lowerLetter"/>
      <w:lvlText w:val="%5."/>
      <w:lvlJc w:val="left"/>
      <w:pPr>
        <w:ind w:left="3665" w:hanging="360"/>
      </w:pPr>
    </w:lvl>
    <w:lvl w:ilvl="5" w:tplc="0816001B" w:tentative="1">
      <w:start w:val="1"/>
      <w:numFmt w:val="lowerRoman"/>
      <w:lvlText w:val="%6."/>
      <w:lvlJc w:val="right"/>
      <w:pPr>
        <w:ind w:left="4385" w:hanging="180"/>
      </w:pPr>
    </w:lvl>
    <w:lvl w:ilvl="6" w:tplc="0816000F" w:tentative="1">
      <w:start w:val="1"/>
      <w:numFmt w:val="decimal"/>
      <w:lvlText w:val="%7."/>
      <w:lvlJc w:val="left"/>
      <w:pPr>
        <w:ind w:left="5105" w:hanging="360"/>
      </w:pPr>
    </w:lvl>
    <w:lvl w:ilvl="7" w:tplc="08160019" w:tentative="1">
      <w:start w:val="1"/>
      <w:numFmt w:val="lowerLetter"/>
      <w:lvlText w:val="%8."/>
      <w:lvlJc w:val="left"/>
      <w:pPr>
        <w:ind w:left="5825" w:hanging="360"/>
      </w:pPr>
    </w:lvl>
    <w:lvl w:ilvl="8" w:tplc="0816001B" w:tentative="1">
      <w:start w:val="1"/>
      <w:numFmt w:val="lowerRoman"/>
      <w:lvlText w:val="%9."/>
      <w:lvlJc w:val="right"/>
      <w:pPr>
        <w:ind w:left="6545" w:hanging="180"/>
      </w:pPr>
    </w:lvl>
  </w:abstractNum>
  <w:abstractNum w:abstractNumId="30">
    <w:nsid w:val="2CF60BC3"/>
    <w:multiLevelType w:val="hybridMultilevel"/>
    <w:tmpl w:val="AF561D7C"/>
    <w:lvl w:ilvl="0" w:tplc="9E48DF9A">
      <w:start w:val="1"/>
      <w:numFmt w:val="bullet"/>
      <w:lvlText w:val=""/>
      <w:lvlJc w:val="left"/>
      <w:pPr>
        <w:ind w:left="1146" w:hanging="360"/>
      </w:pPr>
      <w:rPr>
        <w:rFonts w:ascii="Symbol" w:hAnsi="Symbol" w:hint="default"/>
      </w:rPr>
    </w:lvl>
    <w:lvl w:ilvl="1" w:tplc="08160003" w:tentative="1">
      <w:start w:val="1"/>
      <w:numFmt w:val="bullet"/>
      <w:lvlText w:val="o"/>
      <w:lvlJc w:val="left"/>
      <w:pPr>
        <w:ind w:left="1866" w:hanging="360"/>
      </w:pPr>
      <w:rPr>
        <w:rFonts w:ascii="Courier New" w:hAnsi="Courier New" w:cs="Courier New" w:hint="default"/>
      </w:rPr>
    </w:lvl>
    <w:lvl w:ilvl="2" w:tplc="08160005" w:tentative="1">
      <w:start w:val="1"/>
      <w:numFmt w:val="bullet"/>
      <w:lvlText w:val=""/>
      <w:lvlJc w:val="left"/>
      <w:pPr>
        <w:ind w:left="2586" w:hanging="360"/>
      </w:pPr>
      <w:rPr>
        <w:rFonts w:ascii="Wingdings" w:hAnsi="Wingdings" w:hint="default"/>
      </w:rPr>
    </w:lvl>
    <w:lvl w:ilvl="3" w:tplc="08160001" w:tentative="1">
      <w:start w:val="1"/>
      <w:numFmt w:val="bullet"/>
      <w:lvlText w:val=""/>
      <w:lvlJc w:val="left"/>
      <w:pPr>
        <w:ind w:left="3306" w:hanging="360"/>
      </w:pPr>
      <w:rPr>
        <w:rFonts w:ascii="Symbol" w:hAnsi="Symbol" w:hint="default"/>
      </w:rPr>
    </w:lvl>
    <w:lvl w:ilvl="4" w:tplc="08160003" w:tentative="1">
      <w:start w:val="1"/>
      <w:numFmt w:val="bullet"/>
      <w:lvlText w:val="o"/>
      <w:lvlJc w:val="left"/>
      <w:pPr>
        <w:ind w:left="4026" w:hanging="360"/>
      </w:pPr>
      <w:rPr>
        <w:rFonts w:ascii="Courier New" w:hAnsi="Courier New" w:cs="Courier New" w:hint="default"/>
      </w:rPr>
    </w:lvl>
    <w:lvl w:ilvl="5" w:tplc="08160005" w:tentative="1">
      <w:start w:val="1"/>
      <w:numFmt w:val="bullet"/>
      <w:lvlText w:val=""/>
      <w:lvlJc w:val="left"/>
      <w:pPr>
        <w:ind w:left="4746" w:hanging="360"/>
      </w:pPr>
      <w:rPr>
        <w:rFonts w:ascii="Wingdings" w:hAnsi="Wingdings" w:hint="default"/>
      </w:rPr>
    </w:lvl>
    <w:lvl w:ilvl="6" w:tplc="08160001" w:tentative="1">
      <w:start w:val="1"/>
      <w:numFmt w:val="bullet"/>
      <w:lvlText w:val=""/>
      <w:lvlJc w:val="left"/>
      <w:pPr>
        <w:ind w:left="5466" w:hanging="360"/>
      </w:pPr>
      <w:rPr>
        <w:rFonts w:ascii="Symbol" w:hAnsi="Symbol" w:hint="default"/>
      </w:rPr>
    </w:lvl>
    <w:lvl w:ilvl="7" w:tplc="08160003" w:tentative="1">
      <w:start w:val="1"/>
      <w:numFmt w:val="bullet"/>
      <w:lvlText w:val="o"/>
      <w:lvlJc w:val="left"/>
      <w:pPr>
        <w:ind w:left="6186" w:hanging="360"/>
      </w:pPr>
      <w:rPr>
        <w:rFonts w:ascii="Courier New" w:hAnsi="Courier New" w:cs="Courier New" w:hint="default"/>
      </w:rPr>
    </w:lvl>
    <w:lvl w:ilvl="8" w:tplc="08160005" w:tentative="1">
      <w:start w:val="1"/>
      <w:numFmt w:val="bullet"/>
      <w:lvlText w:val=""/>
      <w:lvlJc w:val="left"/>
      <w:pPr>
        <w:ind w:left="6906" w:hanging="360"/>
      </w:pPr>
      <w:rPr>
        <w:rFonts w:ascii="Wingdings" w:hAnsi="Wingdings" w:hint="default"/>
      </w:rPr>
    </w:lvl>
  </w:abstractNum>
  <w:abstractNum w:abstractNumId="31">
    <w:nsid w:val="2FC95D33"/>
    <w:multiLevelType w:val="hybridMultilevel"/>
    <w:tmpl w:val="9FB0CBD4"/>
    <w:lvl w:ilvl="0" w:tplc="552CE090">
      <w:start w:val="1"/>
      <w:numFmt w:val="upperRoman"/>
      <w:lvlText w:val="%1."/>
      <w:lvlJc w:val="left"/>
      <w:pPr>
        <w:ind w:left="1146" w:hanging="720"/>
      </w:pPr>
      <w:rPr>
        <w:rFonts w:hint="default"/>
        <w:b/>
        <w:sz w:val="23"/>
      </w:rPr>
    </w:lvl>
    <w:lvl w:ilvl="1" w:tplc="08160019" w:tentative="1">
      <w:start w:val="1"/>
      <w:numFmt w:val="lowerLetter"/>
      <w:lvlText w:val="%2."/>
      <w:lvlJc w:val="left"/>
      <w:pPr>
        <w:ind w:left="1506" w:hanging="360"/>
      </w:pPr>
    </w:lvl>
    <w:lvl w:ilvl="2" w:tplc="0816001B" w:tentative="1">
      <w:start w:val="1"/>
      <w:numFmt w:val="lowerRoman"/>
      <w:lvlText w:val="%3."/>
      <w:lvlJc w:val="right"/>
      <w:pPr>
        <w:ind w:left="2226" w:hanging="180"/>
      </w:pPr>
    </w:lvl>
    <w:lvl w:ilvl="3" w:tplc="0816000F" w:tentative="1">
      <w:start w:val="1"/>
      <w:numFmt w:val="decimal"/>
      <w:lvlText w:val="%4."/>
      <w:lvlJc w:val="left"/>
      <w:pPr>
        <w:ind w:left="2946" w:hanging="360"/>
      </w:pPr>
    </w:lvl>
    <w:lvl w:ilvl="4" w:tplc="08160019" w:tentative="1">
      <w:start w:val="1"/>
      <w:numFmt w:val="lowerLetter"/>
      <w:lvlText w:val="%5."/>
      <w:lvlJc w:val="left"/>
      <w:pPr>
        <w:ind w:left="3666" w:hanging="360"/>
      </w:pPr>
    </w:lvl>
    <w:lvl w:ilvl="5" w:tplc="0816001B" w:tentative="1">
      <w:start w:val="1"/>
      <w:numFmt w:val="lowerRoman"/>
      <w:lvlText w:val="%6."/>
      <w:lvlJc w:val="right"/>
      <w:pPr>
        <w:ind w:left="4386" w:hanging="180"/>
      </w:pPr>
    </w:lvl>
    <w:lvl w:ilvl="6" w:tplc="0816000F" w:tentative="1">
      <w:start w:val="1"/>
      <w:numFmt w:val="decimal"/>
      <w:lvlText w:val="%7."/>
      <w:lvlJc w:val="left"/>
      <w:pPr>
        <w:ind w:left="5106" w:hanging="360"/>
      </w:pPr>
    </w:lvl>
    <w:lvl w:ilvl="7" w:tplc="08160019" w:tentative="1">
      <w:start w:val="1"/>
      <w:numFmt w:val="lowerLetter"/>
      <w:lvlText w:val="%8."/>
      <w:lvlJc w:val="left"/>
      <w:pPr>
        <w:ind w:left="5826" w:hanging="360"/>
      </w:pPr>
    </w:lvl>
    <w:lvl w:ilvl="8" w:tplc="0816001B" w:tentative="1">
      <w:start w:val="1"/>
      <w:numFmt w:val="lowerRoman"/>
      <w:lvlText w:val="%9."/>
      <w:lvlJc w:val="right"/>
      <w:pPr>
        <w:ind w:left="6546" w:hanging="180"/>
      </w:pPr>
    </w:lvl>
  </w:abstractNum>
  <w:abstractNum w:abstractNumId="32">
    <w:nsid w:val="30DE721F"/>
    <w:multiLevelType w:val="hybridMultilevel"/>
    <w:tmpl w:val="D1BC987C"/>
    <w:lvl w:ilvl="0" w:tplc="9E48DF9A">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3">
    <w:nsid w:val="331F71A6"/>
    <w:multiLevelType w:val="hybridMultilevel"/>
    <w:tmpl w:val="93A6ED06"/>
    <w:lvl w:ilvl="0" w:tplc="0816001B">
      <w:start w:val="1"/>
      <w:numFmt w:val="lowerRoman"/>
      <w:lvlText w:val="%1."/>
      <w:lvlJc w:val="righ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4">
    <w:nsid w:val="33341F18"/>
    <w:multiLevelType w:val="hybridMultilevel"/>
    <w:tmpl w:val="F614F19E"/>
    <w:lvl w:ilvl="0" w:tplc="2F16D788">
      <w:start w:val="1"/>
      <w:numFmt w:val="upperRoman"/>
      <w:lvlText w:val="%1."/>
      <w:lvlJc w:val="left"/>
      <w:pPr>
        <w:ind w:left="1269" w:hanging="855"/>
      </w:pPr>
      <w:rPr>
        <w:rFonts w:hint="default"/>
        <w:b/>
        <w:color w:val="auto"/>
      </w:rPr>
    </w:lvl>
    <w:lvl w:ilvl="1" w:tplc="08160019" w:tentative="1">
      <w:start w:val="1"/>
      <w:numFmt w:val="lowerLetter"/>
      <w:lvlText w:val="%2."/>
      <w:lvlJc w:val="left"/>
      <w:pPr>
        <w:ind w:left="1494" w:hanging="360"/>
      </w:pPr>
    </w:lvl>
    <w:lvl w:ilvl="2" w:tplc="0816001B" w:tentative="1">
      <w:start w:val="1"/>
      <w:numFmt w:val="lowerRoman"/>
      <w:lvlText w:val="%3."/>
      <w:lvlJc w:val="right"/>
      <w:pPr>
        <w:ind w:left="2214" w:hanging="180"/>
      </w:pPr>
    </w:lvl>
    <w:lvl w:ilvl="3" w:tplc="0816000F" w:tentative="1">
      <w:start w:val="1"/>
      <w:numFmt w:val="decimal"/>
      <w:lvlText w:val="%4."/>
      <w:lvlJc w:val="left"/>
      <w:pPr>
        <w:ind w:left="2934" w:hanging="360"/>
      </w:pPr>
    </w:lvl>
    <w:lvl w:ilvl="4" w:tplc="08160019" w:tentative="1">
      <w:start w:val="1"/>
      <w:numFmt w:val="lowerLetter"/>
      <w:lvlText w:val="%5."/>
      <w:lvlJc w:val="left"/>
      <w:pPr>
        <w:ind w:left="3654" w:hanging="360"/>
      </w:pPr>
    </w:lvl>
    <w:lvl w:ilvl="5" w:tplc="0816001B" w:tentative="1">
      <w:start w:val="1"/>
      <w:numFmt w:val="lowerRoman"/>
      <w:lvlText w:val="%6."/>
      <w:lvlJc w:val="right"/>
      <w:pPr>
        <w:ind w:left="4374" w:hanging="180"/>
      </w:pPr>
    </w:lvl>
    <w:lvl w:ilvl="6" w:tplc="0816000F" w:tentative="1">
      <w:start w:val="1"/>
      <w:numFmt w:val="decimal"/>
      <w:lvlText w:val="%7."/>
      <w:lvlJc w:val="left"/>
      <w:pPr>
        <w:ind w:left="5094" w:hanging="360"/>
      </w:pPr>
    </w:lvl>
    <w:lvl w:ilvl="7" w:tplc="08160019" w:tentative="1">
      <w:start w:val="1"/>
      <w:numFmt w:val="lowerLetter"/>
      <w:lvlText w:val="%8."/>
      <w:lvlJc w:val="left"/>
      <w:pPr>
        <w:ind w:left="5814" w:hanging="360"/>
      </w:pPr>
    </w:lvl>
    <w:lvl w:ilvl="8" w:tplc="0816001B" w:tentative="1">
      <w:start w:val="1"/>
      <w:numFmt w:val="lowerRoman"/>
      <w:lvlText w:val="%9."/>
      <w:lvlJc w:val="right"/>
      <w:pPr>
        <w:ind w:left="6534" w:hanging="180"/>
      </w:pPr>
    </w:lvl>
  </w:abstractNum>
  <w:abstractNum w:abstractNumId="35">
    <w:nsid w:val="33FD2078"/>
    <w:multiLevelType w:val="hybridMultilevel"/>
    <w:tmpl w:val="A898601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6">
    <w:nsid w:val="381A0B18"/>
    <w:multiLevelType w:val="hybridMultilevel"/>
    <w:tmpl w:val="856E4296"/>
    <w:lvl w:ilvl="0" w:tplc="9E48DF9A">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7">
    <w:nsid w:val="38986B13"/>
    <w:multiLevelType w:val="hybridMultilevel"/>
    <w:tmpl w:val="55982AD0"/>
    <w:lvl w:ilvl="0" w:tplc="80106126">
      <w:start w:val="1"/>
      <w:numFmt w:val="upperRoman"/>
      <w:lvlText w:val="%1."/>
      <w:lvlJc w:val="left"/>
      <w:pPr>
        <w:ind w:left="1080" w:hanging="720"/>
      </w:pPr>
      <w:rPr>
        <w:rFonts w:ascii="Calibri" w:hAnsi="Calibri" w:cs="Calibri"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8">
    <w:nsid w:val="3A0B7792"/>
    <w:multiLevelType w:val="hybridMultilevel"/>
    <w:tmpl w:val="D51AC898"/>
    <w:lvl w:ilvl="0" w:tplc="9E48DF9A">
      <w:start w:val="1"/>
      <w:numFmt w:val="bullet"/>
      <w:lvlText w:val=""/>
      <w:lvlJc w:val="left"/>
      <w:pPr>
        <w:ind w:left="1146" w:hanging="360"/>
      </w:pPr>
      <w:rPr>
        <w:rFonts w:ascii="Symbol" w:hAnsi="Symbol" w:hint="default"/>
      </w:rPr>
    </w:lvl>
    <w:lvl w:ilvl="1" w:tplc="08160003" w:tentative="1">
      <w:start w:val="1"/>
      <w:numFmt w:val="bullet"/>
      <w:lvlText w:val="o"/>
      <w:lvlJc w:val="left"/>
      <w:pPr>
        <w:ind w:left="1866" w:hanging="360"/>
      </w:pPr>
      <w:rPr>
        <w:rFonts w:ascii="Courier New" w:hAnsi="Courier New" w:cs="Courier New" w:hint="default"/>
      </w:rPr>
    </w:lvl>
    <w:lvl w:ilvl="2" w:tplc="08160005" w:tentative="1">
      <w:start w:val="1"/>
      <w:numFmt w:val="bullet"/>
      <w:lvlText w:val=""/>
      <w:lvlJc w:val="left"/>
      <w:pPr>
        <w:ind w:left="2586" w:hanging="360"/>
      </w:pPr>
      <w:rPr>
        <w:rFonts w:ascii="Wingdings" w:hAnsi="Wingdings" w:hint="default"/>
      </w:rPr>
    </w:lvl>
    <w:lvl w:ilvl="3" w:tplc="08160001" w:tentative="1">
      <w:start w:val="1"/>
      <w:numFmt w:val="bullet"/>
      <w:lvlText w:val=""/>
      <w:lvlJc w:val="left"/>
      <w:pPr>
        <w:ind w:left="3306" w:hanging="360"/>
      </w:pPr>
      <w:rPr>
        <w:rFonts w:ascii="Symbol" w:hAnsi="Symbol" w:hint="default"/>
      </w:rPr>
    </w:lvl>
    <w:lvl w:ilvl="4" w:tplc="08160003" w:tentative="1">
      <w:start w:val="1"/>
      <w:numFmt w:val="bullet"/>
      <w:lvlText w:val="o"/>
      <w:lvlJc w:val="left"/>
      <w:pPr>
        <w:ind w:left="4026" w:hanging="360"/>
      </w:pPr>
      <w:rPr>
        <w:rFonts w:ascii="Courier New" w:hAnsi="Courier New" w:cs="Courier New" w:hint="default"/>
      </w:rPr>
    </w:lvl>
    <w:lvl w:ilvl="5" w:tplc="08160005" w:tentative="1">
      <w:start w:val="1"/>
      <w:numFmt w:val="bullet"/>
      <w:lvlText w:val=""/>
      <w:lvlJc w:val="left"/>
      <w:pPr>
        <w:ind w:left="4746" w:hanging="360"/>
      </w:pPr>
      <w:rPr>
        <w:rFonts w:ascii="Wingdings" w:hAnsi="Wingdings" w:hint="default"/>
      </w:rPr>
    </w:lvl>
    <w:lvl w:ilvl="6" w:tplc="08160001" w:tentative="1">
      <w:start w:val="1"/>
      <w:numFmt w:val="bullet"/>
      <w:lvlText w:val=""/>
      <w:lvlJc w:val="left"/>
      <w:pPr>
        <w:ind w:left="5466" w:hanging="360"/>
      </w:pPr>
      <w:rPr>
        <w:rFonts w:ascii="Symbol" w:hAnsi="Symbol" w:hint="default"/>
      </w:rPr>
    </w:lvl>
    <w:lvl w:ilvl="7" w:tplc="08160003" w:tentative="1">
      <w:start w:val="1"/>
      <w:numFmt w:val="bullet"/>
      <w:lvlText w:val="o"/>
      <w:lvlJc w:val="left"/>
      <w:pPr>
        <w:ind w:left="6186" w:hanging="360"/>
      </w:pPr>
      <w:rPr>
        <w:rFonts w:ascii="Courier New" w:hAnsi="Courier New" w:cs="Courier New" w:hint="default"/>
      </w:rPr>
    </w:lvl>
    <w:lvl w:ilvl="8" w:tplc="08160005" w:tentative="1">
      <w:start w:val="1"/>
      <w:numFmt w:val="bullet"/>
      <w:lvlText w:val=""/>
      <w:lvlJc w:val="left"/>
      <w:pPr>
        <w:ind w:left="6906" w:hanging="360"/>
      </w:pPr>
      <w:rPr>
        <w:rFonts w:ascii="Wingdings" w:hAnsi="Wingdings" w:hint="default"/>
      </w:rPr>
    </w:lvl>
  </w:abstractNum>
  <w:abstractNum w:abstractNumId="39">
    <w:nsid w:val="3AAF0FD0"/>
    <w:multiLevelType w:val="hybridMultilevel"/>
    <w:tmpl w:val="9B34B52A"/>
    <w:lvl w:ilvl="0" w:tplc="9E48DF9A">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0">
    <w:nsid w:val="3C583994"/>
    <w:multiLevelType w:val="hybridMultilevel"/>
    <w:tmpl w:val="56B4C266"/>
    <w:lvl w:ilvl="0" w:tplc="79B8F5D6">
      <w:start w:val="1"/>
      <w:numFmt w:val="bullet"/>
      <w:lvlText w:val=""/>
      <w:lvlJc w:val="left"/>
      <w:pPr>
        <w:ind w:left="720" w:hanging="360"/>
      </w:pPr>
      <w:rPr>
        <w:rFonts w:ascii="Symbol" w:hAnsi="Symbol" w:hint="default"/>
        <w:b w:val="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1">
    <w:nsid w:val="3C5D6A2D"/>
    <w:multiLevelType w:val="hybridMultilevel"/>
    <w:tmpl w:val="2836E1E4"/>
    <w:lvl w:ilvl="0" w:tplc="9E48DF9A">
      <w:start w:val="1"/>
      <w:numFmt w:val="bullet"/>
      <w:lvlText w:val=""/>
      <w:lvlJc w:val="left"/>
      <w:pPr>
        <w:ind w:left="1134" w:hanging="360"/>
      </w:pPr>
      <w:rPr>
        <w:rFonts w:ascii="Symbol" w:hAnsi="Symbol" w:hint="default"/>
      </w:rPr>
    </w:lvl>
    <w:lvl w:ilvl="1" w:tplc="08160003" w:tentative="1">
      <w:start w:val="1"/>
      <w:numFmt w:val="bullet"/>
      <w:lvlText w:val="o"/>
      <w:lvlJc w:val="left"/>
      <w:pPr>
        <w:ind w:left="1854" w:hanging="360"/>
      </w:pPr>
      <w:rPr>
        <w:rFonts w:ascii="Courier New" w:hAnsi="Courier New" w:cs="Courier New" w:hint="default"/>
      </w:rPr>
    </w:lvl>
    <w:lvl w:ilvl="2" w:tplc="08160005" w:tentative="1">
      <w:start w:val="1"/>
      <w:numFmt w:val="bullet"/>
      <w:lvlText w:val=""/>
      <w:lvlJc w:val="left"/>
      <w:pPr>
        <w:ind w:left="2574" w:hanging="360"/>
      </w:pPr>
      <w:rPr>
        <w:rFonts w:ascii="Wingdings" w:hAnsi="Wingdings" w:hint="default"/>
      </w:rPr>
    </w:lvl>
    <w:lvl w:ilvl="3" w:tplc="08160001" w:tentative="1">
      <w:start w:val="1"/>
      <w:numFmt w:val="bullet"/>
      <w:lvlText w:val=""/>
      <w:lvlJc w:val="left"/>
      <w:pPr>
        <w:ind w:left="3294" w:hanging="360"/>
      </w:pPr>
      <w:rPr>
        <w:rFonts w:ascii="Symbol" w:hAnsi="Symbol" w:hint="default"/>
      </w:rPr>
    </w:lvl>
    <w:lvl w:ilvl="4" w:tplc="08160003" w:tentative="1">
      <w:start w:val="1"/>
      <w:numFmt w:val="bullet"/>
      <w:lvlText w:val="o"/>
      <w:lvlJc w:val="left"/>
      <w:pPr>
        <w:ind w:left="4014" w:hanging="360"/>
      </w:pPr>
      <w:rPr>
        <w:rFonts w:ascii="Courier New" w:hAnsi="Courier New" w:cs="Courier New" w:hint="default"/>
      </w:rPr>
    </w:lvl>
    <w:lvl w:ilvl="5" w:tplc="08160005" w:tentative="1">
      <w:start w:val="1"/>
      <w:numFmt w:val="bullet"/>
      <w:lvlText w:val=""/>
      <w:lvlJc w:val="left"/>
      <w:pPr>
        <w:ind w:left="4734" w:hanging="360"/>
      </w:pPr>
      <w:rPr>
        <w:rFonts w:ascii="Wingdings" w:hAnsi="Wingdings" w:hint="default"/>
      </w:rPr>
    </w:lvl>
    <w:lvl w:ilvl="6" w:tplc="08160001" w:tentative="1">
      <w:start w:val="1"/>
      <w:numFmt w:val="bullet"/>
      <w:lvlText w:val=""/>
      <w:lvlJc w:val="left"/>
      <w:pPr>
        <w:ind w:left="5454" w:hanging="360"/>
      </w:pPr>
      <w:rPr>
        <w:rFonts w:ascii="Symbol" w:hAnsi="Symbol" w:hint="default"/>
      </w:rPr>
    </w:lvl>
    <w:lvl w:ilvl="7" w:tplc="08160003" w:tentative="1">
      <w:start w:val="1"/>
      <w:numFmt w:val="bullet"/>
      <w:lvlText w:val="o"/>
      <w:lvlJc w:val="left"/>
      <w:pPr>
        <w:ind w:left="6174" w:hanging="360"/>
      </w:pPr>
      <w:rPr>
        <w:rFonts w:ascii="Courier New" w:hAnsi="Courier New" w:cs="Courier New" w:hint="default"/>
      </w:rPr>
    </w:lvl>
    <w:lvl w:ilvl="8" w:tplc="08160005" w:tentative="1">
      <w:start w:val="1"/>
      <w:numFmt w:val="bullet"/>
      <w:lvlText w:val=""/>
      <w:lvlJc w:val="left"/>
      <w:pPr>
        <w:ind w:left="6894" w:hanging="360"/>
      </w:pPr>
      <w:rPr>
        <w:rFonts w:ascii="Wingdings" w:hAnsi="Wingdings" w:hint="default"/>
      </w:rPr>
    </w:lvl>
  </w:abstractNum>
  <w:abstractNum w:abstractNumId="42">
    <w:nsid w:val="3C7A5EEE"/>
    <w:multiLevelType w:val="multilevel"/>
    <w:tmpl w:val="989E91D8"/>
    <w:lvl w:ilvl="0">
      <w:start w:val="4"/>
      <w:numFmt w:val="upperRoman"/>
      <w:lvlText w:val="%1."/>
      <w:lvlJc w:val="left"/>
      <w:pPr>
        <w:ind w:left="1429" w:hanging="720"/>
      </w:pPr>
      <w:rPr>
        <w:rFonts w:hint="default"/>
      </w:rPr>
    </w:lvl>
    <w:lvl w:ilvl="1">
      <w:start w:val="1"/>
      <w:numFmt w:val="decimal"/>
      <w:isLgl/>
      <w:lvlText w:val="%1.%2"/>
      <w:lvlJc w:val="left"/>
      <w:pPr>
        <w:ind w:left="1980" w:hanging="420"/>
      </w:pPr>
      <w:rPr>
        <w:rFonts w:hint="default"/>
      </w:rPr>
    </w:lvl>
    <w:lvl w:ilvl="2">
      <w:start w:val="1"/>
      <w:numFmt w:val="decimal"/>
      <w:isLgl/>
      <w:lvlText w:val="%1.%2.%3"/>
      <w:lvlJc w:val="left"/>
      <w:pPr>
        <w:ind w:left="2843"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4617" w:hanging="1080"/>
      </w:pPr>
      <w:rPr>
        <w:rFonts w:hint="default"/>
      </w:rPr>
    </w:lvl>
    <w:lvl w:ilvl="5">
      <w:start w:val="1"/>
      <w:numFmt w:val="decimal"/>
      <w:isLgl/>
      <w:lvlText w:val="%1.%2.%3.%4.%5.%6"/>
      <w:lvlJc w:val="left"/>
      <w:pPr>
        <w:ind w:left="5684" w:hanging="1440"/>
      </w:pPr>
      <w:rPr>
        <w:rFonts w:hint="default"/>
      </w:rPr>
    </w:lvl>
    <w:lvl w:ilvl="6">
      <w:start w:val="1"/>
      <w:numFmt w:val="decimal"/>
      <w:isLgl/>
      <w:lvlText w:val="%1.%2.%3.%4.%5.%6.%7"/>
      <w:lvlJc w:val="left"/>
      <w:pPr>
        <w:ind w:left="6391" w:hanging="1440"/>
      </w:pPr>
      <w:rPr>
        <w:rFonts w:hint="default"/>
      </w:rPr>
    </w:lvl>
    <w:lvl w:ilvl="7">
      <w:start w:val="1"/>
      <w:numFmt w:val="decimal"/>
      <w:isLgl/>
      <w:lvlText w:val="%1.%2.%3.%4.%5.%6.%7.%8"/>
      <w:lvlJc w:val="left"/>
      <w:pPr>
        <w:ind w:left="7458" w:hanging="1800"/>
      </w:pPr>
      <w:rPr>
        <w:rFonts w:hint="default"/>
      </w:rPr>
    </w:lvl>
    <w:lvl w:ilvl="8">
      <w:start w:val="1"/>
      <w:numFmt w:val="decimal"/>
      <w:isLgl/>
      <w:lvlText w:val="%1.%2.%3.%4.%5.%6.%7.%8.%9"/>
      <w:lvlJc w:val="left"/>
      <w:pPr>
        <w:ind w:left="8165" w:hanging="1800"/>
      </w:pPr>
      <w:rPr>
        <w:rFonts w:hint="default"/>
      </w:rPr>
    </w:lvl>
  </w:abstractNum>
  <w:abstractNum w:abstractNumId="43">
    <w:nsid w:val="3CB22F2F"/>
    <w:multiLevelType w:val="hybridMultilevel"/>
    <w:tmpl w:val="DB0CF5AA"/>
    <w:lvl w:ilvl="0" w:tplc="9E48DF9A">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4">
    <w:nsid w:val="3D314E4D"/>
    <w:multiLevelType w:val="hybridMultilevel"/>
    <w:tmpl w:val="41F6E918"/>
    <w:lvl w:ilvl="0" w:tplc="9E48DF9A">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5">
    <w:nsid w:val="3E337DF8"/>
    <w:multiLevelType w:val="hybridMultilevel"/>
    <w:tmpl w:val="F7A8B078"/>
    <w:lvl w:ilvl="0" w:tplc="9E48DF9A">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6">
    <w:nsid w:val="3F7119A1"/>
    <w:multiLevelType w:val="hybridMultilevel"/>
    <w:tmpl w:val="17706C1A"/>
    <w:lvl w:ilvl="0" w:tplc="B06838FE">
      <w:start w:val="1"/>
      <w:numFmt w:val="upperRoman"/>
      <w:lvlText w:val="%1."/>
      <w:lvlJc w:val="left"/>
      <w:pPr>
        <w:ind w:left="1080" w:hanging="72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7">
    <w:nsid w:val="4106560B"/>
    <w:multiLevelType w:val="hybridMultilevel"/>
    <w:tmpl w:val="61020250"/>
    <w:lvl w:ilvl="0" w:tplc="9E48DF9A">
      <w:start w:val="1"/>
      <w:numFmt w:val="bullet"/>
      <w:lvlText w:val=""/>
      <w:lvlJc w:val="left"/>
      <w:pPr>
        <w:ind w:left="1429" w:hanging="360"/>
      </w:pPr>
      <w:rPr>
        <w:rFonts w:ascii="Symbol" w:hAnsi="Symbol" w:hint="default"/>
      </w:rPr>
    </w:lvl>
    <w:lvl w:ilvl="1" w:tplc="08160003" w:tentative="1">
      <w:start w:val="1"/>
      <w:numFmt w:val="bullet"/>
      <w:lvlText w:val="o"/>
      <w:lvlJc w:val="left"/>
      <w:pPr>
        <w:ind w:left="2149" w:hanging="360"/>
      </w:pPr>
      <w:rPr>
        <w:rFonts w:ascii="Courier New" w:hAnsi="Courier New" w:cs="Courier New" w:hint="default"/>
      </w:rPr>
    </w:lvl>
    <w:lvl w:ilvl="2" w:tplc="08160005" w:tentative="1">
      <w:start w:val="1"/>
      <w:numFmt w:val="bullet"/>
      <w:lvlText w:val=""/>
      <w:lvlJc w:val="left"/>
      <w:pPr>
        <w:ind w:left="2869" w:hanging="360"/>
      </w:pPr>
      <w:rPr>
        <w:rFonts w:ascii="Wingdings" w:hAnsi="Wingdings" w:hint="default"/>
      </w:rPr>
    </w:lvl>
    <w:lvl w:ilvl="3" w:tplc="08160001" w:tentative="1">
      <w:start w:val="1"/>
      <w:numFmt w:val="bullet"/>
      <w:lvlText w:val=""/>
      <w:lvlJc w:val="left"/>
      <w:pPr>
        <w:ind w:left="3589" w:hanging="360"/>
      </w:pPr>
      <w:rPr>
        <w:rFonts w:ascii="Symbol" w:hAnsi="Symbol" w:hint="default"/>
      </w:rPr>
    </w:lvl>
    <w:lvl w:ilvl="4" w:tplc="08160003" w:tentative="1">
      <w:start w:val="1"/>
      <w:numFmt w:val="bullet"/>
      <w:lvlText w:val="o"/>
      <w:lvlJc w:val="left"/>
      <w:pPr>
        <w:ind w:left="4309" w:hanging="360"/>
      </w:pPr>
      <w:rPr>
        <w:rFonts w:ascii="Courier New" w:hAnsi="Courier New" w:cs="Courier New" w:hint="default"/>
      </w:rPr>
    </w:lvl>
    <w:lvl w:ilvl="5" w:tplc="08160005" w:tentative="1">
      <w:start w:val="1"/>
      <w:numFmt w:val="bullet"/>
      <w:lvlText w:val=""/>
      <w:lvlJc w:val="left"/>
      <w:pPr>
        <w:ind w:left="5029" w:hanging="360"/>
      </w:pPr>
      <w:rPr>
        <w:rFonts w:ascii="Wingdings" w:hAnsi="Wingdings" w:hint="default"/>
      </w:rPr>
    </w:lvl>
    <w:lvl w:ilvl="6" w:tplc="08160001" w:tentative="1">
      <w:start w:val="1"/>
      <w:numFmt w:val="bullet"/>
      <w:lvlText w:val=""/>
      <w:lvlJc w:val="left"/>
      <w:pPr>
        <w:ind w:left="5749" w:hanging="360"/>
      </w:pPr>
      <w:rPr>
        <w:rFonts w:ascii="Symbol" w:hAnsi="Symbol" w:hint="default"/>
      </w:rPr>
    </w:lvl>
    <w:lvl w:ilvl="7" w:tplc="08160003" w:tentative="1">
      <w:start w:val="1"/>
      <w:numFmt w:val="bullet"/>
      <w:lvlText w:val="o"/>
      <w:lvlJc w:val="left"/>
      <w:pPr>
        <w:ind w:left="6469" w:hanging="360"/>
      </w:pPr>
      <w:rPr>
        <w:rFonts w:ascii="Courier New" w:hAnsi="Courier New" w:cs="Courier New" w:hint="default"/>
      </w:rPr>
    </w:lvl>
    <w:lvl w:ilvl="8" w:tplc="08160005" w:tentative="1">
      <w:start w:val="1"/>
      <w:numFmt w:val="bullet"/>
      <w:lvlText w:val=""/>
      <w:lvlJc w:val="left"/>
      <w:pPr>
        <w:ind w:left="7189" w:hanging="360"/>
      </w:pPr>
      <w:rPr>
        <w:rFonts w:ascii="Wingdings" w:hAnsi="Wingdings" w:hint="default"/>
      </w:rPr>
    </w:lvl>
  </w:abstractNum>
  <w:abstractNum w:abstractNumId="48">
    <w:nsid w:val="412E384B"/>
    <w:multiLevelType w:val="hybridMultilevel"/>
    <w:tmpl w:val="FE94268C"/>
    <w:lvl w:ilvl="0" w:tplc="2806D68E">
      <w:start w:val="1"/>
      <w:numFmt w:val="upperRoman"/>
      <w:lvlText w:val="%1."/>
      <w:lvlJc w:val="left"/>
      <w:pPr>
        <w:ind w:left="1429" w:hanging="720"/>
      </w:pPr>
      <w:rPr>
        <w:rFonts w:asciiTheme="minorHAnsi" w:hAnsiTheme="minorHAnsi" w:cstheme="minorHAnsi" w:hint="default"/>
        <w:b/>
      </w:rPr>
    </w:lvl>
    <w:lvl w:ilvl="1" w:tplc="08160019" w:tentative="1">
      <w:start w:val="1"/>
      <w:numFmt w:val="lowerLetter"/>
      <w:lvlText w:val="%2."/>
      <w:lvlJc w:val="left"/>
      <w:pPr>
        <w:ind w:left="1086" w:hanging="360"/>
      </w:pPr>
    </w:lvl>
    <w:lvl w:ilvl="2" w:tplc="0816001B" w:tentative="1">
      <w:start w:val="1"/>
      <w:numFmt w:val="lowerRoman"/>
      <w:lvlText w:val="%3."/>
      <w:lvlJc w:val="right"/>
      <w:pPr>
        <w:ind w:left="1806" w:hanging="180"/>
      </w:pPr>
    </w:lvl>
    <w:lvl w:ilvl="3" w:tplc="0816000F" w:tentative="1">
      <w:start w:val="1"/>
      <w:numFmt w:val="decimal"/>
      <w:lvlText w:val="%4."/>
      <w:lvlJc w:val="left"/>
      <w:pPr>
        <w:ind w:left="2526" w:hanging="360"/>
      </w:pPr>
    </w:lvl>
    <w:lvl w:ilvl="4" w:tplc="08160019" w:tentative="1">
      <w:start w:val="1"/>
      <w:numFmt w:val="lowerLetter"/>
      <w:lvlText w:val="%5."/>
      <w:lvlJc w:val="left"/>
      <w:pPr>
        <w:ind w:left="3246" w:hanging="360"/>
      </w:pPr>
    </w:lvl>
    <w:lvl w:ilvl="5" w:tplc="0816001B" w:tentative="1">
      <w:start w:val="1"/>
      <w:numFmt w:val="lowerRoman"/>
      <w:lvlText w:val="%6."/>
      <w:lvlJc w:val="right"/>
      <w:pPr>
        <w:ind w:left="3966" w:hanging="180"/>
      </w:pPr>
    </w:lvl>
    <w:lvl w:ilvl="6" w:tplc="0816000F" w:tentative="1">
      <w:start w:val="1"/>
      <w:numFmt w:val="decimal"/>
      <w:lvlText w:val="%7."/>
      <w:lvlJc w:val="left"/>
      <w:pPr>
        <w:ind w:left="4686" w:hanging="360"/>
      </w:pPr>
    </w:lvl>
    <w:lvl w:ilvl="7" w:tplc="08160019" w:tentative="1">
      <w:start w:val="1"/>
      <w:numFmt w:val="lowerLetter"/>
      <w:lvlText w:val="%8."/>
      <w:lvlJc w:val="left"/>
      <w:pPr>
        <w:ind w:left="5406" w:hanging="360"/>
      </w:pPr>
    </w:lvl>
    <w:lvl w:ilvl="8" w:tplc="0816001B" w:tentative="1">
      <w:start w:val="1"/>
      <w:numFmt w:val="lowerRoman"/>
      <w:lvlText w:val="%9."/>
      <w:lvlJc w:val="right"/>
      <w:pPr>
        <w:ind w:left="6126" w:hanging="180"/>
      </w:pPr>
    </w:lvl>
  </w:abstractNum>
  <w:abstractNum w:abstractNumId="49">
    <w:nsid w:val="430F6432"/>
    <w:multiLevelType w:val="hybridMultilevel"/>
    <w:tmpl w:val="556EC34A"/>
    <w:lvl w:ilvl="0" w:tplc="9E48DF9A">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0">
    <w:nsid w:val="44F9401B"/>
    <w:multiLevelType w:val="hybridMultilevel"/>
    <w:tmpl w:val="3E9AF198"/>
    <w:lvl w:ilvl="0" w:tplc="9E48DF9A">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1">
    <w:nsid w:val="47624053"/>
    <w:multiLevelType w:val="multilevel"/>
    <w:tmpl w:val="F5B022C8"/>
    <w:lvl w:ilvl="0">
      <w:start w:val="4"/>
      <w:numFmt w:val="decimal"/>
      <w:lvlText w:val="%1."/>
      <w:lvlJc w:val="left"/>
      <w:pPr>
        <w:ind w:left="660" w:hanging="660"/>
      </w:pPr>
      <w:rPr>
        <w:rFonts w:hint="default"/>
      </w:rPr>
    </w:lvl>
    <w:lvl w:ilvl="1">
      <w:start w:val="4"/>
      <w:numFmt w:val="decimal"/>
      <w:lvlText w:val="%1.%2."/>
      <w:lvlJc w:val="left"/>
      <w:pPr>
        <w:ind w:left="720" w:hanging="72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nsid w:val="48176B9A"/>
    <w:multiLevelType w:val="multilevel"/>
    <w:tmpl w:val="0816001D"/>
    <w:styleLink w:val="Estilo1"/>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nsid w:val="49370A7A"/>
    <w:multiLevelType w:val="multilevel"/>
    <w:tmpl w:val="B19E6A4A"/>
    <w:lvl w:ilvl="0">
      <w:start w:val="1"/>
      <w:numFmt w:val="upperRoman"/>
      <w:lvlText w:val="%1."/>
      <w:lvlJc w:val="left"/>
      <w:pPr>
        <w:ind w:left="1429" w:hanging="720"/>
      </w:pPr>
      <w:rPr>
        <w:rFonts w:hint="default"/>
      </w:rPr>
    </w:lvl>
    <w:lvl w:ilvl="1">
      <w:start w:val="1"/>
      <w:numFmt w:val="decimal"/>
      <w:isLgl/>
      <w:lvlText w:val="%1.%2"/>
      <w:lvlJc w:val="left"/>
      <w:pPr>
        <w:ind w:left="1980" w:hanging="420"/>
      </w:pPr>
      <w:rPr>
        <w:rFonts w:hint="default"/>
      </w:rPr>
    </w:lvl>
    <w:lvl w:ilvl="2">
      <w:start w:val="1"/>
      <w:numFmt w:val="decimal"/>
      <w:isLgl/>
      <w:lvlText w:val="%1.%2.%3"/>
      <w:lvlJc w:val="left"/>
      <w:pPr>
        <w:ind w:left="2843"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4617" w:hanging="1080"/>
      </w:pPr>
      <w:rPr>
        <w:rFonts w:hint="default"/>
      </w:rPr>
    </w:lvl>
    <w:lvl w:ilvl="5">
      <w:start w:val="1"/>
      <w:numFmt w:val="decimal"/>
      <w:isLgl/>
      <w:lvlText w:val="%1.%2.%3.%4.%5.%6"/>
      <w:lvlJc w:val="left"/>
      <w:pPr>
        <w:ind w:left="5684" w:hanging="1440"/>
      </w:pPr>
      <w:rPr>
        <w:rFonts w:hint="default"/>
      </w:rPr>
    </w:lvl>
    <w:lvl w:ilvl="6">
      <w:start w:val="1"/>
      <w:numFmt w:val="decimal"/>
      <w:isLgl/>
      <w:lvlText w:val="%1.%2.%3.%4.%5.%6.%7"/>
      <w:lvlJc w:val="left"/>
      <w:pPr>
        <w:ind w:left="6391" w:hanging="1440"/>
      </w:pPr>
      <w:rPr>
        <w:rFonts w:hint="default"/>
      </w:rPr>
    </w:lvl>
    <w:lvl w:ilvl="7">
      <w:start w:val="1"/>
      <w:numFmt w:val="decimal"/>
      <w:isLgl/>
      <w:lvlText w:val="%1.%2.%3.%4.%5.%6.%7.%8"/>
      <w:lvlJc w:val="left"/>
      <w:pPr>
        <w:ind w:left="7458" w:hanging="1800"/>
      </w:pPr>
      <w:rPr>
        <w:rFonts w:hint="default"/>
      </w:rPr>
    </w:lvl>
    <w:lvl w:ilvl="8">
      <w:start w:val="1"/>
      <w:numFmt w:val="decimal"/>
      <w:isLgl/>
      <w:lvlText w:val="%1.%2.%3.%4.%5.%6.%7.%8.%9"/>
      <w:lvlJc w:val="left"/>
      <w:pPr>
        <w:ind w:left="8165" w:hanging="1800"/>
      </w:pPr>
      <w:rPr>
        <w:rFonts w:hint="default"/>
      </w:rPr>
    </w:lvl>
  </w:abstractNum>
  <w:abstractNum w:abstractNumId="54">
    <w:nsid w:val="4B1D4F3C"/>
    <w:multiLevelType w:val="hybridMultilevel"/>
    <w:tmpl w:val="10DC45F2"/>
    <w:lvl w:ilvl="0" w:tplc="A0A8F83A">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5">
    <w:nsid w:val="4EAF62B1"/>
    <w:multiLevelType w:val="hybridMultilevel"/>
    <w:tmpl w:val="A892657A"/>
    <w:lvl w:ilvl="0" w:tplc="5136D4F2">
      <w:start w:val="1"/>
      <w:numFmt w:val="upperRoman"/>
      <w:lvlText w:val="%1."/>
      <w:lvlJc w:val="left"/>
      <w:pPr>
        <w:ind w:left="1146" w:hanging="720"/>
      </w:pPr>
      <w:rPr>
        <w:rFonts w:hint="default"/>
        <w:b/>
      </w:rPr>
    </w:lvl>
    <w:lvl w:ilvl="1" w:tplc="08160019" w:tentative="1">
      <w:start w:val="1"/>
      <w:numFmt w:val="lowerLetter"/>
      <w:lvlText w:val="%2."/>
      <w:lvlJc w:val="left"/>
      <w:pPr>
        <w:ind w:left="1506" w:hanging="360"/>
      </w:pPr>
    </w:lvl>
    <w:lvl w:ilvl="2" w:tplc="0816001B" w:tentative="1">
      <w:start w:val="1"/>
      <w:numFmt w:val="lowerRoman"/>
      <w:lvlText w:val="%3."/>
      <w:lvlJc w:val="right"/>
      <w:pPr>
        <w:ind w:left="2226" w:hanging="180"/>
      </w:pPr>
    </w:lvl>
    <w:lvl w:ilvl="3" w:tplc="0816000F" w:tentative="1">
      <w:start w:val="1"/>
      <w:numFmt w:val="decimal"/>
      <w:lvlText w:val="%4."/>
      <w:lvlJc w:val="left"/>
      <w:pPr>
        <w:ind w:left="2946" w:hanging="360"/>
      </w:pPr>
    </w:lvl>
    <w:lvl w:ilvl="4" w:tplc="08160019" w:tentative="1">
      <w:start w:val="1"/>
      <w:numFmt w:val="lowerLetter"/>
      <w:lvlText w:val="%5."/>
      <w:lvlJc w:val="left"/>
      <w:pPr>
        <w:ind w:left="3666" w:hanging="360"/>
      </w:pPr>
    </w:lvl>
    <w:lvl w:ilvl="5" w:tplc="0816001B" w:tentative="1">
      <w:start w:val="1"/>
      <w:numFmt w:val="lowerRoman"/>
      <w:lvlText w:val="%6."/>
      <w:lvlJc w:val="right"/>
      <w:pPr>
        <w:ind w:left="4386" w:hanging="180"/>
      </w:pPr>
    </w:lvl>
    <w:lvl w:ilvl="6" w:tplc="0816000F" w:tentative="1">
      <w:start w:val="1"/>
      <w:numFmt w:val="decimal"/>
      <w:lvlText w:val="%7."/>
      <w:lvlJc w:val="left"/>
      <w:pPr>
        <w:ind w:left="5106" w:hanging="360"/>
      </w:pPr>
    </w:lvl>
    <w:lvl w:ilvl="7" w:tplc="08160019" w:tentative="1">
      <w:start w:val="1"/>
      <w:numFmt w:val="lowerLetter"/>
      <w:lvlText w:val="%8."/>
      <w:lvlJc w:val="left"/>
      <w:pPr>
        <w:ind w:left="5826" w:hanging="360"/>
      </w:pPr>
    </w:lvl>
    <w:lvl w:ilvl="8" w:tplc="0816001B" w:tentative="1">
      <w:start w:val="1"/>
      <w:numFmt w:val="lowerRoman"/>
      <w:lvlText w:val="%9."/>
      <w:lvlJc w:val="right"/>
      <w:pPr>
        <w:ind w:left="6546" w:hanging="180"/>
      </w:pPr>
    </w:lvl>
  </w:abstractNum>
  <w:abstractNum w:abstractNumId="56">
    <w:nsid w:val="51945DAC"/>
    <w:multiLevelType w:val="hybridMultilevel"/>
    <w:tmpl w:val="E73A22EA"/>
    <w:lvl w:ilvl="0" w:tplc="3E1E5202">
      <w:start w:val="1"/>
      <w:numFmt w:val="upp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nsid w:val="52886A94"/>
    <w:multiLevelType w:val="hybridMultilevel"/>
    <w:tmpl w:val="53AC604A"/>
    <w:lvl w:ilvl="0" w:tplc="925EB41C">
      <w:start w:val="4"/>
      <w:numFmt w:val="upperRoman"/>
      <w:lvlText w:val="%1."/>
      <w:lvlJc w:val="left"/>
      <w:pPr>
        <w:ind w:left="786" w:hanging="360"/>
      </w:pPr>
      <w:rPr>
        <w:rFonts w:hint="default"/>
        <w:b/>
        <w:sz w:val="24"/>
        <w:szCs w:val="24"/>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8">
    <w:nsid w:val="53702E38"/>
    <w:multiLevelType w:val="hybridMultilevel"/>
    <w:tmpl w:val="92404B2A"/>
    <w:lvl w:ilvl="0" w:tplc="9E48DF9A">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9">
    <w:nsid w:val="53D67B5C"/>
    <w:multiLevelType w:val="multilevel"/>
    <w:tmpl w:val="3BB871DC"/>
    <w:lvl w:ilvl="0">
      <w:start w:val="1"/>
      <w:numFmt w:val="upperRoman"/>
      <w:lvlText w:val="%1."/>
      <w:lvlJc w:val="left"/>
      <w:pPr>
        <w:ind w:left="1134" w:hanging="360"/>
      </w:pPr>
      <w:rPr>
        <w:rFonts w:hint="default"/>
        <w:b/>
      </w:rPr>
    </w:lvl>
    <w:lvl w:ilvl="1">
      <w:start w:val="4"/>
      <w:numFmt w:val="decimal"/>
      <w:isLgl/>
      <w:lvlText w:val="%1.%2."/>
      <w:lvlJc w:val="left"/>
      <w:pPr>
        <w:ind w:left="1494" w:hanging="720"/>
      </w:pPr>
      <w:rPr>
        <w:rFonts w:hint="default"/>
      </w:rPr>
    </w:lvl>
    <w:lvl w:ilvl="2">
      <w:start w:val="9"/>
      <w:numFmt w:val="decimal"/>
      <w:isLgl/>
      <w:lvlText w:val="%1.%2.%3."/>
      <w:lvlJc w:val="left"/>
      <w:pPr>
        <w:ind w:left="1494" w:hanging="720"/>
      </w:pPr>
      <w:rPr>
        <w:rFonts w:hint="default"/>
      </w:rPr>
    </w:lvl>
    <w:lvl w:ilvl="3">
      <w:start w:val="1"/>
      <w:numFmt w:val="decimal"/>
      <w:isLgl/>
      <w:lvlText w:val="%1.%2.%3.%4."/>
      <w:lvlJc w:val="left"/>
      <w:pPr>
        <w:ind w:left="1854" w:hanging="1080"/>
      </w:pPr>
      <w:rPr>
        <w:rFonts w:hint="default"/>
      </w:rPr>
    </w:lvl>
    <w:lvl w:ilvl="4">
      <w:start w:val="1"/>
      <w:numFmt w:val="decimal"/>
      <w:isLgl/>
      <w:lvlText w:val="%1.%2.%3.%4.%5."/>
      <w:lvlJc w:val="left"/>
      <w:pPr>
        <w:ind w:left="1854" w:hanging="1080"/>
      </w:pPr>
      <w:rPr>
        <w:rFonts w:hint="default"/>
      </w:rPr>
    </w:lvl>
    <w:lvl w:ilvl="5">
      <w:start w:val="1"/>
      <w:numFmt w:val="decimal"/>
      <w:isLgl/>
      <w:lvlText w:val="%1.%2.%3.%4.%5.%6."/>
      <w:lvlJc w:val="left"/>
      <w:pPr>
        <w:ind w:left="2214" w:hanging="1440"/>
      </w:pPr>
      <w:rPr>
        <w:rFonts w:hint="default"/>
      </w:rPr>
    </w:lvl>
    <w:lvl w:ilvl="6">
      <w:start w:val="1"/>
      <w:numFmt w:val="decimal"/>
      <w:isLgl/>
      <w:lvlText w:val="%1.%2.%3.%4.%5.%6.%7."/>
      <w:lvlJc w:val="left"/>
      <w:pPr>
        <w:ind w:left="2214" w:hanging="1440"/>
      </w:pPr>
      <w:rPr>
        <w:rFonts w:hint="default"/>
      </w:rPr>
    </w:lvl>
    <w:lvl w:ilvl="7">
      <w:start w:val="1"/>
      <w:numFmt w:val="decimal"/>
      <w:isLgl/>
      <w:lvlText w:val="%1.%2.%3.%4.%5.%6.%7.%8."/>
      <w:lvlJc w:val="left"/>
      <w:pPr>
        <w:ind w:left="2574" w:hanging="1800"/>
      </w:pPr>
      <w:rPr>
        <w:rFonts w:hint="default"/>
      </w:rPr>
    </w:lvl>
    <w:lvl w:ilvl="8">
      <w:start w:val="1"/>
      <w:numFmt w:val="decimal"/>
      <w:isLgl/>
      <w:lvlText w:val="%1.%2.%3.%4.%5.%6.%7.%8.%9."/>
      <w:lvlJc w:val="left"/>
      <w:pPr>
        <w:ind w:left="2574" w:hanging="1800"/>
      </w:pPr>
      <w:rPr>
        <w:rFonts w:hint="default"/>
      </w:rPr>
    </w:lvl>
  </w:abstractNum>
  <w:abstractNum w:abstractNumId="60">
    <w:nsid w:val="56AC3B98"/>
    <w:multiLevelType w:val="hybridMultilevel"/>
    <w:tmpl w:val="C8223EC6"/>
    <w:lvl w:ilvl="0" w:tplc="9E48DF9A">
      <w:start w:val="1"/>
      <w:numFmt w:val="bullet"/>
      <w:lvlText w:val=""/>
      <w:lvlJc w:val="left"/>
      <w:pPr>
        <w:ind w:left="1004" w:hanging="360"/>
      </w:pPr>
      <w:rPr>
        <w:rFonts w:ascii="Symbol" w:hAnsi="Symbol" w:hint="default"/>
      </w:rPr>
    </w:lvl>
    <w:lvl w:ilvl="1" w:tplc="08160003" w:tentative="1">
      <w:start w:val="1"/>
      <w:numFmt w:val="bullet"/>
      <w:lvlText w:val="o"/>
      <w:lvlJc w:val="left"/>
      <w:pPr>
        <w:ind w:left="1724" w:hanging="360"/>
      </w:pPr>
      <w:rPr>
        <w:rFonts w:ascii="Courier New" w:hAnsi="Courier New" w:cs="Courier New" w:hint="default"/>
      </w:rPr>
    </w:lvl>
    <w:lvl w:ilvl="2" w:tplc="08160005" w:tentative="1">
      <w:start w:val="1"/>
      <w:numFmt w:val="bullet"/>
      <w:lvlText w:val=""/>
      <w:lvlJc w:val="left"/>
      <w:pPr>
        <w:ind w:left="2444" w:hanging="360"/>
      </w:pPr>
      <w:rPr>
        <w:rFonts w:ascii="Wingdings" w:hAnsi="Wingdings" w:hint="default"/>
      </w:rPr>
    </w:lvl>
    <w:lvl w:ilvl="3" w:tplc="08160001" w:tentative="1">
      <w:start w:val="1"/>
      <w:numFmt w:val="bullet"/>
      <w:lvlText w:val=""/>
      <w:lvlJc w:val="left"/>
      <w:pPr>
        <w:ind w:left="3164" w:hanging="360"/>
      </w:pPr>
      <w:rPr>
        <w:rFonts w:ascii="Symbol" w:hAnsi="Symbol" w:hint="default"/>
      </w:rPr>
    </w:lvl>
    <w:lvl w:ilvl="4" w:tplc="08160003" w:tentative="1">
      <w:start w:val="1"/>
      <w:numFmt w:val="bullet"/>
      <w:lvlText w:val="o"/>
      <w:lvlJc w:val="left"/>
      <w:pPr>
        <w:ind w:left="3884" w:hanging="360"/>
      </w:pPr>
      <w:rPr>
        <w:rFonts w:ascii="Courier New" w:hAnsi="Courier New" w:cs="Courier New" w:hint="default"/>
      </w:rPr>
    </w:lvl>
    <w:lvl w:ilvl="5" w:tplc="08160005" w:tentative="1">
      <w:start w:val="1"/>
      <w:numFmt w:val="bullet"/>
      <w:lvlText w:val=""/>
      <w:lvlJc w:val="left"/>
      <w:pPr>
        <w:ind w:left="4604" w:hanging="360"/>
      </w:pPr>
      <w:rPr>
        <w:rFonts w:ascii="Wingdings" w:hAnsi="Wingdings" w:hint="default"/>
      </w:rPr>
    </w:lvl>
    <w:lvl w:ilvl="6" w:tplc="08160001" w:tentative="1">
      <w:start w:val="1"/>
      <w:numFmt w:val="bullet"/>
      <w:lvlText w:val=""/>
      <w:lvlJc w:val="left"/>
      <w:pPr>
        <w:ind w:left="5324" w:hanging="360"/>
      </w:pPr>
      <w:rPr>
        <w:rFonts w:ascii="Symbol" w:hAnsi="Symbol" w:hint="default"/>
      </w:rPr>
    </w:lvl>
    <w:lvl w:ilvl="7" w:tplc="08160003" w:tentative="1">
      <w:start w:val="1"/>
      <w:numFmt w:val="bullet"/>
      <w:lvlText w:val="o"/>
      <w:lvlJc w:val="left"/>
      <w:pPr>
        <w:ind w:left="6044" w:hanging="360"/>
      </w:pPr>
      <w:rPr>
        <w:rFonts w:ascii="Courier New" w:hAnsi="Courier New" w:cs="Courier New" w:hint="default"/>
      </w:rPr>
    </w:lvl>
    <w:lvl w:ilvl="8" w:tplc="08160005" w:tentative="1">
      <w:start w:val="1"/>
      <w:numFmt w:val="bullet"/>
      <w:lvlText w:val=""/>
      <w:lvlJc w:val="left"/>
      <w:pPr>
        <w:ind w:left="6764" w:hanging="360"/>
      </w:pPr>
      <w:rPr>
        <w:rFonts w:ascii="Wingdings" w:hAnsi="Wingdings" w:hint="default"/>
      </w:rPr>
    </w:lvl>
  </w:abstractNum>
  <w:abstractNum w:abstractNumId="61">
    <w:nsid w:val="56BA76B6"/>
    <w:multiLevelType w:val="hybridMultilevel"/>
    <w:tmpl w:val="06BCD8D2"/>
    <w:lvl w:ilvl="0" w:tplc="96E2E378">
      <w:start w:val="1"/>
      <w:numFmt w:val="upperRoman"/>
      <w:lvlText w:val="%1."/>
      <w:lvlJc w:val="left"/>
      <w:pPr>
        <w:ind w:left="1594" w:hanging="885"/>
      </w:pPr>
      <w:rPr>
        <w:rFonts w:hint="default"/>
        <w:b/>
      </w:rPr>
    </w:lvl>
    <w:lvl w:ilvl="1" w:tplc="08160019" w:tentative="1">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abstractNum w:abstractNumId="62">
    <w:nsid w:val="5777269F"/>
    <w:multiLevelType w:val="hybridMultilevel"/>
    <w:tmpl w:val="C1F2F680"/>
    <w:lvl w:ilvl="0" w:tplc="9E48DF9A">
      <w:start w:val="1"/>
      <w:numFmt w:val="bullet"/>
      <w:lvlText w:val=""/>
      <w:lvlJc w:val="left"/>
      <w:pPr>
        <w:ind w:left="1145" w:hanging="360"/>
      </w:pPr>
      <w:rPr>
        <w:rFonts w:ascii="Symbol" w:hAnsi="Symbol" w:hint="default"/>
      </w:rPr>
    </w:lvl>
    <w:lvl w:ilvl="1" w:tplc="08160003" w:tentative="1">
      <w:start w:val="1"/>
      <w:numFmt w:val="bullet"/>
      <w:lvlText w:val="o"/>
      <w:lvlJc w:val="left"/>
      <w:pPr>
        <w:ind w:left="1865" w:hanging="360"/>
      </w:pPr>
      <w:rPr>
        <w:rFonts w:ascii="Courier New" w:hAnsi="Courier New" w:cs="Courier New" w:hint="default"/>
      </w:rPr>
    </w:lvl>
    <w:lvl w:ilvl="2" w:tplc="08160005" w:tentative="1">
      <w:start w:val="1"/>
      <w:numFmt w:val="bullet"/>
      <w:lvlText w:val=""/>
      <w:lvlJc w:val="left"/>
      <w:pPr>
        <w:ind w:left="2585" w:hanging="360"/>
      </w:pPr>
      <w:rPr>
        <w:rFonts w:ascii="Wingdings" w:hAnsi="Wingdings" w:hint="default"/>
      </w:rPr>
    </w:lvl>
    <w:lvl w:ilvl="3" w:tplc="08160001" w:tentative="1">
      <w:start w:val="1"/>
      <w:numFmt w:val="bullet"/>
      <w:lvlText w:val=""/>
      <w:lvlJc w:val="left"/>
      <w:pPr>
        <w:ind w:left="3305" w:hanging="360"/>
      </w:pPr>
      <w:rPr>
        <w:rFonts w:ascii="Symbol" w:hAnsi="Symbol" w:hint="default"/>
      </w:rPr>
    </w:lvl>
    <w:lvl w:ilvl="4" w:tplc="08160003" w:tentative="1">
      <w:start w:val="1"/>
      <w:numFmt w:val="bullet"/>
      <w:lvlText w:val="o"/>
      <w:lvlJc w:val="left"/>
      <w:pPr>
        <w:ind w:left="4025" w:hanging="360"/>
      </w:pPr>
      <w:rPr>
        <w:rFonts w:ascii="Courier New" w:hAnsi="Courier New" w:cs="Courier New" w:hint="default"/>
      </w:rPr>
    </w:lvl>
    <w:lvl w:ilvl="5" w:tplc="08160005" w:tentative="1">
      <w:start w:val="1"/>
      <w:numFmt w:val="bullet"/>
      <w:lvlText w:val=""/>
      <w:lvlJc w:val="left"/>
      <w:pPr>
        <w:ind w:left="4745" w:hanging="360"/>
      </w:pPr>
      <w:rPr>
        <w:rFonts w:ascii="Wingdings" w:hAnsi="Wingdings" w:hint="default"/>
      </w:rPr>
    </w:lvl>
    <w:lvl w:ilvl="6" w:tplc="08160001" w:tentative="1">
      <w:start w:val="1"/>
      <w:numFmt w:val="bullet"/>
      <w:lvlText w:val=""/>
      <w:lvlJc w:val="left"/>
      <w:pPr>
        <w:ind w:left="5465" w:hanging="360"/>
      </w:pPr>
      <w:rPr>
        <w:rFonts w:ascii="Symbol" w:hAnsi="Symbol" w:hint="default"/>
      </w:rPr>
    </w:lvl>
    <w:lvl w:ilvl="7" w:tplc="08160003" w:tentative="1">
      <w:start w:val="1"/>
      <w:numFmt w:val="bullet"/>
      <w:lvlText w:val="o"/>
      <w:lvlJc w:val="left"/>
      <w:pPr>
        <w:ind w:left="6185" w:hanging="360"/>
      </w:pPr>
      <w:rPr>
        <w:rFonts w:ascii="Courier New" w:hAnsi="Courier New" w:cs="Courier New" w:hint="default"/>
      </w:rPr>
    </w:lvl>
    <w:lvl w:ilvl="8" w:tplc="08160005" w:tentative="1">
      <w:start w:val="1"/>
      <w:numFmt w:val="bullet"/>
      <w:lvlText w:val=""/>
      <w:lvlJc w:val="left"/>
      <w:pPr>
        <w:ind w:left="6905" w:hanging="360"/>
      </w:pPr>
      <w:rPr>
        <w:rFonts w:ascii="Wingdings" w:hAnsi="Wingdings" w:hint="default"/>
      </w:rPr>
    </w:lvl>
  </w:abstractNum>
  <w:abstractNum w:abstractNumId="63">
    <w:nsid w:val="579D6127"/>
    <w:multiLevelType w:val="hybridMultilevel"/>
    <w:tmpl w:val="BC1C32E8"/>
    <w:lvl w:ilvl="0" w:tplc="9E48DF9A">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4">
    <w:nsid w:val="57C019FB"/>
    <w:multiLevelType w:val="hybridMultilevel"/>
    <w:tmpl w:val="EF8EC65C"/>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5">
    <w:nsid w:val="58225D4A"/>
    <w:multiLevelType w:val="hybridMultilevel"/>
    <w:tmpl w:val="73863FCE"/>
    <w:lvl w:ilvl="0" w:tplc="9E48DF9A">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6">
    <w:nsid w:val="59293E6D"/>
    <w:multiLevelType w:val="hybridMultilevel"/>
    <w:tmpl w:val="5742DC30"/>
    <w:lvl w:ilvl="0" w:tplc="9E48DF9A">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7">
    <w:nsid w:val="59C36474"/>
    <w:multiLevelType w:val="hybridMultilevel"/>
    <w:tmpl w:val="67A2471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8">
    <w:nsid w:val="5BBB5A06"/>
    <w:multiLevelType w:val="hybridMultilevel"/>
    <w:tmpl w:val="8B2E02CE"/>
    <w:lvl w:ilvl="0" w:tplc="9E48DF9A">
      <w:start w:val="1"/>
      <w:numFmt w:val="bullet"/>
      <w:lvlText w:val=""/>
      <w:lvlJc w:val="left"/>
      <w:pPr>
        <w:ind w:left="1470" w:hanging="360"/>
      </w:pPr>
      <w:rPr>
        <w:rFonts w:ascii="Symbol" w:hAnsi="Symbol" w:hint="default"/>
      </w:rPr>
    </w:lvl>
    <w:lvl w:ilvl="1" w:tplc="08160003" w:tentative="1">
      <w:start w:val="1"/>
      <w:numFmt w:val="bullet"/>
      <w:lvlText w:val="o"/>
      <w:lvlJc w:val="left"/>
      <w:pPr>
        <w:ind w:left="2190" w:hanging="360"/>
      </w:pPr>
      <w:rPr>
        <w:rFonts w:ascii="Courier New" w:hAnsi="Courier New" w:cs="Courier New" w:hint="default"/>
      </w:rPr>
    </w:lvl>
    <w:lvl w:ilvl="2" w:tplc="08160005" w:tentative="1">
      <w:start w:val="1"/>
      <w:numFmt w:val="bullet"/>
      <w:lvlText w:val=""/>
      <w:lvlJc w:val="left"/>
      <w:pPr>
        <w:ind w:left="2910" w:hanging="360"/>
      </w:pPr>
      <w:rPr>
        <w:rFonts w:ascii="Wingdings" w:hAnsi="Wingdings" w:hint="default"/>
      </w:rPr>
    </w:lvl>
    <w:lvl w:ilvl="3" w:tplc="08160001" w:tentative="1">
      <w:start w:val="1"/>
      <w:numFmt w:val="bullet"/>
      <w:lvlText w:val=""/>
      <w:lvlJc w:val="left"/>
      <w:pPr>
        <w:ind w:left="3630" w:hanging="360"/>
      </w:pPr>
      <w:rPr>
        <w:rFonts w:ascii="Symbol" w:hAnsi="Symbol" w:hint="default"/>
      </w:rPr>
    </w:lvl>
    <w:lvl w:ilvl="4" w:tplc="08160003" w:tentative="1">
      <w:start w:val="1"/>
      <w:numFmt w:val="bullet"/>
      <w:lvlText w:val="o"/>
      <w:lvlJc w:val="left"/>
      <w:pPr>
        <w:ind w:left="4350" w:hanging="360"/>
      </w:pPr>
      <w:rPr>
        <w:rFonts w:ascii="Courier New" w:hAnsi="Courier New" w:cs="Courier New" w:hint="default"/>
      </w:rPr>
    </w:lvl>
    <w:lvl w:ilvl="5" w:tplc="08160005" w:tentative="1">
      <w:start w:val="1"/>
      <w:numFmt w:val="bullet"/>
      <w:lvlText w:val=""/>
      <w:lvlJc w:val="left"/>
      <w:pPr>
        <w:ind w:left="5070" w:hanging="360"/>
      </w:pPr>
      <w:rPr>
        <w:rFonts w:ascii="Wingdings" w:hAnsi="Wingdings" w:hint="default"/>
      </w:rPr>
    </w:lvl>
    <w:lvl w:ilvl="6" w:tplc="08160001" w:tentative="1">
      <w:start w:val="1"/>
      <w:numFmt w:val="bullet"/>
      <w:lvlText w:val=""/>
      <w:lvlJc w:val="left"/>
      <w:pPr>
        <w:ind w:left="5790" w:hanging="360"/>
      </w:pPr>
      <w:rPr>
        <w:rFonts w:ascii="Symbol" w:hAnsi="Symbol" w:hint="default"/>
      </w:rPr>
    </w:lvl>
    <w:lvl w:ilvl="7" w:tplc="08160003" w:tentative="1">
      <w:start w:val="1"/>
      <w:numFmt w:val="bullet"/>
      <w:lvlText w:val="o"/>
      <w:lvlJc w:val="left"/>
      <w:pPr>
        <w:ind w:left="6510" w:hanging="360"/>
      </w:pPr>
      <w:rPr>
        <w:rFonts w:ascii="Courier New" w:hAnsi="Courier New" w:cs="Courier New" w:hint="default"/>
      </w:rPr>
    </w:lvl>
    <w:lvl w:ilvl="8" w:tplc="08160005" w:tentative="1">
      <w:start w:val="1"/>
      <w:numFmt w:val="bullet"/>
      <w:lvlText w:val=""/>
      <w:lvlJc w:val="left"/>
      <w:pPr>
        <w:ind w:left="7230" w:hanging="360"/>
      </w:pPr>
      <w:rPr>
        <w:rFonts w:ascii="Wingdings" w:hAnsi="Wingdings" w:hint="default"/>
      </w:rPr>
    </w:lvl>
  </w:abstractNum>
  <w:abstractNum w:abstractNumId="69">
    <w:nsid w:val="5E1D571C"/>
    <w:multiLevelType w:val="hybridMultilevel"/>
    <w:tmpl w:val="45A6519A"/>
    <w:lvl w:ilvl="0" w:tplc="44C8FD52">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0">
    <w:nsid w:val="5E5A5C7A"/>
    <w:multiLevelType w:val="hybridMultilevel"/>
    <w:tmpl w:val="A87E79C4"/>
    <w:lvl w:ilvl="0" w:tplc="4F4EF8FC">
      <w:start w:val="1"/>
      <w:numFmt w:val="upperRoman"/>
      <w:lvlText w:val="%1."/>
      <w:lvlJc w:val="left"/>
      <w:pPr>
        <w:ind w:left="1004" w:hanging="720"/>
      </w:pPr>
      <w:rPr>
        <w:rFonts w:hint="default"/>
      </w:rPr>
    </w:lvl>
    <w:lvl w:ilvl="1" w:tplc="08160019" w:tentative="1">
      <w:start w:val="1"/>
      <w:numFmt w:val="lowerLetter"/>
      <w:lvlText w:val="%2."/>
      <w:lvlJc w:val="left"/>
      <w:pPr>
        <w:ind w:left="1364" w:hanging="360"/>
      </w:pPr>
    </w:lvl>
    <w:lvl w:ilvl="2" w:tplc="0816001B" w:tentative="1">
      <w:start w:val="1"/>
      <w:numFmt w:val="lowerRoman"/>
      <w:lvlText w:val="%3."/>
      <w:lvlJc w:val="right"/>
      <w:pPr>
        <w:ind w:left="2084" w:hanging="180"/>
      </w:pPr>
    </w:lvl>
    <w:lvl w:ilvl="3" w:tplc="0816000F" w:tentative="1">
      <w:start w:val="1"/>
      <w:numFmt w:val="decimal"/>
      <w:lvlText w:val="%4."/>
      <w:lvlJc w:val="left"/>
      <w:pPr>
        <w:ind w:left="2804" w:hanging="360"/>
      </w:pPr>
    </w:lvl>
    <w:lvl w:ilvl="4" w:tplc="08160019" w:tentative="1">
      <w:start w:val="1"/>
      <w:numFmt w:val="lowerLetter"/>
      <w:lvlText w:val="%5."/>
      <w:lvlJc w:val="left"/>
      <w:pPr>
        <w:ind w:left="3524" w:hanging="360"/>
      </w:pPr>
    </w:lvl>
    <w:lvl w:ilvl="5" w:tplc="0816001B" w:tentative="1">
      <w:start w:val="1"/>
      <w:numFmt w:val="lowerRoman"/>
      <w:lvlText w:val="%6."/>
      <w:lvlJc w:val="right"/>
      <w:pPr>
        <w:ind w:left="4244" w:hanging="180"/>
      </w:pPr>
    </w:lvl>
    <w:lvl w:ilvl="6" w:tplc="0816000F" w:tentative="1">
      <w:start w:val="1"/>
      <w:numFmt w:val="decimal"/>
      <w:lvlText w:val="%7."/>
      <w:lvlJc w:val="left"/>
      <w:pPr>
        <w:ind w:left="4964" w:hanging="360"/>
      </w:pPr>
    </w:lvl>
    <w:lvl w:ilvl="7" w:tplc="08160019" w:tentative="1">
      <w:start w:val="1"/>
      <w:numFmt w:val="lowerLetter"/>
      <w:lvlText w:val="%8."/>
      <w:lvlJc w:val="left"/>
      <w:pPr>
        <w:ind w:left="5684" w:hanging="360"/>
      </w:pPr>
    </w:lvl>
    <w:lvl w:ilvl="8" w:tplc="0816001B" w:tentative="1">
      <w:start w:val="1"/>
      <w:numFmt w:val="lowerRoman"/>
      <w:lvlText w:val="%9."/>
      <w:lvlJc w:val="right"/>
      <w:pPr>
        <w:ind w:left="6404" w:hanging="180"/>
      </w:pPr>
    </w:lvl>
  </w:abstractNum>
  <w:abstractNum w:abstractNumId="71">
    <w:nsid w:val="5E745C45"/>
    <w:multiLevelType w:val="hybridMultilevel"/>
    <w:tmpl w:val="3998DC74"/>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2">
    <w:nsid w:val="5E8A1CC1"/>
    <w:multiLevelType w:val="multilevel"/>
    <w:tmpl w:val="94DE9466"/>
    <w:styleLink w:val="Estilo2"/>
    <w:lvl w:ilvl="0">
      <w:start w:val="1"/>
      <w:numFmt w:val="none"/>
      <w:lvlText w:val="3.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nsid w:val="617F16CE"/>
    <w:multiLevelType w:val="hybridMultilevel"/>
    <w:tmpl w:val="3D427CDC"/>
    <w:lvl w:ilvl="0" w:tplc="9E48DF9A">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4">
    <w:nsid w:val="620070F9"/>
    <w:multiLevelType w:val="hybridMultilevel"/>
    <w:tmpl w:val="BE1825D6"/>
    <w:lvl w:ilvl="0" w:tplc="9E48DF9A">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5">
    <w:nsid w:val="62164301"/>
    <w:multiLevelType w:val="hybridMultilevel"/>
    <w:tmpl w:val="89A4EB58"/>
    <w:lvl w:ilvl="0" w:tplc="9E48DF9A">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6">
    <w:nsid w:val="62231A7B"/>
    <w:multiLevelType w:val="hybridMultilevel"/>
    <w:tmpl w:val="3B5E1058"/>
    <w:lvl w:ilvl="0" w:tplc="08160013">
      <w:start w:val="1"/>
      <w:numFmt w:val="upperRoman"/>
      <w:lvlText w:val="%1."/>
      <w:lvlJc w:val="righ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7">
    <w:nsid w:val="655E0CC6"/>
    <w:multiLevelType w:val="hybridMultilevel"/>
    <w:tmpl w:val="9976B276"/>
    <w:lvl w:ilvl="0" w:tplc="9E48DF9A">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nsid w:val="66C276B6"/>
    <w:multiLevelType w:val="hybridMultilevel"/>
    <w:tmpl w:val="0CA42DDC"/>
    <w:lvl w:ilvl="0" w:tplc="9E48DF9A">
      <w:start w:val="1"/>
      <w:numFmt w:val="bullet"/>
      <w:lvlText w:val=""/>
      <w:lvlJc w:val="left"/>
      <w:pPr>
        <w:ind w:left="1434" w:hanging="360"/>
      </w:pPr>
      <w:rPr>
        <w:rFonts w:ascii="Symbol" w:hAnsi="Symbol" w:hint="default"/>
      </w:rPr>
    </w:lvl>
    <w:lvl w:ilvl="1" w:tplc="08160003" w:tentative="1">
      <w:start w:val="1"/>
      <w:numFmt w:val="bullet"/>
      <w:lvlText w:val="o"/>
      <w:lvlJc w:val="left"/>
      <w:pPr>
        <w:ind w:left="2154" w:hanging="360"/>
      </w:pPr>
      <w:rPr>
        <w:rFonts w:ascii="Courier New" w:hAnsi="Courier New" w:cs="Courier New" w:hint="default"/>
      </w:rPr>
    </w:lvl>
    <w:lvl w:ilvl="2" w:tplc="08160005" w:tentative="1">
      <w:start w:val="1"/>
      <w:numFmt w:val="bullet"/>
      <w:lvlText w:val=""/>
      <w:lvlJc w:val="left"/>
      <w:pPr>
        <w:ind w:left="2874" w:hanging="360"/>
      </w:pPr>
      <w:rPr>
        <w:rFonts w:ascii="Wingdings" w:hAnsi="Wingdings" w:hint="default"/>
      </w:rPr>
    </w:lvl>
    <w:lvl w:ilvl="3" w:tplc="08160001" w:tentative="1">
      <w:start w:val="1"/>
      <w:numFmt w:val="bullet"/>
      <w:lvlText w:val=""/>
      <w:lvlJc w:val="left"/>
      <w:pPr>
        <w:ind w:left="3594" w:hanging="360"/>
      </w:pPr>
      <w:rPr>
        <w:rFonts w:ascii="Symbol" w:hAnsi="Symbol" w:hint="default"/>
      </w:rPr>
    </w:lvl>
    <w:lvl w:ilvl="4" w:tplc="08160003" w:tentative="1">
      <w:start w:val="1"/>
      <w:numFmt w:val="bullet"/>
      <w:lvlText w:val="o"/>
      <w:lvlJc w:val="left"/>
      <w:pPr>
        <w:ind w:left="4314" w:hanging="360"/>
      </w:pPr>
      <w:rPr>
        <w:rFonts w:ascii="Courier New" w:hAnsi="Courier New" w:cs="Courier New" w:hint="default"/>
      </w:rPr>
    </w:lvl>
    <w:lvl w:ilvl="5" w:tplc="08160005" w:tentative="1">
      <w:start w:val="1"/>
      <w:numFmt w:val="bullet"/>
      <w:lvlText w:val=""/>
      <w:lvlJc w:val="left"/>
      <w:pPr>
        <w:ind w:left="5034" w:hanging="360"/>
      </w:pPr>
      <w:rPr>
        <w:rFonts w:ascii="Wingdings" w:hAnsi="Wingdings" w:hint="default"/>
      </w:rPr>
    </w:lvl>
    <w:lvl w:ilvl="6" w:tplc="08160001" w:tentative="1">
      <w:start w:val="1"/>
      <w:numFmt w:val="bullet"/>
      <w:lvlText w:val=""/>
      <w:lvlJc w:val="left"/>
      <w:pPr>
        <w:ind w:left="5754" w:hanging="360"/>
      </w:pPr>
      <w:rPr>
        <w:rFonts w:ascii="Symbol" w:hAnsi="Symbol" w:hint="default"/>
      </w:rPr>
    </w:lvl>
    <w:lvl w:ilvl="7" w:tplc="08160003" w:tentative="1">
      <w:start w:val="1"/>
      <w:numFmt w:val="bullet"/>
      <w:lvlText w:val="o"/>
      <w:lvlJc w:val="left"/>
      <w:pPr>
        <w:ind w:left="6474" w:hanging="360"/>
      </w:pPr>
      <w:rPr>
        <w:rFonts w:ascii="Courier New" w:hAnsi="Courier New" w:cs="Courier New" w:hint="default"/>
      </w:rPr>
    </w:lvl>
    <w:lvl w:ilvl="8" w:tplc="08160005" w:tentative="1">
      <w:start w:val="1"/>
      <w:numFmt w:val="bullet"/>
      <w:lvlText w:val=""/>
      <w:lvlJc w:val="left"/>
      <w:pPr>
        <w:ind w:left="7194" w:hanging="360"/>
      </w:pPr>
      <w:rPr>
        <w:rFonts w:ascii="Wingdings" w:hAnsi="Wingdings" w:hint="default"/>
      </w:rPr>
    </w:lvl>
  </w:abstractNum>
  <w:abstractNum w:abstractNumId="79">
    <w:nsid w:val="6959389A"/>
    <w:multiLevelType w:val="hybridMultilevel"/>
    <w:tmpl w:val="6974E6D4"/>
    <w:lvl w:ilvl="0" w:tplc="08160013">
      <w:start w:val="1"/>
      <w:numFmt w:val="upperRoman"/>
      <w:lvlText w:val="%1."/>
      <w:lvlJc w:val="right"/>
      <w:pPr>
        <w:ind w:left="1145" w:hanging="360"/>
      </w:pPr>
    </w:lvl>
    <w:lvl w:ilvl="1" w:tplc="08160019" w:tentative="1">
      <w:start w:val="1"/>
      <w:numFmt w:val="lowerLetter"/>
      <w:lvlText w:val="%2."/>
      <w:lvlJc w:val="left"/>
      <w:pPr>
        <w:ind w:left="1865" w:hanging="360"/>
      </w:pPr>
    </w:lvl>
    <w:lvl w:ilvl="2" w:tplc="0816001B" w:tentative="1">
      <w:start w:val="1"/>
      <w:numFmt w:val="lowerRoman"/>
      <w:lvlText w:val="%3."/>
      <w:lvlJc w:val="right"/>
      <w:pPr>
        <w:ind w:left="2585" w:hanging="180"/>
      </w:pPr>
    </w:lvl>
    <w:lvl w:ilvl="3" w:tplc="0816000F" w:tentative="1">
      <w:start w:val="1"/>
      <w:numFmt w:val="decimal"/>
      <w:lvlText w:val="%4."/>
      <w:lvlJc w:val="left"/>
      <w:pPr>
        <w:ind w:left="3305" w:hanging="360"/>
      </w:pPr>
    </w:lvl>
    <w:lvl w:ilvl="4" w:tplc="08160019" w:tentative="1">
      <w:start w:val="1"/>
      <w:numFmt w:val="lowerLetter"/>
      <w:lvlText w:val="%5."/>
      <w:lvlJc w:val="left"/>
      <w:pPr>
        <w:ind w:left="4025" w:hanging="360"/>
      </w:pPr>
    </w:lvl>
    <w:lvl w:ilvl="5" w:tplc="0816001B" w:tentative="1">
      <w:start w:val="1"/>
      <w:numFmt w:val="lowerRoman"/>
      <w:lvlText w:val="%6."/>
      <w:lvlJc w:val="right"/>
      <w:pPr>
        <w:ind w:left="4745" w:hanging="180"/>
      </w:pPr>
    </w:lvl>
    <w:lvl w:ilvl="6" w:tplc="0816000F" w:tentative="1">
      <w:start w:val="1"/>
      <w:numFmt w:val="decimal"/>
      <w:lvlText w:val="%7."/>
      <w:lvlJc w:val="left"/>
      <w:pPr>
        <w:ind w:left="5465" w:hanging="360"/>
      </w:pPr>
    </w:lvl>
    <w:lvl w:ilvl="7" w:tplc="08160019" w:tentative="1">
      <w:start w:val="1"/>
      <w:numFmt w:val="lowerLetter"/>
      <w:lvlText w:val="%8."/>
      <w:lvlJc w:val="left"/>
      <w:pPr>
        <w:ind w:left="6185" w:hanging="360"/>
      </w:pPr>
    </w:lvl>
    <w:lvl w:ilvl="8" w:tplc="0816001B" w:tentative="1">
      <w:start w:val="1"/>
      <w:numFmt w:val="lowerRoman"/>
      <w:lvlText w:val="%9."/>
      <w:lvlJc w:val="right"/>
      <w:pPr>
        <w:ind w:left="6905" w:hanging="180"/>
      </w:pPr>
    </w:lvl>
  </w:abstractNum>
  <w:abstractNum w:abstractNumId="80">
    <w:nsid w:val="69A93F83"/>
    <w:multiLevelType w:val="hybridMultilevel"/>
    <w:tmpl w:val="88B63188"/>
    <w:lvl w:ilvl="0" w:tplc="0816001B">
      <w:start w:val="1"/>
      <w:numFmt w:val="lowerRoman"/>
      <w:lvlText w:val="%1."/>
      <w:lvlJc w:val="right"/>
      <w:pPr>
        <w:ind w:left="1428" w:hanging="360"/>
      </w:pPr>
    </w:lvl>
    <w:lvl w:ilvl="1" w:tplc="08160019" w:tentative="1">
      <w:start w:val="1"/>
      <w:numFmt w:val="lowerLetter"/>
      <w:lvlText w:val="%2."/>
      <w:lvlJc w:val="left"/>
      <w:pPr>
        <w:ind w:left="2148" w:hanging="360"/>
      </w:pPr>
    </w:lvl>
    <w:lvl w:ilvl="2" w:tplc="0816001B" w:tentative="1">
      <w:start w:val="1"/>
      <w:numFmt w:val="lowerRoman"/>
      <w:lvlText w:val="%3."/>
      <w:lvlJc w:val="right"/>
      <w:pPr>
        <w:ind w:left="2868" w:hanging="180"/>
      </w:pPr>
    </w:lvl>
    <w:lvl w:ilvl="3" w:tplc="0816000F" w:tentative="1">
      <w:start w:val="1"/>
      <w:numFmt w:val="decimal"/>
      <w:lvlText w:val="%4."/>
      <w:lvlJc w:val="left"/>
      <w:pPr>
        <w:ind w:left="3588" w:hanging="360"/>
      </w:pPr>
    </w:lvl>
    <w:lvl w:ilvl="4" w:tplc="08160019" w:tentative="1">
      <w:start w:val="1"/>
      <w:numFmt w:val="lowerLetter"/>
      <w:lvlText w:val="%5."/>
      <w:lvlJc w:val="left"/>
      <w:pPr>
        <w:ind w:left="4308" w:hanging="360"/>
      </w:pPr>
    </w:lvl>
    <w:lvl w:ilvl="5" w:tplc="0816001B" w:tentative="1">
      <w:start w:val="1"/>
      <w:numFmt w:val="lowerRoman"/>
      <w:lvlText w:val="%6."/>
      <w:lvlJc w:val="right"/>
      <w:pPr>
        <w:ind w:left="5028" w:hanging="180"/>
      </w:pPr>
    </w:lvl>
    <w:lvl w:ilvl="6" w:tplc="0816000F" w:tentative="1">
      <w:start w:val="1"/>
      <w:numFmt w:val="decimal"/>
      <w:lvlText w:val="%7."/>
      <w:lvlJc w:val="left"/>
      <w:pPr>
        <w:ind w:left="5748" w:hanging="360"/>
      </w:pPr>
    </w:lvl>
    <w:lvl w:ilvl="7" w:tplc="08160019" w:tentative="1">
      <w:start w:val="1"/>
      <w:numFmt w:val="lowerLetter"/>
      <w:lvlText w:val="%8."/>
      <w:lvlJc w:val="left"/>
      <w:pPr>
        <w:ind w:left="6468" w:hanging="360"/>
      </w:pPr>
    </w:lvl>
    <w:lvl w:ilvl="8" w:tplc="0816001B" w:tentative="1">
      <w:start w:val="1"/>
      <w:numFmt w:val="lowerRoman"/>
      <w:lvlText w:val="%9."/>
      <w:lvlJc w:val="right"/>
      <w:pPr>
        <w:ind w:left="7188" w:hanging="180"/>
      </w:pPr>
    </w:lvl>
  </w:abstractNum>
  <w:abstractNum w:abstractNumId="81">
    <w:nsid w:val="6A1C7BE8"/>
    <w:multiLevelType w:val="hybridMultilevel"/>
    <w:tmpl w:val="9AAC1DFA"/>
    <w:lvl w:ilvl="0" w:tplc="9E48DF9A">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2">
    <w:nsid w:val="6A58738A"/>
    <w:multiLevelType w:val="hybridMultilevel"/>
    <w:tmpl w:val="1E7CFFC0"/>
    <w:lvl w:ilvl="0" w:tplc="9E48DF9A">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3">
    <w:nsid w:val="6ACB3ABB"/>
    <w:multiLevelType w:val="hybridMultilevel"/>
    <w:tmpl w:val="E0E692DA"/>
    <w:lvl w:ilvl="0" w:tplc="B0A67F94">
      <w:start w:val="1"/>
      <w:numFmt w:val="upperRoman"/>
      <w:lvlText w:val="%1."/>
      <w:lvlJc w:val="left"/>
      <w:pPr>
        <w:ind w:left="1244" w:hanging="720"/>
      </w:pPr>
      <w:rPr>
        <w:rFonts w:hint="default"/>
        <w:b/>
      </w:rPr>
    </w:lvl>
    <w:lvl w:ilvl="1" w:tplc="08160019" w:tentative="1">
      <w:start w:val="1"/>
      <w:numFmt w:val="lowerLetter"/>
      <w:lvlText w:val="%2."/>
      <w:lvlJc w:val="left"/>
      <w:pPr>
        <w:ind w:left="1604" w:hanging="360"/>
      </w:pPr>
    </w:lvl>
    <w:lvl w:ilvl="2" w:tplc="0816001B" w:tentative="1">
      <w:start w:val="1"/>
      <w:numFmt w:val="lowerRoman"/>
      <w:lvlText w:val="%3."/>
      <w:lvlJc w:val="right"/>
      <w:pPr>
        <w:ind w:left="2324" w:hanging="180"/>
      </w:pPr>
    </w:lvl>
    <w:lvl w:ilvl="3" w:tplc="0816000F" w:tentative="1">
      <w:start w:val="1"/>
      <w:numFmt w:val="decimal"/>
      <w:lvlText w:val="%4."/>
      <w:lvlJc w:val="left"/>
      <w:pPr>
        <w:ind w:left="3044" w:hanging="360"/>
      </w:pPr>
    </w:lvl>
    <w:lvl w:ilvl="4" w:tplc="08160019" w:tentative="1">
      <w:start w:val="1"/>
      <w:numFmt w:val="lowerLetter"/>
      <w:lvlText w:val="%5."/>
      <w:lvlJc w:val="left"/>
      <w:pPr>
        <w:ind w:left="3764" w:hanging="360"/>
      </w:pPr>
    </w:lvl>
    <w:lvl w:ilvl="5" w:tplc="0816001B" w:tentative="1">
      <w:start w:val="1"/>
      <w:numFmt w:val="lowerRoman"/>
      <w:lvlText w:val="%6."/>
      <w:lvlJc w:val="right"/>
      <w:pPr>
        <w:ind w:left="4484" w:hanging="180"/>
      </w:pPr>
    </w:lvl>
    <w:lvl w:ilvl="6" w:tplc="0816000F" w:tentative="1">
      <w:start w:val="1"/>
      <w:numFmt w:val="decimal"/>
      <w:lvlText w:val="%7."/>
      <w:lvlJc w:val="left"/>
      <w:pPr>
        <w:ind w:left="5204" w:hanging="360"/>
      </w:pPr>
    </w:lvl>
    <w:lvl w:ilvl="7" w:tplc="08160019" w:tentative="1">
      <w:start w:val="1"/>
      <w:numFmt w:val="lowerLetter"/>
      <w:lvlText w:val="%8."/>
      <w:lvlJc w:val="left"/>
      <w:pPr>
        <w:ind w:left="5924" w:hanging="360"/>
      </w:pPr>
    </w:lvl>
    <w:lvl w:ilvl="8" w:tplc="0816001B" w:tentative="1">
      <w:start w:val="1"/>
      <w:numFmt w:val="lowerRoman"/>
      <w:lvlText w:val="%9."/>
      <w:lvlJc w:val="right"/>
      <w:pPr>
        <w:ind w:left="6644" w:hanging="180"/>
      </w:pPr>
    </w:lvl>
  </w:abstractNum>
  <w:abstractNum w:abstractNumId="84">
    <w:nsid w:val="6E77180C"/>
    <w:multiLevelType w:val="hybridMultilevel"/>
    <w:tmpl w:val="7C38D0C2"/>
    <w:lvl w:ilvl="0" w:tplc="08160005">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5">
    <w:nsid w:val="6F0C619D"/>
    <w:multiLevelType w:val="hybridMultilevel"/>
    <w:tmpl w:val="8B4A3644"/>
    <w:lvl w:ilvl="0" w:tplc="1CC65B0E">
      <w:start w:val="1"/>
      <w:numFmt w:val="upperRoman"/>
      <w:lvlText w:val="%1."/>
      <w:lvlJc w:val="left"/>
      <w:pPr>
        <w:ind w:left="2700" w:hanging="720"/>
      </w:pPr>
      <w:rPr>
        <w:rFonts w:hint="default"/>
      </w:rPr>
    </w:lvl>
    <w:lvl w:ilvl="1" w:tplc="08160019" w:tentative="1">
      <w:start w:val="1"/>
      <w:numFmt w:val="lowerLetter"/>
      <w:lvlText w:val="%2."/>
      <w:lvlJc w:val="left"/>
      <w:pPr>
        <w:ind w:left="3060" w:hanging="360"/>
      </w:pPr>
    </w:lvl>
    <w:lvl w:ilvl="2" w:tplc="0816001B">
      <w:start w:val="1"/>
      <w:numFmt w:val="lowerRoman"/>
      <w:lvlText w:val="%3."/>
      <w:lvlJc w:val="right"/>
      <w:pPr>
        <w:ind w:left="3780" w:hanging="180"/>
      </w:pPr>
    </w:lvl>
    <w:lvl w:ilvl="3" w:tplc="0816000F">
      <w:start w:val="1"/>
      <w:numFmt w:val="decimal"/>
      <w:lvlText w:val="%4."/>
      <w:lvlJc w:val="left"/>
      <w:pPr>
        <w:ind w:left="4500" w:hanging="360"/>
      </w:pPr>
    </w:lvl>
    <w:lvl w:ilvl="4" w:tplc="08160019" w:tentative="1">
      <w:start w:val="1"/>
      <w:numFmt w:val="lowerLetter"/>
      <w:lvlText w:val="%5."/>
      <w:lvlJc w:val="left"/>
      <w:pPr>
        <w:ind w:left="5220" w:hanging="360"/>
      </w:pPr>
    </w:lvl>
    <w:lvl w:ilvl="5" w:tplc="0816001B" w:tentative="1">
      <w:start w:val="1"/>
      <w:numFmt w:val="lowerRoman"/>
      <w:lvlText w:val="%6."/>
      <w:lvlJc w:val="right"/>
      <w:pPr>
        <w:ind w:left="5940" w:hanging="180"/>
      </w:pPr>
    </w:lvl>
    <w:lvl w:ilvl="6" w:tplc="0816000F" w:tentative="1">
      <w:start w:val="1"/>
      <w:numFmt w:val="decimal"/>
      <w:lvlText w:val="%7."/>
      <w:lvlJc w:val="left"/>
      <w:pPr>
        <w:ind w:left="6660" w:hanging="360"/>
      </w:pPr>
    </w:lvl>
    <w:lvl w:ilvl="7" w:tplc="08160019" w:tentative="1">
      <w:start w:val="1"/>
      <w:numFmt w:val="lowerLetter"/>
      <w:lvlText w:val="%8."/>
      <w:lvlJc w:val="left"/>
      <w:pPr>
        <w:ind w:left="7380" w:hanging="360"/>
      </w:pPr>
    </w:lvl>
    <w:lvl w:ilvl="8" w:tplc="0816001B" w:tentative="1">
      <w:start w:val="1"/>
      <w:numFmt w:val="lowerRoman"/>
      <w:lvlText w:val="%9."/>
      <w:lvlJc w:val="right"/>
      <w:pPr>
        <w:ind w:left="8100" w:hanging="180"/>
      </w:pPr>
    </w:lvl>
  </w:abstractNum>
  <w:abstractNum w:abstractNumId="86">
    <w:nsid w:val="74106694"/>
    <w:multiLevelType w:val="hybridMultilevel"/>
    <w:tmpl w:val="1A800622"/>
    <w:lvl w:ilvl="0" w:tplc="A0A8F83A">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7">
    <w:nsid w:val="74E831D0"/>
    <w:multiLevelType w:val="multilevel"/>
    <w:tmpl w:val="C80AD11A"/>
    <w:lvl w:ilvl="0">
      <w:start w:val="1"/>
      <w:numFmt w:val="upperRoman"/>
      <w:lvlText w:val="%1."/>
      <w:lvlJc w:val="left"/>
      <w:pPr>
        <w:ind w:left="1429" w:hanging="720"/>
      </w:pPr>
      <w:rPr>
        <w:rFonts w:hint="default"/>
      </w:rPr>
    </w:lvl>
    <w:lvl w:ilvl="1">
      <w:start w:val="1"/>
      <w:numFmt w:val="decimal"/>
      <w:isLgl/>
      <w:lvlText w:val="%1.%2"/>
      <w:lvlJc w:val="left"/>
      <w:pPr>
        <w:ind w:left="1980" w:hanging="420"/>
      </w:pPr>
      <w:rPr>
        <w:rFonts w:hint="default"/>
      </w:rPr>
    </w:lvl>
    <w:lvl w:ilvl="2">
      <w:start w:val="1"/>
      <w:numFmt w:val="decimal"/>
      <w:isLgl/>
      <w:lvlText w:val="%1.%2.%3"/>
      <w:lvlJc w:val="left"/>
      <w:pPr>
        <w:ind w:left="2843"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4617" w:hanging="1080"/>
      </w:pPr>
      <w:rPr>
        <w:rFonts w:hint="default"/>
      </w:rPr>
    </w:lvl>
    <w:lvl w:ilvl="5">
      <w:start w:val="1"/>
      <w:numFmt w:val="decimal"/>
      <w:isLgl/>
      <w:lvlText w:val="%1.%2.%3.%4.%5.%6"/>
      <w:lvlJc w:val="left"/>
      <w:pPr>
        <w:ind w:left="5684" w:hanging="1440"/>
      </w:pPr>
      <w:rPr>
        <w:rFonts w:hint="default"/>
      </w:rPr>
    </w:lvl>
    <w:lvl w:ilvl="6">
      <w:start w:val="1"/>
      <w:numFmt w:val="decimal"/>
      <w:isLgl/>
      <w:lvlText w:val="%1.%2.%3.%4.%5.%6.%7"/>
      <w:lvlJc w:val="left"/>
      <w:pPr>
        <w:ind w:left="6391" w:hanging="1440"/>
      </w:pPr>
      <w:rPr>
        <w:rFonts w:hint="default"/>
      </w:rPr>
    </w:lvl>
    <w:lvl w:ilvl="7">
      <w:start w:val="1"/>
      <w:numFmt w:val="decimal"/>
      <w:isLgl/>
      <w:lvlText w:val="%1.%2.%3.%4.%5.%6.%7.%8"/>
      <w:lvlJc w:val="left"/>
      <w:pPr>
        <w:ind w:left="7458" w:hanging="1800"/>
      </w:pPr>
      <w:rPr>
        <w:rFonts w:hint="default"/>
      </w:rPr>
    </w:lvl>
    <w:lvl w:ilvl="8">
      <w:start w:val="1"/>
      <w:numFmt w:val="decimal"/>
      <w:isLgl/>
      <w:lvlText w:val="%1.%2.%3.%4.%5.%6.%7.%8.%9"/>
      <w:lvlJc w:val="left"/>
      <w:pPr>
        <w:ind w:left="8165" w:hanging="1800"/>
      </w:pPr>
      <w:rPr>
        <w:rFonts w:hint="default"/>
      </w:rPr>
    </w:lvl>
  </w:abstractNum>
  <w:abstractNum w:abstractNumId="88">
    <w:nsid w:val="771D5C2C"/>
    <w:multiLevelType w:val="hybridMultilevel"/>
    <w:tmpl w:val="BBA07C12"/>
    <w:lvl w:ilvl="0" w:tplc="52C230AC">
      <w:start w:val="1"/>
      <w:numFmt w:val="upperRoman"/>
      <w:lvlText w:val="%1."/>
      <w:lvlJc w:val="left"/>
      <w:pPr>
        <w:ind w:left="1332" w:hanging="765"/>
      </w:pPr>
      <w:rPr>
        <w:rFonts w:hint="default"/>
        <w:b/>
        <w:strike w:val="0"/>
      </w:rPr>
    </w:lvl>
    <w:lvl w:ilvl="1" w:tplc="08160019" w:tentative="1">
      <w:start w:val="1"/>
      <w:numFmt w:val="lowerLetter"/>
      <w:lvlText w:val="%2."/>
      <w:lvlJc w:val="left"/>
      <w:pPr>
        <w:ind w:left="1647" w:hanging="360"/>
      </w:pPr>
    </w:lvl>
    <w:lvl w:ilvl="2" w:tplc="0816001B" w:tentative="1">
      <w:start w:val="1"/>
      <w:numFmt w:val="lowerRoman"/>
      <w:lvlText w:val="%3."/>
      <w:lvlJc w:val="right"/>
      <w:pPr>
        <w:ind w:left="2367" w:hanging="180"/>
      </w:pPr>
    </w:lvl>
    <w:lvl w:ilvl="3" w:tplc="0816000F" w:tentative="1">
      <w:start w:val="1"/>
      <w:numFmt w:val="decimal"/>
      <w:lvlText w:val="%4."/>
      <w:lvlJc w:val="left"/>
      <w:pPr>
        <w:ind w:left="3087" w:hanging="360"/>
      </w:pPr>
    </w:lvl>
    <w:lvl w:ilvl="4" w:tplc="08160019" w:tentative="1">
      <w:start w:val="1"/>
      <w:numFmt w:val="lowerLetter"/>
      <w:lvlText w:val="%5."/>
      <w:lvlJc w:val="left"/>
      <w:pPr>
        <w:ind w:left="3807" w:hanging="360"/>
      </w:pPr>
    </w:lvl>
    <w:lvl w:ilvl="5" w:tplc="0816001B" w:tentative="1">
      <w:start w:val="1"/>
      <w:numFmt w:val="lowerRoman"/>
      <w:lvlText w:val="%6."/>
      <w:lvlJc w:val="right"/>
      <w:pPr>
        <w:ind w:left="4527" w:hanging="180"/>
      </w:pPr>
    </w:lvl>
    <w:lvl w:ilvl="6" w:tplc="0816000F" w:tentative="1">
      <w:start w:val="1"/>
      <w:numFmt w:val="decimal"/>
      <w:lvlText w:val="%7."/>
      <w:lvlJc w:val="left"/>
      <w:pPr>
        <w:ind w:left="5247" w:hanging="360"/>
      </w:pPr>
    </w:lvl>
    <w:lvl w:ilvl="7" w:tplc="08160019" w:tentative="1">
      <w:start w:val="1"/>
      <w:numFmt w:val="lowerLetter"/>
      <w:lvlText w:val="%8."/>
      <w:lvlJc w:val="left"/>
      <w:pPr>
        <w:ind w:left="5967" w:hanging="360"/>
      </w:pPr>
    </w:lvl>
    <w:lvl w:ilvl="8" w:tplc="0816001B" w:tentative="1">
      <w:start w:val="1"/>
      <w:numFmt w:val="lowerRoman"/>
      <w:lvlText w:val="%9."/>
      <w:lvlJc w:val="right"/>
      <w:pPr>
        <w:ind w:left="6687" w:hanging="180"/>
      </w:pPr>
    </w:lvl>
  </w:abstractNum>
  <w:abstractNum w:abstractNumId="89">
    <w:nsid w:val="77664854"/>
    <w:multiLevelType w:val="hybridMultilevel"/>
    <w:tmpl w:val="CE088244"/>
    <w:lvl w:ilvl="0" w:tplc="D1FC2CAC">
      <w:start w:val="1"/>
      <w:numFmt w:val="decimal"/>
      <w:lvlText w:val="%1."/>
      <w:lvlJc w:val="left"/>
      <w:pPr>
        <w:ind w:left="6456" w:hanging="360"/>
      </w:pPr>
      <w:rPr>
        <w:b w:val="0"/>
        <w:strike w:val="0"/>
        <w:dstrike w:val="0"/>
        <w:sz w:val="22"/>
        <w:u w:val="none"/>
        <w:effect w:val="none"/>
      </w:rPr>
    </w:lvl>
    <w:lvl w:ilvl="1" w:tplc="08160019">
      <w:start w:val="1"/>
      <w:numFmt w:val="lowerLetter"/>
      <w:lvlText w:val="%2."/>
      <w:lvlJc w:val="left"/>
      <w:pPr>
        <w:ind w:left="6968" w:hanging="360"/>
      </w:pPr>
    </w:lvl>
    <w:lvl w:ilvl="2" w:tplc="0816001B">
      <w:start w:val="1"/>
      <w:numFmt w:val="lowerRoman"/>
      <w:lvlText w:val="%3."/>
      <w:lvlJc w:val="right"/>
      <w:pPr>
        <w:ind w:left="7688" w:hanging="180"/>
      </w:pPr>
    </w:lvl>
    <w:lvl w:ilvl="3" w:tplc="0816000F">
      <w:start w:val="1"/>
      <w:numFmt w:val="decimal"/>
      <w:lvlText w:val="%4."/>
      <w:lvlJc w:val="left"/>
      <w:pPr>
        <w:ind w:left="8408" w:hanging="360"/>
      </w:pPr>
    </w:lvl>
    <w:lvl w:ilvl="4" w:tplc="08160019">
      <w:start w:val="1"/>
      <w:numFmt w:val="lowerLetter"/>
      <w:lvlText w:val="%5."/>
      <w:lvlJc w:val="left"/>
      <w:pPr>
        <w:ind w:left="9128" w:hanging="360"/>
      </w:pPr>
    </w:lvl>
    <w:lvl w:ilvl="5" w:tplc="0816001B">
      <w:start w:val="1"/>
      <w:numFmt w:val="lowerRoman"/>
      <w:lvlText w:val="%6."/>
      <w:lvlJc w:val="right"/>
      <w:pPr>
        <w:ind w:left="9848" w:hanging="180"/>
      </w:pPr>
    </w:lvl>
    <w:lvl w:ilvl="6" w:tplc="0816000F">
      <w:start w:val="1"/>
      <w:numFmt w:val="decimal"/>
      <w:lvlText w:val="%7."/>
      <w:lvlJc w:val="left"/>
      <w:pPr>
        <w:ind w:left="10568" w:hanging="360"/>
      </w:pPr>
    </w:lvl>
    <w:lvl w:ilvl="7" w:tplc="08160019">
      <w:start w:val="1"/>
      <w:numFmt w:val="lowerLetter"/>
      <w:lvlText w:val="%8."/>
      <w:lvlJc w:val="left"/>
      <w:pPr>
        <w:ind w:left="11288" w:hanging="360"/>
      </w:pPr>
    </w:lvl>
    <w:lvl w:ilvl="8" w:tplc="0816001B">
      <w:start w:val="1"/>
      <w:numFmt w:val="lowerRoman"/>
      <w:lvlText w:val="%9."/>
      <w:lvlJc w:val="right"/>
      <w:pPr>
        <w:ind w:left="12008" w:hanging="180"/>
      </w:pPr>
    </w:lvl>
  </w:abstractNum>
  <w:abstractNum w:abstractNumId="90">
    <w:nsid w:val="77891C90"/>
    <w:multiLevelType w:val="hybridMultilevel"/>
    <w:tmpl w:val="494422E2"/>
    <w:lvl w:ilvl="0" w:tplc="39364142">
      <w:start w:val="1"/>
      <w:numFmt w:val="upperRoman"/>
      <w:lvlText w:val="%1."/>
      <w:lvlJc w:val="left"/>
      <w:pPr>
        <w:ind w:left="1004" w:hanging="360"/>
      </w:pPr>
      <w:rPr>
        <w:rFonts w:hint="default"/>
        <w:b/>
        <w:sz w:val="24"/>
        <w:szCs w:val="24"/>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1">
    <w:nsid w:val="7A276A3A"/>
    <w:multiLevelType w:val="hybridMultilevel"/>
    <w:tmpl w:val="E800EDAE"/>
    <w:lvl w:ilvl="0" w:tplc="9E48DF9A">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2">
    <w:nsid w:val="7AA84E46"/>
    <w:multiLevelType w:val="hybridMultilevel"/>
    <w:tmpl w:val="4BE64A34"/>
    <w:lvl w:ilvl="0" w:tplc="0882A85E">
      <w:start w:val="1"/>
      <w:numFmt w:val="upperRoman"/>
      <w:lvlText w:val="%1."/>
      <w:lvlJc w:val="left"/>
      <w:pPr>
        <w:ind w:left="1004" w:hanging="360"/>
      </w:pPr>
      <w:rPr>
        <w:rFonts w:hint="default"/>
        <w:b/>
        <w:sz w:val="24"/>
        <w:szCs w:val="24"/>
      </w:rPr>
    </w:lvl>
    <w:lvl w:ilvl="1" w:tplc="08160019" w:tentative="1">
      <w:start w:val="1"/>
      <w:numFmt w:val="lowerLetter"/>
      <w:lvlText w:val="%2."/>
      <w:lvlJc w:val="left"/>
      <w:pPr>
        <w:ind w:left="1724" w:hanging="360"/>
      </w:pPr>
    </w:lvl>
    <w:lvl w:ilvl="2" w:tplc="0816001B" w:tentative="1">
      <w:start w:val="1"/>
      <w:numFmt w:val="lowerRoman"/>
      <w:lvlText w:val="%3."/>
      <w:lvlJc w:val="right"/>
      <w:pPr>
        <w:ind w:left="2444" w:hanging="180"/>
      </w:pPr>
    </w:lvl>
    <w:lvl w:ilvl="3" w:tplc="0816000F" w:tentative="1">
      <w:start w:val="1"/>
      <w:numFmt w:val="decimal"/>
      <w:lvlText w:val="%4."/>
      <w:lvlJc w:val="left"/>
      <w:pPr>
        <w:ind w:left="3164" w:hanging="360"/>
      </w:pPr>
    </w:lvl>
    <w:lvl w:ilvl="4" w:tplc="08160019" w:tentative="1">
      <w:start w:val="1"/>
      <w:numFmt w:val="lowerLetter"/>
      <w:lvlText w:val="%5."/>
      <w:lvlJc w:val="left"/>
      <w:pPr>
        <w:ind w:left="3884" w:hanging="360"/>
      </w:pPr>
    </w:lvl>
    <w:lvl w:ilvl="5" w:tplc="0816001B" w:tentative="1">
      <w:start w:val="1"/>
      <w:numFmt w:val="lowerRoman"/>
      <w:lvlText w:val="%6."/>
      <w:lvlJc w:val="right"/>
      <w:pPr>
        <w:ind w:left="4604" w:hanging="180"/>
      </w:pPr>
    </w:lvl>
    <w:lvl w:ilvl="6" w:tplc="0816000F" w:tentative="1">
      <w:start w:val="1"/>
      <w:numFmt w:val="decimal"/>
      <w:lvlText w:val="%7."/>
      <w:lvlJc w:val="left"/>
      <w:pPr>
        <w:ind w:left="5324" w:hanging="360"/>
      </w:pPr>
    </w:lvl>
    <w:lvl w:ilvl="7" w:tplc="08160019" w:tentative="1">
      <w:start w:val="1"/>
      <w:numFmt w:val="lowerLetter"/>
      <w:lvlText w:val="%8."/>
      <w:lvlJc w:val="left"/>
      <w:pPr>
        <w:ind w:left="6044" w:hanging="360"/>
      </w:pPr>
    </w:lvl>
    <w:lvl w:ilvl="8" w:tplc="0816001B" w:tentative="1">
      <w:start w:val="1"/>
      <w:numFmt w:val="lowerRoman"/>
      <w:lvlText w:val="%9."/>
      <w:lvlJc w:val="right"/>
      <w:pPr>
        <w:ind w:left="6764" w:hanging="180"/>
      </w:pPr>
    </w:lvl>
  </w:abstractNum>
  <w:abstractNum w:abstractNumId="93">
    <w:nsid w:val="7AD21675"/>
    <w:multiLevelType w:val="multilevel"/>
    <w:tmpl w:val="5032EEB0"/>
    <w:lvl w:ilvl="0">
      <w:start w:val="1"/>
      <w:numFmt w:val="upperRoman"/>
      <w:lvlText w:val="%1."/>
      <w:lvlJc w:val="left"/>
      <w:pPr>
        <w:ind w:left="1004" w:hanging="720"/>
      </w:pPr>
      <w:rPr>
        <w:rFonts w:hint="default"/>
        <w:b/>
        <w:strike w:val="0"/>
      </w:rPr>
    </w:lvl>
    <w:lvl w:ilvl="1">
      <w:start w:val="2"/>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94">
    <w:nsid w:val="7DA750EF"/>
    <w:multiLevelType w:val="hybridMultilevel"/>
    <w:tmpl w:val="82AA5BB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5">
    <w:nsid w:val="7E1257CD"/>
    <w:multiLevelType w:val="hybridMultilevel"/>
    <w:tmpl w:val="BA5E227C"/>
    <w:lvl w:ilvl="0" w:tplc="21E48264">
      <w:start w:val="1"/>
      <w:numFmt w:val="upperRoman"/>
      <w:lvlText w:val="%1."/>
      <w:lvlJc w:val="left"/>
      <w:pPr>
        <w:ind w:left="1146" w:hanging="720"/>
      </w:pPr>
      <w:rPr>
        <w:rFonts w:hint="default"/>
      </w:rPr>
    </w:lvl>
    <w:lvl w:ilvl="1" w:tplc="08160019" w:tentative="1">
      <w:start w:val="1"/>
      <w:numFmt w:val="lowerLetter"/>
      <w:lvlText w:val="%2."/>
      <w:lvlJc w:val="left"/>
      <w:pPr>
        <w:ind w:left="1506" w:hanging="360"/>
      </w:pPr>
    </w:lvl>
    <w:lvl w:ilvl="2" w:tplc="0816001B" w:tentative="1">
      <w:start w:val="1"/>
      <w:numFmt w:val="lowerRoman"/>
      <w:lvlText w:val="%3."/>
      <w:lvlJc w:val="right"/>
      <w:pPr>
        <w:ind w:left="2226" w:hanging="180"/>
      </w:pPr>
    </w:lvl>
    <w:lvl w:ilvl="3" w:tplc="0816000F" w:tentative="1">
      <w:start w:val="1"/>
      <w:numFmt w:val="decimal"/>
      <w:lvlText w:val="%4."/>
      <w:lvlJc w:val="left"/>
      <w:pPr>
        <w:ind w:left="2946" w:hanging="360"/>
      </w:pPr>
    </w:lvl>
    <w:lvl w:ilvl="4" w:tplc="08160019" w:tentative="1">
      <w:start w:val="1"/>
      <w:numFmt w:val="lowerLetter"/>
      <w:lvlText w:val="%5."/>
      <w:lvlJc w:val="left"/>
      <w:pPr>
        <w:ind w:left="3666" w:hanging="360"/>
      </w:pPr>
    </w:lvl>
    <w:lvl w:ilvl="5" w:tplc="0816001B" w:tentative="1">
      <w:start w:val="1"/>
      <w:numFmt w:val="lowerRoman"/>
      <w:lvlText w:val="%6."/>
      <w:lvlJc w:val="right"/>
      <w:pPr>
        <w:ind w:left="4386" w:hanging="180"/>
      </w:pPr>
    </w:lvl>
    <w:lvl w:ilvl="6" w:tplc="0816000F" w:tentative="1">
      <w:start w:val="1"/>
      <w:numFmt w:val="decimal"/>
      <w:lvlText w:val="%7."/>
      <w:lvlJc w:val="left"/>
      <w:pPr>
        <w:ind w:left="5106" w:hanging="360"/>
      </w:pPr>
    </w:lvl>
    <w:lvl w:ilvl="7" w:tplc="08160019" w:tentative="1">
      <w:start w:val="1"/>
      <w:numFmt w:val="lowerLetter"/>
      <w:lvlText w:val="%8."/>
      <w:lvlJc w:val="left"/>
      <w:pPr>
        <w:ind w:left="5826" w:hanging="360"/>
      </w:pPr>
    </w:lvl>
    <w:lvl w:ilvl="8" w:tplc="0816001B" w:tentative="1">
      <w:start w:val="1"/>
      <w:numFmt w:val="lowerRoman"/>
      <w:lvlText w:val="%9."/>
      <w:lvlJc w:val="right"/>
      <w:pPr>
        <w:ind w:left="6546" w:hanging="180"/>
      </w:pPr>
    </w:lvl>
  </w:abstractNum>
  <w:abstractNum w:abstractNumId="96">
    <w:nsid w:val="7F9F446B"/>
    <w:multiLevelType w:val="multilevel"/>
    <w:tmpl w:val="FEB89C82"/>
    <w:lvl w:ilvl="0">
      <w:start w:val="1"/>
      <w:numFmt w:val="upperRoman"/>
      <w:lvlText w:val="%1."/>
      <w:lvlJc w:val="left"/>
      <w:pPr>
        <w:ind w:left="1145" w:hanging="360"/>
      </w:pPr>
      <w:rPr>
        <w:rFonts w:hint="default"/>
        <w:b/>
        <w:strike w:val="0"/>
        <w:sz w:val="24"/>
        <w:szCs w:val="24"/>
      </w:rPr>
    </w:lvl>
    <w:lvl w:ilvl="1">
      <w:start w:val="3"/>
      <w:numFmt w:val="decimal"/>
      <w:isLgl/>
      <w:lvlText w:val="%1.%2"/>
      <w:lvlJc w:val="left"/>
      <w:pPr>
        <w:ind w:left="1145" w:hanging="360"/>
      </w:pPr>
      <w:rPr>
        <w:rFonts w:hint="default"/>
      </w:rPr>
    </w:lvl>
    <w:lvl w:ilvl="2">
      <w:start w:val="1"/>
      <w:numFmt w:val="decimal"/>
      <w:isLgl/>
      <w:lvlText w:val="%1.%2.%3"/>
      <w:lvlJc w:val="left"/>
      <w:pPr>
        <w:ind w:left="1505" w:hanging="720"/>
      </w:pPr>
      <w:rPr>
        <w:rFonts w:hint="default"/>
      </w:rPr>
    </w:lvl>
    <w:lvl w:ilvl="3">
      <w:start w:val="1"/>
      <w:numFmt w:val="decimal"/>
      <w:isLgl/>
      <w:lvlText w:val="%1.%2.%3.%4"/>
      <w:lvlJc w:val="left"/>
      <w:pPr>
        <w:ind w:left="1505" w:hanging="720"/>
      </w:pPr>
      <w:rPr>
        <w:rFonts w:hint="default"/>
      </w:rPr>
    </w:lvl>
    <w:lvl w:ilvl="4">
      <w:start w:val="1"/>
      <w:numFmt w:val="decimal"/>
      <w:isLgl/>
      <w:lvlText w:val="%1.%2.%3.%4.%5"/>
      <w:lvlJc w:val="left"/>
      <w:pPr>
        <w:ind w:left="1865" w:hanging="1080"/>
      </w:pPr>
      <w:rPr>
        <w:rFonts w:hint="default"/>
      </w:rPr>
    </w:lvl>
    <w:lvl w:ilvl="5">
      <w:start w:val="1"/>
      <w:numFmt w:val="decimal"/>
      <w:isLgl/>
      <w:lvlText w:val="%1.%2.%3.%4.%5.%6"/>
      <w:lvlJc w:val="left"/>
      <w:pPr>
        <w:ind w:left="1865" w:hanging="1080"/>
      </w:pPr>
      <w:rPr>
        <w:rFonts w:hint="default"/>
      </w:rPr>
    </w:lvl>
    <w:lvl w:ilvl="6">
      <w:start w:val="1"/>
      <w:numFmt w:val="decimal"/>
      <w:isLgl/>
      <w:lvlText w:val="%1.%2.%3.%4.%5.%6.%7"/>
      <w:lvlJc w:val="left"/>
      <w:pPr>
        <w:ind w:left="2225" w:hanging="1440"/>
      </w:pPr>
      <w:rPr>
        <w:rFonts w:hint="default"/>
      </w:rPr>
    </w:lvl>
    <w:lvl w:ilvl="7">
      <w:start w:val="1"/>
      <w:numFmt w:val="decimal"/>
      <w:isLgl/>
      <w:lvlText w:val="%1.%2.%3.%4.%5.%6.%7.%8"/>
      <w:lvlJc w:val="left"/>
      <w:pPr>
        <w:ind w:left="2225" w:hanging="1440"/>
      </w:pPr>
      <w:rPr>
        <w:rFonts w:hint="default"/>
      </w:rPr>
    </w:lvl>
    <w:lvl w:ilvl="8">
      <w:start w:val="1"/>
      <w:numFmt w:val="decimal"/>
      <w:isLgl/>
      <w:lvlText w:val="%1.%2.%3.%4.%5.%6.%7.%8.%9"/>
      <w:lvlJc w:val="left"/>
      <w:pPr>
        <w:ind w:left="2585" w:hanging="1800"/>
      </w:pPr>
      <w:rPr>
        <w:rFonts w:hint="default"/>
      </w:rPr>
    </w:lvl>
  </w:abstractNum>
  <w:num w:numId="1">
    <w:abstractNumId w:val="0"/>
  </w:num>
  <w:num w:numId="2">
    <w:abstractNumId w:val="52"/>
  </w:num>
  <w:num w:numId="3">
    <w:abstractNumId w:val="72"/>
  </w:num>
  <w:num w:numId="4">
    <w:abstractNumId w:val="84"/>
  </w:num>
  <w:num w:numId="5">
    <w:abstractNumId w:val="8"/>
  </w:num>
  <w:num w:numId="6">
    <w:abstractNumId w:val="71"/>
  </w:num>
  <w:num w:numId="7">
    <w:abstractNumId w:val="45"/>
  </w:num>
  <w:num w:numId="8">
    <w:abstractNumId w:val="55"/>
  </w:num>
  <w:num w:numId="9">
    <w:abstractNumId w:val="58"/>
  </w:num>
  <w:num w:numId="10">
    <w:abstractNumId w:val="5"/>
  </w:num>
  <w:num w:numId="11">
    <w:abstractNumId w:val="48"/>
  </w:num>
  <w:num w:numId="12">
    <w:abstractNumId w:val="14"/>
  </w:num>
  <w:num w:numId="13">
    <w:abstractNumId w:val="7"/>
  </w:num>
  <w:num w:numId="14">
    <w:abstractNumId w:val="36"/>
  </w:num>
  <w:num w:numId="15">
    <w:abstractNumId w:val="93"/>
  </w:num>
  <w:num w:numId="16">
    <w:abstractNumId w:val="40"/>
  </w:num>
  <w:num w:numId="17">
    <w:abstractNumId w:val="13"/>
  </w:num>
  <w:num w:numId="18">
    <w:abstractNumId w:val="62"/>
  </w:num>
  <w:num w:numId="19">
    <w:abstractNumId w:val="73"/>
  </w:num>
  <w:num w:numId="20">
    <w:abstractNumId w:val="57"/>
  </w:num>
  <w:num w:numId="21">
    <w:abstractNumId w:val="96"/>
  </w:num>
  <w:num w:numId="22">
    <w:abstractNumId w:val="10"/>
  </w:num>
  <w:num w:numId="23">
    <w:abstractNumId w:val="28"/>
  </w:num>
  <w:num w:numId="24">
    <w:abstractNumId w:val="12"/>
  </w:num>
  <w:num w:numId="25">
    <w:abstractNumId w:val="17"/>
  </w:num>
  <w:num w:numId="26">
    <w:abstractNumId w:val="56"/>
  </w:num>
  <w:num w:numId="27">
    <w:abstractNumId w:val="61"/>
  </w:num>
  <w:num w:numId="28">
    <w:abstractNumId w:val="80"/>
  </w:num>
  <w:num w:numId="29">
    <w:abstractNumId w:val="59"/>
  </w:num>
  <w:num w:numId="30">
    <w:abstractNumId w:val="4"/>
  </w:num>
  <w:num w:numId="31">
    <w:abstractNumId w:val="63"/>
  </w:num>
  <w:num w:numId="32">
    <w:abstractNumId w:val="39"/>
  </w:num>
  <w:num w:numId="33">
    <w:abstractNumId w:val="31"/>
  </w:num>
  <w:num w:numId="34">
    <w:abstractNumId w:val="23"/>
  </w:num>
  <w:num w:numId="35">
    <w:abstractNumId w:val="21"/>
  </w:num>
  <w:num w:numId="36">
    <w:abstractNumId w:val="43"/>
  </w:num>
  <w:num w:numId="37">
    <w:abstractNumId w:val="41"/>
  </w:num>
  <w:num w:numId="38">
    <w:abstractNumId w:val="29"/>
  </w:num>
  <w:num w:numId="39">
    <w:abstractNumId w:val="18"/>
  </w:num>
  <w:num w:numId="40">
    <w:abstractNumId w:val="81"/>
  </w:num>
  <w:num w:numId="41">
    <w:abstractNumId w:val="75"/>
  </w:num>
  <w:num w:numId="42">
    <w:abstractNumId w:val="16"/>
  </w:num>
  <w:num w:numId="43">
    <w:abstractNumId w:val="37"/>
  </w:num>
  <w:num w:numId="44">
    <w:abstractNumId w:val="27"/>
  </w:num>
  <w:num w:numId="45">
    <w:abstractNumId w:val="9"/>
  </w:num>
  <w:num w:numId="46">
    <w:abstractNumId w:val="30"/>
  </w:num>
  <w:num w:numId="47">
    <w:abstractNumId w:val="88"/>
  </w:num>
  <w:num w:numId="48">
    <w:abstractNumId w:val="2"/>
  </w:num>
  <w:num w:numId="49">
    <w:abstractNumId w:val="34"/>
  </w:num>
  <w:num w:numId="50">
    <w:abstractNumId w:val="22"/>
  </w:num>
  <w:num w:numId="51">
    <w:abstractNumId w:val="20"/>
  </w:num>
  <w:num w:numId="5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8"/>
  </w:num>
  <w:num w:numId="54">
    <w:abstractNumId w:val="83"/>
  </w:num>
  <w:num w:numId="55">
    <w:abstractNumId w:val="91"/>
  </w:num>
  <w:num w:numId="56">
    <w:abstractNumId w:val="33"/>
  </w:num>
  <w:num w:numId="57">
    <w:abstractNumId w:val="51"/>
  </w:num>
  <w:num w:numId="58">
    <w:abstractNumId w:val="49"/>
  </w:num>
  <w:num w:numId="59">
    <w:abstractNumId w:val="95"/>
  </w:num>
  <w:num w:numId="60">
    <w:abstractNumId w:val="50"/>
  </w:num>
  <w:num w:numId="61">
    <w:abstractNumId w:val="79"/>
  </w:num>
  <w:num w:numId="62">
    <w:abstractNumId w:val="64"/>
  </w:num>
  <w:num w:numId="63">
    <w:abstractNumId w:val="54"/>
  </w:num>
  <w:num w:numId="64">
    <w:abstractNumId w:val="86"/>
  </w:num>
  <w:num w:numId="65">
    <w:abstractNumId w:val="53"/>
  </w:num>
  <w:num w:numId="66">
    <w:abstractNumId w:val="87"/>
  </w:num>
  <w:num w:numId="67">
    <w:abstractNumId w:val="42"/>
  </w:num>
  <w:num w:numId="68">
    <w:abstractNumId w:val="15"/>
  </w:num>
  <w:num w:numId="69">
    <w:abstractNumId w:val="38"/>
  </w:num>
  <w:num w:numId="70">
    <w:abstractNumId w:val="44"/>
  </w:num>
  <w:num w:numId="71">
    <w:abstractNumId w:val="32"/>
  </w:num>
  <w:num w:numId="72">
    <w:abstractNumId w:val="19"/>
  </w:num>
  <w:num w:numId="73">
    <w:abstractNumId w:val="68"/>
  </w:num>
  <w:num w:numId="74">
    <w:abstractNumId w:val="6"/>
  </w:num>
  <w:num w:numId="75">
    <w:abstractNumId w:val="47"/>
  </w:num>
  <w:num w:numId="76">
    <w:abstractNumId w:val="66"/>
  </w:num>
  <w:num w:numId="77">
    <w:abstractNumId w:val="24"/>
  </w:num>
  <w:num w:numId="78">
    <w:abstractNumId w:val="76"/>
  </w:num>
  <w:num w:numId="79">
    <w:abstractNumId w:val="77"/>
  </w:num>
  <w:num w:numId="80">
    <w:abstractNumId w:val="26"/>
  </w:num>
  <w:num w:numId="81">
    <w:abstractNumId w:val="74"/>
  </w:num>
  <w:num w:numId="82">
    <w:abstractNumId w:val="46"/>
  </w:num>
  <w:num w:numId="83">
    <w:abstractNumId w:val="85"/>
  </w:num>
  <w:num w:numId="84">
    <w:abstractNumId w:val="82"/>
  </w:num>
  <w:num w:numId="85">
    <w:abstractNumId w:val="67"/>
  </w:num>
  <w:num w:numId="86">
    <w:abstractNumId w:val="94"/>
  </w:num>
  <w:num w:numId="87">
    <w:abstractNumId w:val="35"/>
  </w:num>
  <w:num w:numId="88">
    <w:abstractNumId w:val="25"/>
  </w:num>
  <w:num w:numId="89">
    <w:abstractNumId w:val="70"/>
  </w:num>
  <w:num w:numId="90">
    <w:abstractNumId w:val="69"/>
  </w:num>
  <w:num w:numId="91">
    <w:abstractNumId w:val="1"/>
  </w:num>
  <w:num w:numId="92">
    <w:abstractNumId w:val="11"/>
  </w:num>
  <w:num w:numId="93">
    <w:abstractNumId w:val="3"/>
  </w:num>
  <w:num w:numId="94">
    <w:abstractNumId w:val="92"/>
  </w:num>
  <w:num w:numId="95">
    <w:abstractNumId w:val="90"/>
  </w:num>
  <w:num w:numId="96">
    <w:abstractNumId w:val="60"/>
  </w:num>
  <w:num w:numId="97">
    <w:abstractNumId w:val="65"/>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021E"/>
    <w:rsid w:val="00000362"/>
    <w:rsid w:val="00000DC2"/>
    <w:rsid w:val="00001797"/>
    <w:rsid w:val="00005825"/>
    <w:rsid w:val="00012034"/>
    <w:rsid w:val="000123F0"/>
    <w:rsid w:val="00014B64"/>
    <w:rsid w:val="0002337C"/>
    <w:rsid w:val="00027CD0"/>
    <w:rsid w:val="00030D05"/>
    <w:rsid w:val="00031A2E"/>
    <w:rsid w:val="0003215A"/>
    <w:rsid w:val="0003246A"/>
    <w:rsid w:val="00034087"/>
    <w:rsid w:val="0003473D"/>
    <w:rsid w:val="0003622E"/>
    <w:rsid w:val="000418BD"/>
    <w:rsid w:val="00041A5C"/>
    <w:rsid w:val="000422B2"/>
    <w:rsid w:val="0004452C"/>
    <w:rsid w:val="00047937"/>
    <w:rsid w:val="000508B0"/>
    <w:rsid w:val="00050F59"/>
    <w:rsid w:val="00051B93"/>
    <w:rsid w:val="00056620"/>
    <w:rsid w:val="00057412"/>
    <w:rsid w:val="00070842"/>
    <w:rsid w:val="00070B02"/>
    <w:rsid w:val="00071ADF"/>
    <w:rsid w:val="00071F51"/>
    <w:rsid w:val="000725C8"/>
    <w:rsid w:val="000729FC"/>
    <w:rsid w:val="00075881"/>
    <w:rsid w:val="000768BB"/>
    <w:rsid w:val="00081991"/>
    <w:rsid w:val="00081D1B"/>
    <w:rsid w:val="000868BE"/>
    <w:rsid w:val="00086E28"/>
    <w:rsid w:val="00087ECE"/>
    <w:rsid w:val="0009070C"/>
    <w:rsid w:val="0009152F"/>
    <w:rsid w:val="00091A97"/>
    <w:rsid w:val="000978AF"/>
    <w:rsid w:val="000A0944"/>
    <w:rsid w:val="000A0A9D"/>
    <w:rsid w:val="000A18CE"/>
    <w:rsid w:val="000A23F1"/>
    <w:rsid w:val="000A28F7"/>
    <w:rsid w:val="000A34C9"/>
    <w:rsid w:val="000A59DA"/>
    <w:rsid w:val="000A6FB7"/>
    <w:rsid w:val="000A7AC3"/>
    <w:rsid w:val="000A7FA0"/>
    <w:rsid w:val="000B2826"/>
    <w:rsid w:val="000B3359"/>
    <w:rsid w:val="000B53FF"/>
    <w:rsid w:val="000B5FA7"/>
    <w:rsid w:val="000B6B99"/>
    <w:rsid w:val="000B7F55"/>
    <w:rsid w:val="000C4033"/>
    <w:rsid w:val="000C428B"/>
    <w:rsid w:val="000C46F3"/>
    <w:rsid w:val="000D3248"/>
    <w:rsid w:val="000D6816"/>
    <w:rsid w:val="000D71EA"/>
    <w:rsid w:val="000D7724"/>
    <w:rsid w:val="000D7E2E"/>
    <w:rsid w:val="000E1B35"/>
    <w:rsid w:val="000E365A"/>
    <w:rsid w:val="000F095F"/>
    <w:rsid w:val="000F0BA3"/>
    <w:rsid w:val="000F16D5"/>
    <w:rsid w:val="000F5EB4"/>
    <w:rsid w:val="000F6BB8"/>
    <w:rsid w:val="00102F28"/>
    <w:rsid w:val="00104DF7"/>
    <w:rsid w:val="00106F36"/>
    <w:rsid w:val="001100B9"/>
    <w:rsid w:val="0011148F"/>
    <w:rsid w:val="00111C4D"/>
    <w:rsid w:val="00112E9C"/>
    <w:rsid w:val="001172A0"/>
    <w:rsid w:val="00121BB1"/>
    <w:rsid w:val="00122B4B"/>
    <w:rsid w:val="00122F34"/>
    <w:rsid w:val="00123E56"/>
    <w:rsid w:val="00124368"/>
    <w:rsid w:val="0012502F"/>
    <w:rsid w:val="0012604E"/>
    <w:rsid w:val="001266F2"/>
    <w:rsid w:val="001267D1"/>
    <w:rsid w:val="00126940"/>
    <w:rsid w:val="00127025"/>
    <w:rsid w:val="0013202A"/>
    <w:rsid w:val="00140448"/>
    <w:rsid w:val="00142D6E"/>
    <w:rsid w:val="00152A83"/>
    <w:rsid w:val="00152D66"/>
    <w:rsid w:val="00153ED5"/>
    <w:rsid w:val="001543A7"/>
    <w:rsid w:val="001570FC"/>
    <w:rsid w:val="0016377F"/>
    <w:rsid w:val="001668ED"/>
    <w:rsid w:val="00166BE3"/>
    <w:rsid w:val="00173028"/>
    <w:rsid w:val="00173639"/>
    <w:rsid w:val="00173F99"/>
    <w:rsid w:val="00175E26"/>
    <w:rsid w:val="00181324"/>
    <w:rsid w:val="0018136E"/>
    <w:rsid w:val="001843FF"/>
    <w:rsid w:val="00185E23"/>
    <w:rsid w:val="001875D4"/>
    <w:rsid w:val="0019284A"/>
    <w:rsid w:val="001939C9"/>
    <w:rsid w:val="00193E91"/>
    <w:rsid w:val="00195F12"/>
    <w:rsid w:val="001971EE"/>
    <w:rsid w:val="001A0194"/>
    <w:rsid w:val="001A039E"/>
    <w:rsid w:val="001A1D92"/>
    <w:rsid w:val="001A1E81"/>
    <w:rsid w:val="001A26FA"/>
    <w:rsid w:val="001A2DC5"/>
    <w:rsid w:val="001A3565"/>
    <w:rsid w:val="001A5A6A"/>
    <w:rsid w:val="001A6D8F"/>
    <w:rsid w:val="001A6E16"/>
    <w:rsid w:val="001B4827"/>
    <w:rsid w:val="001B4B16"/>
    <w:rsid w:val="001C06FF"/>
    <w:rsid w:val="001C0735"/>
    <w:rsid w:val="001C34FF"/>
    <w:rsid w:val="001C4580"/>
    <w:rsid w:val="001C4D0C"/>
    <w:rsid w:val="001C54C8"/>
    <w:rsid w:val="001D1090"/>
    <w:rsid w:val="001D3A87"/>
    <w:rsid w:val="001D496E"/>
    <w:rsid w:val="001D4A49"/>
    <w:rsid w:val="001D7418"/>
    <w:rsid w:val="001E1FB9"/>
    <w:rsid w:val="001E4931"/>
    <w:rsid w:val="001E58A6"/>
    <w:rsid w:val="001E5AF9"/>
    <w:rsid w:val="001E7167"/>
    <w:rsid w:val="001E792A"/>
    <w:rsid w:val="001E7E99"/>
    <w:rsid w:val="001F0616"/>
    <w:rsid w:val="001F502B"/>
    <w:rsid w:val="001F5730"/>
    <w:rsid w:val="001F60E7"/>
    <w:rsid w:val="00200B17"/>
    <w:rsid w:val="00202BFA"/>
    <w:rsid w:val="00206141"/>
    <w:rsid w:val="002067B7"/>
    <w:rsid w:val="00211AE0"/>
    <w:rsid w:val="00214D7B"/>
    <w:rsid w:val="002233CC"/>
    <w:rsid w:val="00234577"/>
    <w:rsid w:val="002345D1"/>
    <w:rsid w:val="0023536C"/>
    <w:rsid w:val="00235412"/>
    <w:rsid w:val="0023631A"/>
    <w:rsid w:val="00240D0B"/>
    <w:rsid w:val="00246BA3"/>
    <w:rsid w:val="00250669"/>
    <w:rsid w:val="00250A92"/>
    <w:rsid w:val="002510C9"/>
    <w:rsid w:val="0025252E"/>
    <w:rsid w:val="00252D5E"/>
    <w:rsid w:val="00253ADA"/>
    <w:rsid w:val="00253CEF"/>
    <w:rsid w:val="00254AAB"/>
    <w:rsid w:val="00254F8D"/>
    <w:rsid w:val="00256F15"/>
    <w:rsid w:val="00260627"/>
    <w:rsid w:val="002622B3"/>
    <w:rsid w:val="00262DDC"/>
    <w:rsid w:val="00264BAD"/>
    <w:rsid w:val="0027028C"/>
    <w:rsid w:val="00270B0E"/>
    <w:rsid w:val="00271D0A"/>
    <w:rsid w:val="00274A60"/>
    <w:rsid w:val="0027635F"/>
    <w:rsid w:val="00280820"/>
    <w:rsid w:val="00282161"/>
    <w:rsid w:val="002829E6"/>
    <w:rsid w:val="00291742"/>
    <w:rsid w:val="002921A0"/>
    <w:rsid w:val="00292956"/>
    <w:rsid w:val="0029344B"/>
    <w:rsid w:val="00295432"/>
    <w:rsid w:val="00295F4E"/>
    <w:rsid w:val="002972C2"/>
    <w:rsid w:val="0029797C"/>
    <w:rsid w:val="002A18E4"/>
    <w:rsid w:val="002A40F4"/>
    <w:rsid w:val="002A423B"/>
    <w:rsid w:val="002A4BE2"/>
    <w:rsid w:val="002A4FD1"/>
    <w:rsid w:val="002A59B4"/>
    <w:rsid w:val="002A6C80"/>
    <w:rsid w:val="002A74E1"/>
    <w:rsid w:val="002A75E0"/>
    <w:rsid w:val="002B0379"/>
    <w:rsid w:val="002B051C"/>
    <w:rsid w:val="002B3C41"/>
    <w:rsid w:val="002B3E3A"/>
    <w:rsid w:val="002B5ADB"/>
    <w:rsid w:val="002C2015"/>
    <w:rsid w:val="002C2F91"/>
    <w:rsid w:val="002C49F5"/>
    <w:rsid w:val="002C5FD2"/>
    <w:rsid w:val="002C6CEA"/>
    <w:rsid w:val="002C7CD5"/>
    <w:rsid w:val="002D3EBB"/>
    <w:rsid w:val="002D7364"/>
    <w:rsid w:val="002E1E50"/>
    <w:rsid w:val="002E2F06"/>
    <w:rsid w:val="002E5D86"/>
    <w:rsid w:val="002E6728"/>
    <w:rsid w:val="002F08B3"/>
    <w:rsid w:val="002F1BA0"/>
    <w:rsid w:val="002F420C"/>
    <w:rsid w:val="002F488F"/>
    <w:rsid w:val="00300D97"/>
    <w:rsid w:val="003020A8"/>
    <w:rsid w:val="00302222"/>
    <w:rsid w:val="00302613"/>
    <w:rsid w:val="00302EDA"/>
    <w:rsid w:val="00304B32"/>
    <w:rsid w:val="0030705C"/>
    <w:rsid w:val="003078C2"/>
    <w:rsid w:val="00312012"/>
    <w:rsid w:val="0031241C"/>
    <w:rsid w:val="003136B7"/>
    <w:rsid w:val="0031780F"/>
    <w:rsid w:val="0032160B"/>
    <w:rsid w:val="00321F44"/>
    <w:rsid w:val="003250A4"/>
    <w:rsid w:val="00325414"/>
    <w:rsid w:val="003274FB"/>
    <w:rsid w:val="00331F6E"/>
    <w:rsid w:val="00332E9F"/>
    <w:rsid w:val="00333350"/>
    <w:rsid w:val="0033397A"/>
    <w:rsid w:val="0033560E"/>
    <w:rsid w:val="00335A5B"/>
    <w:rsid w:val="00336A0F"/>
    <w:rsid w:val="00336F1C"/>
    <w:rsid w:val="0034035A"/>
    <w:rsid w:val="00343774"/>
    <w:rsid w:val="00343E62"/>
    <w:rsid w:val="0034523E"/>
    <w:rsid w:val="003466A0"/>
    <w:rsid w:val="00346715"/>
    <w:rsid w:val="003509CA"/>
    <w:rsid w:val="00352391"/>
    <w:rsid w:val="00352F24"/>
    <w:rsid w:val="003578E3"/>
    <w:rsid w:val="0036196F"/>
    <w:rsid w:val="00361AA2"/>
    <w:rsid w:val="00362D8C"/>
    <w:rsid w:val="00364415"/>
    <w:rsid w:val="00364AC0"/>
    <w:rsid w:val="0036525F"/>
    <w:rsid w:val="00372A5E"/>
    <w:rsid w:val="0038102F"/>
    <w:rsid w:val="00381861"/>
    <w:rsid w:val="00382B9F"/>
    <w:rsid w:val="00383663"/>
    <w:rsid w:val="00384967"/>
    <w:rsid w:val="00384AF6"/>
    <w:rsid w:val="00385C1E"/>
    <w:rsid w:val="00386BB1"/>
    <w:rsid w:val="00390EC4"/>
    <w:rsid w:val="00392415"/>
    <w:rsid w:val="00392E6D"/>
    <w:rsid w:val="00393240"/>
    <w:rsid w:val="0039661D"/>
    <w:rsid w:val="003972D6"/>
    <w:rsid w:val="00397B0C"/>
    <w:rsid w:val="003A0AB8"/>
    <w:rsid w:val="003A1BB4"/>
    <w:rsid w:val="003A1DFD"/>
    <w:rsid w:val="003A2D9C"/>
    <w:rsid w:val="003A2FD6"/>
    <w:rsid w:val="003A570A"/>
    <w:rsid w:val="003A5FFC"/>
    <w:rsid w:val="003A7DF9"/>
    <w:rsid w:val="003B265A"/>
    <w:rsid w:val="003B6FBB"/>
    <w:rsid w:val="003C1494"/>
    <w:rsid w:val="003C28C1"/>
    <w:rsid w:val="003C2C2A"/>
    <w:rsid w:val="003C3015"/>
    <w:rsid w:val="003C3018"/>
    <w:rsid w:val="003C4BC9"/>
    <w:rsid w:val="003C6890"/>
    <w:rsid w:val="003C6B75"/>
    <w:rsid w:val="003D2015"/>
    <w:rsid w:val="003D2182"/>
    <w:rsid w:val="003D23DE"/>
    <w:rsid w:val="003D41D9"/>
    <w:rsid w:val="003D4234"/>
    <w:rsid w:val="003D5B21"/>
    <w:rsid w:val="003D6F39"/>
    <w:rsid w:val="003E40F7"/>
    <w:rsid w:val="003E418C"/>
    <w:rsid w:val="003E73DB"/>
    <w:rsid w:val="003F3A4D"/>
    <w:rsid w:val="003F750E"/>
    <w:rsid w:val="0040027C"/>
    <w:rsid w:val="0040111D"/>
    <w:rsid w:val="00401635"/>
    <w:rsid w:val="004039F2"/>
    <w:rsid w:val="004109DA"/>
    <w:rsid w:val="00413A75"/>
    <w:rsid w:val="004142F9"/>
    <w:rsid w:val="0041474F"/>
    <w:rsid w:val="00414D74"/>
    <w:rsid w:val="00414DDF"/>
    <w:rsid w:val="00416BF4"/>
    <w:rsid w:val="00416DBE"/>
    <w:rsid w:val="00417A79"/>
    <w:rsid w:val="004203FD"/>
    <w:rsid w:val="00420EA6"/>
    <w:rsid w:val="004218B2"/>
    <w:rsid w:val="0042278B"/>
    <w:rsid w:val="00423565"/>
    <w:rsid w:val="004237FC"/>
    <w:rsid w:val="00424056"/>
    <w:rsid w:val="00427216"/>
    <w:rsid w:val="004303ED"/>
    <w:rsid w:val="00433B72"/>
    <w:rsid w:val="0043720F"/>
    <w:rsid w:val="00442DCA"/>
    <w:rsid w:val="00450663"/>
    <w:rsid w:val="004630D8"/>
    <w:rsid w:val="00465911"/>
    <w:rsid w:val="00465BAD"/>
    <w:rsid w:val="00466072"/>
    <w:rsid w:val="00470E16"/>
    <w:rsid w:val="00470F87"/>
    <w:rsid w:val="00471326"/>
    <w:rsid w:val="00471D17"/>
    <w:rsid w:val="004721E2"/>
    <w:rsid w:val="00472484"/>
    <w:rsid w:val="00472624"/>
    <w:rsid w:val="00473F67"/>
    <w:rsid w:val="00474AF8"/>
    <w:rsid w:val="00475B91"/>
    <w:rsid w:val="00476877"/>
    <w:rsid w:val="00477BD1"/>
    <w:rsid w:val="00482353"/>
    <w:rsid w:val="00483360"/>
    <w:rsid w:val="00485D16"/>
    <w:rsid w:val="004872DF"/>
    <w:rsid w:val="00487EAC"/>
    <w:rsid w:val="00492354"/>
    <w:rsid w:val="00496159"/>
    <w:rsid w:val="004A088D"/>
    <w:rsid w:val="004A0FE8"/>
    <w:rsid w:val="004A306E"/>
    <w:rsid w:val="004A5134"/>
    <w:rsid w:val="004A59D3"/>
    <w:rsid w:val="004A7773"/>
    <w:rsid w:val="004A7798"/>
    <w:rsid w:val="004B0C53"/>
    <w:rsid w:val="004B14DF"/>
    <w:rsid w:val="004B4F64"/>
    <w:rsid w:val="004B5630"/>
    <w:rsid w:val="004B5E80"/>
    <w:rsid w:val="004B67BD"/>
    <w:rsid w:val="004B7DBA"/>
    <w:rsid w:val="004C204B"/>
    <w:rsid w:val="004C25CF"/>
    <w:rsid w:val="004C693E"/>
    <w:rsid w:val="004C7462"/>
    <w:rsid w:val="004D265A"/>
    <w:rsid w:val="004D4366"/>
    <w:rsid w:val="004D4D1F"/>
    <w:rsid w:val="004D5D32"/>
    <w:rsid w:val="004D6166"/>
    <w:rsid w:val="004D7060"/>
    <w:rsid w:val="004D7BC5"/>
    <w:rsid w:val="004E23B8"/>
    <w:rsid w:val="004E57A0"/>
    <w:rsid w:val="004E6BC9"/>
    <w:rsid w:val="004F19BB"/>
    <w:rsid w:val="004F1A2E"/>
    <w:rsid w:val="004F1FF4"/>
    <w:rsid w:val="004F5352"/>
    <w:rsid w:val="0050284F"/>
    <w:rsid w:val="00503912"/>
    <w:rsid w:val="005077CD"/>
    <w:rsid w:val="00511AA5"/>
    <w:rsid w:val="00512082"/>
    <w:rsid w:val="00512356"/>
    <w:rsid w:val="0051387D"/>
    <w:rsid w:val="00513D2C"/>
    <w:rsid w:val="00514234"/>
    <w:rsid w:val="00515349"/>
    <w:rsid w:val="0051737A"/>
    <w:rsid w:val="0052004A"/>
    <w:rsid w:val="005215DC"/>
    <w:rsid w:val="0052191C"/>
    <w:rsid w:val="00521E6F"/>
    <w:rsid w:val="00521FE7"/>
    <w:rsid w:val="00525F74"/>
    <w:rsid w:val="00525FA4"/>
    <w:rsid w:val="005269DB"/>
    <w:rsid w:val="00527B90"/>
    <w:rsid w:val="00531C4F"/>
    <w:rsid w:val="005322DE"/>
    <w:rsid w:val="0053259C"/>
    <w:rsid w:val="00534497"/>
    <w:rsid w:val="00534DE6"/>
    <w:rsid w:val="0054247F"/>
    <w:rsid w:val="00543991"/>
    <w:rsid w:val="00544AF3"/>
    <w:rsid w:val="0054506E"/>
    <w:rsid w:val="00545192"/>
    <w:rsid w:val="005458BC"/>
    <w:rsid w:val="00552C76"/>
    <w:rsid w:val="00555270"/>
    <w:rsid w:val="00557563"/>
    <w:rsid w:val="005605B8"/>
    <w:rsid w:val="005615AC"/>
    <w:rsid w:val="005624A0"/>
    <w:rsid w:val="005640DA"/>
    <w:rsid w:val="00565062"/>
    <w:rsid w:val="00566C0B"/>
    <w:rsid w:val="005678D5"/>
    <w:rsid w:val="00571541"/>
    <w:rsid w:val="00572059"/>
    <w:rsid w:val="0057226A"/>
    <w:rsid w:val="00572590"/>
    <w:rsid w:val="005749E7"/>
    <w:rsid w:val="00576629"/>
    <w:rsid w:val="005807EC"/>
    <w:rsid w:val="00581577"/>
    <w:rsid w:val="005823A3"/>
    <w:rsid w:val="0058527A"/>
    <w:rsid w:val="0058570E"/>
    <w:rsid w:val="00585AB9"/>
    <w:rsid w:val="00586D5F"/>
    <w:rsid w:val="00587D7A"/>
    <w:rsid w:val="005909A9"/>
    <w:rsid w:val="00591C2B"/>
    <w:rsid w:val="00591E3D"/>
    <w:rsid w:val="00592712"/>
    <w:rsid w:val="00592B41"/>
    <w:rsid w:val="005945C8"/>
    <w:rsid w:val="00596488"/>
    <w:rsid w:val="00597C90"/>
    <w:rsid w:val="00597EFD"/>
    <w:rsid w:val="005A294D"/>
    <w:rsid w:val="005A2C3F"/>
    <w:rsid w:val="005B074B"/>
    <w:rsid w:val="005B2CAE"/>
    <w:rsid w:val="005B4E62"/>
    <w:rsid w:val="005B5D1C"/>
    <w:rsid w:val="005B7766"/>
    <w:rsid w:val="005B7B9B"/>
    <w:rsid w:val="005B7C17"/>
    <w:rsid w:val="005C0494"/>
    <w:rsid w:val="005C0723"/>
    <w:rsid w:val="005C345B"/>
    <w:rsid w:val="005C3FA9"/>
    <w:rsid w:val="005C50A3"/>
    <w:rsid w:val="005C6204"/>
    <w:rsid w:val="005D0A8A"/>
    <w:rsid w:val="005D12CA"/>
    <w:rsid w:val="005D207C"/>
    <w:rsid w:val="005D4681"/>
    <w:rsid w:val="005D5E92"/>
    <w:rsid w:val="005D6A45"/>
    <w:rsid w:val="005E13F4"/>
    <w:rsid w:val="005E1935"/>
    <w:rsid w:val="005E260B"/>
    <w:rsid w:val="005E4634"/>
    <w:rsid w:val="005E4887"/>
    <w:rsid w:val="005E7447"/>
    <w:rsid w:val="005E780B"/>
    <w:rsid w:val="005F138D"/>
    <w:rsid w:val="005F7B83"/>
    <w:rsid w:val="00600964"/>
    <w:rsid w:val="006029D5"/>
    <w:rsid w:val="00603600"/>
    <w:rsid w:val="00604AF9"/>
    <w:rsid w:val="0060528A"/>
    <w:rsid w:val="00605D20"/>
    <w:rsid w:val="00607F04"/>
    <w:rsid w:val="00610F5E"/>
    <w:rsid w:val="00612C75"/>
    <w:rsid w:val="00613A5E"/>
    <w:rsid w:val="006141FA"/>
    <w:rsid w:val="006152C5"/>
    <w:rsid w:val="0061695B"/>
    <w:rsid w:val="00620346"/>
    <w:rsid w:val="00625E0D"/>
    <w:rsid w:val="006307B3"/>
    <w:rsid w:val="00632472"/>
    <w:rsid w:val="00632D19"/>
    <w:rsid w:val="006337CD"/>
    <w:rsid w:val="006369FC"/>
    <w:rsid w:val="0063750D"/>
    <w:rsid w:val="00640A65"/>
    <w:rsid w:val="00642321"/>
    <w:rsid w:val="00642A9B"/>
    <w:rsid w:val="00642AA5"/>
    <w:rsid w:val="00644584"/>
    <w:rsid w:val="00646119"/>
    <w:rsid w:val="00647FE6"/>
    <w:rsid w:val="006516EE"/>
    <w:rsid w:val="006535CF"/>
    <w:rsid w:val="006541B9"/>
    <w:rsid w:val="00655D33"/>
    <w:rsid w:val="00657BA4"/>
    <w:rsid w:val="0066030F"/>
    <w:rsid w:val="00660B0D"/>
    <w:rsid w:val="006647FC"/>
    <w:rsid w:val="00666B9C"/>
    <w:rsid w:val="00666BF7"/>
    <w:rsid w:val="00667618"/>
    <w:rsid w:val="00670176"/>
    <w:rsid w:val="00671210"/>
    <w:rsid w:val="00671A3A"/>
    <w:rsid w:val="00672C90"/>
    <w:rsid w:val="00672FB3"/>
    <w:rsid w:val="0067415A"/>
    <w:rsid w:val="006744ED"/>
    <w:rsid w:val="006778F3"/>
    <w:rsid w:val="006804E1"/>
    <w:rsid w:val="00680F6A"/>
    <w:rsid w:val="0068379F"/>
    <w:rsid w:val="00683E26"/>
    <w:rsid w:val="0068400C"/>
    <w:rsid w:val="006852F8"/>
    <w:rsid w:val="0068539B"/>
    <w:rsid w:val="006948C4"/>
    <w:rsid w:val="006A1AF0"/>
    <w:rsid w:val="006A1EBE"/>
    <w:rsid w:val="006A4A91"/>
    <w:rsid w:val="006B3B46"/>
    <w:rsid w:val="006B4558"/>
    <w:rsid w:val="006B6061"/>
    <w:rsid w:val="006C11BB"/>
    <w:rsid w:val="006C2533"/>
    <w:rsid w:val="006C26CE"/>
    <w:rsid w:val="006C3123"/>
    <w:rsid w:val="006C3B72"/>
    <w:rsid w:val="006C409B"/>
    <w:rsid w:val="006C48E5"/>
    <w:rsid w:val="006C495A"/>
    <w:rsid w:val="006D3DEE"/>
    <w:rsid w:val="006D4C12"/>
    <w:rsid w:val="006D55A6"/>
    <w:rsid w:val="006D5E9E"/>
    <w:rsid w:val="006D6217"/>
    <w:rsid w:val="006D6354"/>
    <w:rsid w:val="006D7563"/>
    <w:rsid w:val="006E3A3D"/>
    <w:rsid w:val="006E42F0"/>
    <w:rsid w:val="006E4DE8"/>
    <w:rsid w:val="006E6104"/>
    <w:rsid w:val="006E6B47"/>
    <w:rsid w:val="006E6E8A"/>
    <w:rsid w:val="006F23FE"/>
    <w:rsid w:val="006F384C"/>
    <w:rsid w:val="006F3F4D"/>
    <w:rsid w:val="006F512F"/>
    <w:rsid w:val="006F55CA"/>
    <w:rsid w:val="006F729C"/>
    <w:rsid w:val="0070013C"/>
    <w:rsid w:val="00700851"/>
    <w:rsid w:val="00707220"/>
    <w:rsid w:val="00707DF4"/>
    <w:rsid w:val="0071069C"/>
    <w:rsid w:val="00713FD7"/>
    <w:rsid w:val="0071716D"/>
    <w:rsid w:val="00717E42"/>
    <w:rsid w:val="007206D1"/>
    <w:rsid w:val="00720FC1"/>
    <w:rsid w:val="00721A55"/>
    <w:rsid w:val="00722CCD"/>
    <w:rsid w:val="0072567C"/>
    <w:rsid w:val="0072573F"/>
    <w:rsid w:val="00731440"/>
    <w:rsid w:val="00732142"/>
    <w:rsid w:val="00732A5E"/>
    <w:rsid w:val="00732B14"/>
    <w:rsid w:val="007337EB"/>
    <w:rsid w:val="00733ED7"/>
    <w:rsid w:val="007344AC"/>
    <w:rsid w:val="00734802"/>
    <w:rsid w:val="0073769E"/>
    <w:rsid w:val="00737862"/>
    <w:rsid w:val="007410C1"/>
    <w:rsid w:val="007422EF"/>
    <w:rsid w:val="00742AD0"/>
    <w:rsid w:val="00744111"/>
    <w:rsid w:val="007452A0"/>
    <w:rsid w:val="007456FB"/>
    <w:rsid w:val="00746994"/>
    <w:rsid w:val="00746C89"/>
    <w:rsid w:val="00746DB3"/>
    <w:rsid w:val="007544A9"/>
    <w:rsid w:val="00754603"/>
    <w:rsid w:val="00755FCD"/>
    <w:rsid w:val="007567EF"/>
    <w:rsid w:val="007575C5"/>
    <w:rsid w:val="00757674"/>
    <w:rsid w:val="0076797E"/>
    <w:rsid w:val="00767A88"/>
    <w:rsid w:val="00770714"/>
    <w:rsid w:val="007734DA"/>
    <w:rsid w:val="00773895"/>
    <w:rsid w:val="00774EFE"/>
    <w:rsid w:val="0077604B"/>
    <w:rsid w:val="00776E7E"/>
    <w:rsid w:val="0077750A"/>
    <w:rsid w:val="00777893"/>
    <w:rsid w:val="00782D41"/>
    <w:rsid w:val="00785B2A"/>
    <w:rsid w:val="00786CCA"/>
    <w:rsid w:val="00792199"/>
    <w:rsid w:val="007928EC"/>
    <w:rsid w:val="0079298C"/>
    <w:rsid w:val="00792C89"/>
    <w:rsid w:val="00794139"/>
    <w:rsid w:val="00797A8C"/>
    <w:rsid w:val="007A088D"/>
    <w:rsid w:val="007A3412"/>
    <w:rsid w:val="007A7B25"/>
    <w:rsid w:val="007B0226"/>
    <w:rsid w:val="007B0A18"/>
    <w:rsid w:val="007B0B99"/>
    <w:rsid w:val="007B13BF"/>
    <w:rsid w:val="007B6FC3"/>
    <w:rsid w:val="007B7406"/>
    <w:rsid w:val="007B7C75"/>
    <w:rsid w:val="007C02EE"/>
    <w:rsid w:val="007C0E94"/>
    <w:rsid w:val="007C12AC"/>
    <w:rsid w:val="007C250C"/>
    <w:rsid w:val="007C2C0B"/>
    <w:rsid w:val="007D1F50"/>
    <w:rsid w:val="007D3057"/>
    <w:rsid w:val="007D5BD7"/>
    <w:rsid w:val="007D79EA"/>
    <w:rsid w:val="007E0464"/>
    <w:rsid w:val="007E37AA"/>
    <w:rsid w:val="007E79E8"/>
    <w:rsid w:val="007F132E"/>
    <w:rsid w:val="007F1772"/>
    <w:rsid w:val="007F2798"/>
    <w:rsid w:val="007F3823"/>
    <w:rsid w:val="007F465B"/>
    <w:rsid w:val="007F49B8"/>
    <w:rsid w:val="007F4CE5"/>
    <w:rsid w:val="007F571B"/>
    <w:rsid w:val="007F67E7"/>
    <w:rsid w:val="008002AA"/>
    <w:rsid w:val="00805963"/>
    <w:rsid w:val="00806B89"/>
    <w:rsid w:val="00806CD6"/>
    <w:rsid w:val="00807B7A"/>
    <w:rsid w:val="00812E65"/>
    <w:rsid w:val="008160F1"/>
    <w:rsid w:val="00820152"/>
    <w:rsid w:val="008203B1"/>
    <w:rsid w:val="00820AA8"/>
    <w:rsid w:val="00821541"/>
    <w:rsid w:val="00821CB5"/>
    <w:rsid w:val="008233DA"/>
    <w:rsid w:val="00823C3F"/>
    <w:rsid w:val="00827727"/>
    <w:rsid w:val="00832418"/>
    <w:rsid w:val="00835F06"/>
    <w:rsid w:val="00836836"/>
    <w:rsid w:val="008378D6"/>
    <w:rsid w:val="00837B03"/>
    <w:rsid w:val="008404E0"/>
    <w:rsid w:val="00840C6A"/>
    <w:rsid w:val="008416C3"/>
    <w:rsid w:val="0084201E"/>
    <w:rsid w:val="0084296E"/>
    <w:rsid w:val="00843B62"/>
    <w:rsid w:val="008446D2"/>
    <w:rsid w:val="0084650B"/>
    <w:rsid w:val="00850F9E"/>
    <w:rsid w:val="008524A6"/>
    <w:rsid w:val="008525A2"/>
    <w:rsid w:val="00852B89"/>
    <w:rsid w:val="008558F7"/>
    <w:rsid w:val="0085659B"/>
    <w:rsid w:val="00860C47"/>
    <w:rsid w:val="0086283C"/>
    <w:rsid w:val="00862EFF"/>
    <w:rsid w:val="008667BA"/>
    <w:rsid w:val="0086723C"/>
    <w:rsid w:val="008703B5"/>
    <w:rsid w:val="0087143A"/>
    <w:rsid w:val="00874259"/>
    <w:rsid w:val="00874A24"/>
    <w:rsid w:val="00875937"/>
    <w:rsid w:val="00875B7F"/>
    <w:rsid w:val="00876707"/>
    <w:rsid w:val="00876729"/>
    <w:rsid w:val="00877111"/>
    <w:rsid w:val="00877399"/>
    <w:rsid w:val="00877577"/>
    <w:rsid w:val="0088220D"/>
    <w:rsid w:val="008836C6"/>
    <w:rsid w:val="00887568"/>
    <w:rsid w:val="00891501"/>
    <w:rsid w:val="00891E8D"/>
    <w:rsid w:val="00892976"/>
    <w:rsid w:val="00893E01"/>
    <w:rsid w:val="008958B2"/>
    <w:rsid w:val="00897D84"/>
    <w:rsid w:val="008A1F85"/>
    <w:rsid w:val="008A2F81"/>
    <w:rsid w:val="008A3A16"/>
    <w:rsid w:val="008A3CBB"/>
    <w:rsid w:val="008A47CE"/>
    <w:rsid w:val="008A594F"/>
    <w:rsid w:val="008A6251"/>
    <w:rsid w:val="008B0BE5"/>
    <w:rsid w:val="008B0CBB"/>
    <w:rsid w:val="008B4930"/>
    <w:rsid w:val="008B6C1B"/>
    <w:rsid w:val="008B72E2"/>
    <w:rsid w:val="008B79B0"/>
    <w:rsid w:val="008C2282"/>
    <w:rsid w:val="008C42A5"/>
    <w:rsid w:val="008C777F"/>
    <w:rsid w:val="008C7CF8"/>
    <w:rsid w:val="008D2C70"/>
    <w:rsid w:val="008D3206"/>
    <w:rsid w:val="008E13D9"/>
    <w:rsid w:val="008E2FC3"/>
    <w:rsid w:val="008E3983"/>
    <w:rsid w:val="008E5FC0"/>
    <w:rsid w:val="008E6F5E"/>
    <w:rsid w:val="008E7AA6"/>
    <w:rsid w:val="008E7B4E"/>
    <w:rsid w:val="008F05CE"/>
    <w:rsid w:val="008F57AA"/>
    <w:rsid w:val="008F5F89"/>
    <w:rsid w:val="00901525"/>
    <w:rsid w:val="0090217D"/>
    <w:rsid w:val="00902F3C"/>
    <w:rsid w:val="00903A34"/>
    <w:rsid w:val="00904808"/>
    <w:rsid w:val="0090572E"/>
    <w:rsid w:val="00910E22"/>
    <w:rsid w:val="00911EC8"/>
    <w:rsid w:val="00914010"/>
    <w:rsid w:val="009143A2"/>
    <w:rsid w:val="009143CF"/>
    <w:rsid w:val="00915184"/>
    <w:rsid w:val="009152D1"/>
    <w:rsid w:val="0091590E"/>
    <w:rsid w:val="009176F5"/>
    <w:rsid w:val="0092033D"/>
    <w:rsid w:val="009216AD"/>
    <w:rsid w:val="0092215D"/>
    <w:rsid w:val="00922B44"/>
    <w:rsid w:val="00922F19"/>
    <w:rsid w:val="00923932"/>
    <w:rsid w:val="009264EF"/>
    <w:rsid w:val="0092659D"/>
    <w:rsid w:val="00926806"/>
    <w:rsid w:val="0092688B"/>
    <w:rsid w:val="00926C20"/>
    <w:rsid w:val="00927B25"/>
    <w:rsid w:val="0093000C"/>
    <w:rsid w:val="009303A6"/>
    <w:rsid w:val="00930625"/>
    <w:rsid w:val="00930745"/>
    <w:rsid w:val="00930DF8"/>
    <w:rsid w:val="0093544A"/>
    <w:rsid w:val="00941551"/>
    <w:rsid w:val="0094169D"/>
    <w:rsid w:val="00942B5F"/>
    <w:rsid w:val="00942C57"/>
    <w:rsid w:val="00942E52"/>
    <w:rsid w:val="00942F8D"/>
    <w:rsid w:val="00943269"/>
    <w:rsid w:val="00945E43"/>
    <w:rsid w:val="009471BD"/>
    <w:rsid w:val="00951ECF"/>
    <w:rsid w:val="00952DB1"/>
    <w:rsid w:val="009541AA"/>
    <w:rsid w:val="00954BA9"/>
    <w:rsid w:val="0096004C"/>
    <w:rsid w:val="00962E5A"/>
    <w:rsid w:val="00965862"/>
    <w:rsid w:val="00967BD4"/>
    <w:rsid w:val="00972145"/>
    <w:rsid w:val="00975288"/>
    <w:rsid w:val="0097699E"/>
    <w:rsid w:val="00976DA3"/>
    <w:rsid w:val="009773F4"/>
    <w:rsid w:val="00977E40"/>
    <w:rsid w:val="00980750"/>
    <w:rsid w:val="00981F95"/>
    <w:rsid w:val="00982E9E"/>
    <w:rsid w:val="0098353D"/>
    <w:rsid w:val="009861DD"/>
    <w:rsid w:val="00986D54"/>
    <w:rsid w:val="00990896"/>
    <w:rsid w:val="00992B22"/>
    <w:rsid w:val="00992D7A"/>
    <w:rsid w:val="00994445"/>
    <w:rsid w:val="009972BC"/>
    <w:rsid w:val="009A04E9"/>
    <w:rsid w:val="009A09B5"/>
    <w:rsid w:val="009A0D7A"/>
    <w:rsid w:val="009A1C41"/>
    <w:rsid w:val="009A4199"/>
    <w:rsid w:val="009A42A6"/>
    <w:rsid w:val="009A539C"/>
    <w:rsid w:val="009B4A5B"/>
    <w:rsid w:val="009B7C62"/>
    <w:rsid w:val="009C33F0"/>
    <w:rsid w:val="009C44F5"/>
    <w:rsid w:val="009C45B1"/>
    <w:rsid w:val="009C5504"/>
    <w:rsid w:val="009D0CD2"/>
    <w:rsid w:val="009D25DE"/>
    <w:rsid w:val="009D6D73"/>
    <w:rsid w:val="009D7D16"/>
    <w:rsid w:val="009E067A"/>
    <w:rsid w:val="009E0D6E"/>
    <w:rsid w:val="009E480F"/>
    <w:rsid w:val="009E579D"/>
    <w:rsid w:val="009F21F7"/>
    <w:rsid w:val="009F21F9"/>
    <w:rsid w:val="009F3640"/>
    <w:rsid w:val="009F54F0"/>
    <w:rsid w:val="009F67BF"/>
    <w:rsid w:val="00A02B5F"/>
    <w:rsid w:val="00A03F69"/>
    <w:rsid w:val="00A10D63"/>
    <w:rsid w:val="00A11436"/>
    <w:rsid w:val="00A1214C"/>
    <w:rsid w:val="00A128D3"/>
    <w:rsid w:val="00A12D95"/>
    <w:rsid w:val="00A14CFC"/>
    <w:rsid w:val="00A154EA"/>
    <w:rsid w:val="00A15F67"/>
    <w:rsid w:val="00A205A5"/>
    <w:rsid w:val="00A20A0B"/>
    <w:rsid w:val="00A20B9C"/>
    <w:rsid w:val="00A233C0"/>
    <w:rsid w:val="00A24773"/>
    <w:rsid w:val="00A24BEC"/>
    <w:rsid w:val="00A30225"/>
    <w:rsid w:val="00A30411"/>
    <w:rsid w:val="00A31646"/>
    <w:rsid w:val="00A33910"/>
    <w:rsid w:val="00A351F4"/>
    <w:rsid w:val="00A36F1D"/>
    <w:rsid w:val="00A4186E"/>
    <w:rsid w:val="00A45DB8"/>
    <w:rsid w:val="00A46E5D"/>
    <w:rsid w:val="00A47208"/>
    <w:rsid w:val="00A4795E"/>
    <w:rsid w:val="00A504B1"/>
    <w:rsid w:val="00A50E09"/>
    <w:rsid w:val="00A518D2"/>
    <w:rsid w:val="00A53637"/>
    <w:rsid w:val="00A54279"/>
    <w:rsid w:val="00A5620D"/>
    <w:rsid w:val="00A56D21"/>
    <w:rsid w:val="00A577CF"/>
    <w:rsid w:val="00A64A6A"/>
    <w:rsid w:val="00A64B85"/>
    <w:rsid w:val="00A65824"/>
    <w:rsid w:val="00A6705F"/>
    <w:rsid w:val="00A672F4"/>
    <w:rsid w:val="00A70D08"/>
    <w:rsid w:val="00A725E6"/>
    <w:rsid w:val="00A738F5"/>
    <w:rsid w:val="00A7553E"/>
    <w:rsid w:val="00A767D6"/>
    <w:rsid w:val="00A8021E"/>
    <w:rsid w:val="00A804CF"/>
    <w:rsid w:val="00A80B96"/>
    <w:rsid w:val="00A82217"/>
    <w:rsid w:val="00A84C54"/>
    <w:rsid w:val="00A875E5"/>
    <w:rsid w:val="00A90AA1"/>
    <w:rsid w:val="00A9370D"/>
    <w:rsid w:val="00A94DA0"/>
    <w:rsid w:val="00A95132"/>
    <w:rsid w:val="00A95C56"/>
    <w:rsid w:val="00A96B0B"/>
    <w:rsid w:val="00A96E6D"/>
    <w:rsid w:val="00A976AA"/>
    <w:rsid w:val="00AA2841"/>
    <w:rsid w:val="00AA3FA1"/>
    <w:rsid w:val="00AA5AC0"/>
    <w:rsid w:val="00AA680D"/>
    <w:rsid w:val="00AA7872"/>
    <w:rsid w:val="00AB0BBE"/>
    <w:rsid w:val="00AB0D0A"/>
    <w:rsid w:val="00AB149A"/>
    <w:rsid w:val="00AB14D4"/>
    <w:rsid w:val="00AC09FC"/>
    <w:rsid w:val="00AC25EB"/>
    <w:rsid w:val="00AC3089"/>
    <w:rsid w:val="00AC3573"/>
    <w:rsid w:val="00AC77D7"/>
    <w:rsid w:val="00AD3050"/>
    <w:rsid w:val="00AD556C"/>
    <w:rsid w:val="00AE24DC"/>
    <w:rsid w:val="00AE3EF2"/>
    <w:rsid w:val="00AE3FD2"/>
    <w:rsid w:val="00AE468C"/>
    <w:rsid w:val="00AF188D"/>
    <w:rsid w:val="00AF21FB"/>
    <w:rsid w:val="00AF427E"/>
    <w:rsid w:val="00AF488A"/>
    <w:rsid w:val="00AF6D07"/>
    <w:rsid w:val="00B00168"/>
    <w:rsid w:val="00B0109D"/>
    <w:rsid w:val="00B014C5"/>
    <w:rsid w:val="00B050B7"/>
    <w:rsid w:val="00B11365"/>
    <w:rsid w:val="00B1160F"/>
    <w:rsid w:val="00B12BD7"/>
    <w:rsid w:val="00B12DAA"/>
    <w:rsid w:val="00B1340F"/>
    <w:rsid w:val="00B20462"/>
    <w:rsid w:val="00B25E65"/>
    <w:rsid w:val="00B269E9"/>
    <w:rsid w:val="00B26B05"/>
    <w:rsid w:val="00B27C20"/>
    <w:rsid w:val="00B27DF0"/>
    <w:rsid w:val="00B31279"/>
    <w:rsid w:val="00B32CA9"/>
    <w:rsid w:val="00B37867"/>
    <w:rsid w:val="00B37DE7"/>
    <w:rsid w:val="00B409A0"/>
    <w:rsid w:val="00B41016"/>
    <w:rsid w:val="00B4129D"/>
    <w:rsid w:val="00B424E5"/>
    <w:rsid w:val="00B43780"/>
    <w:rsid w:val="00B45708"/>
    <w:rsid w:val="00B46ABB"/>
    <w:rsid w:val="00B55151"/>
    <w:rsid w:val="00B61D56"/>
    <w:rsid w:val="00B629A4"/>
    <w:rsid w:val="00B64555"/>
    <w:rsid w:val="00B64F0F"/>
    <w:rsid w:val="00B66DE9"/>
    <w:rsid w:val="00B67F9C"/>
    <w:rsid w:val="00B70B63"/>
    <w:rsid w:val="00B70FBC"/>
    <w:rsid w:val="00B733A9"/>
    <w:rsid w:val="00B75680"/>
    <w:rsid w:val="00B824C0"/>
    <w:rsid w:val="00B83732"/>
    <w:rsid w:val="00B84EE3"/>
    <w:rsid w:val="00B85DE6"/>
    <w:rsid w:val="00B90788"/>
    <w:rsid w:val="00B90B12"/>
    <w:rsid w:val="00B91953"/>
    <w:rsid w:val="00B92575"/>
    <w:rsid w:val="00B92698"/>
    <w:rsid w:val="00B93491"/>
    <w:rsid w:val="00B9357C"/>
    <w:rsid w:val="00B97D74"/>
    <w:rsid w:val="00B97F2B"/>
    <w:rsid w:val="00BA0E81"/>
    <w:rsid w:val="00BA4157"/>
    <w:rsid w:val="00BA5A41"/>
    <w:rsid w:val="00BB015D"/>
    <w:rsid w:val="00BB3AC3"/>
    <w:rsid w:val="00BB3D53"/>
    <w:rsid w:val="00BB594D"/>
    <w:rsid w:val="00BB6046"/>
    <w:rsid w:val="00BB6B8B"/>
    <w:rsid w:val="00BC188D"/>
    <w:rsid w:val="00BC2F35"/>
    <w:rsid w:val="00BD0E05"/>
    <w:rsid w:val="00BD2287"/>
    <w:rsid w:val="00BD2803"/>
    <w:rsid w:val="00BD2BF0"/>
    <w:rsid w:val="00BD3569"/>
    <w:rsid w:val="00BD46F6"/>
    <w:rsid w:val="00BD6744"/>
    <w:rsid w:val="00BD7AE8"/>
    <w:rsid w:val="00BE0803"/>
    <w:rsid w:val="00BE0C7F"/>
    <w:rsid w:val="00BE327C"/>
    <w:rsid w:val="00BE3874"/>
    <w:rsid w:val="00BE45EF"/>
    <w:rsid w:val="00BE4EA5"/>
    <w:rsid w:val="00BE6040"/>
    <w:rsid w:val="00BE75F3"/>
    <w:rsid w:val="00BE7797"/>
    <w:rsid w:val="00BF18F8"/>
    <w:rsid w:val="00BF1914"/>
    <w:rsid w:val="00BF1B5B"/>
    <w:rsid w:val="00BF2595"/>
    <w:rsid w:val="00BF2977"/>
    <w:rsid w:val="00BF2BBD"/>
    <w:rsid w:val="00BF371B"/>
    <w:rsid w:val="00BF5180"/>
    <w:rsid w:val="00BF5C17"/>
    <w:rsid w:val="00BF6015"/>
    <w:rsid w:val="00BF6B3A"/>
    <w:rsid w:val="00BF75E8"/>
    <w:rsid w:val="00C0016C"/>
    <w:rsid w:val="00C00DF7"/>
    <w:rsid w:val="00C04755"/>
    <w:rsid w:val="00C111BC"/>
    <w:rsid w:val="00C12DCE"/>
    <w:rsid w:val="00C165C6"/>
    <w:rsid w:val="00C16BEB"/>
    <w:rsid w:val="00C17833"/>
    <w:rsid w:val="00C2293B"/>
    <w:rsid w:val="00C25AB7"/>
    <w:rsid w:val="00C25C72"/>
    <w:rsid w:val="00C27346"/>
    <w:rsid w:val="00C30ACC"/>
    <w:rsid w:val="00C30CAB"/>
    <w:rsid w:val="00C321B2"/>
    <w:rsid w:val="00C34707"/>
    <w:rsid w:val="00C34F13"/>
    <w:rsid w:val="00C368EB"/>
    <w:rsid w:val="00C41CF8"/>
    <w:rsid w:val="00C41DEF"/>
    <w:rsid w:val="00C4272A"/>
    <w:rsid w:val="00C42E04"/>
    <w:rsid w:val="00C437A5"/>
    <w:rsid w:val="00C44F83"/>
    <w:rsid w:val="00C45658"/>
    <w:rsid w:val="00C458F5"/>
    <w:rsid w:val="00C4600E"/>
    <w:rsid w:val="00C508DC"/>
    <w:rsid w:val="00C51132"/>
    <w:rsid w:val="00C52E27"/>
    <w:rsid w:val="00C55B95"/>
    <w:rsid w:val="00C577FA"/>
    <w:rsid w:val="00C578BB"/>
    <w:rsid w:val="00C578C5"/>
    <w:rsid w:val="00C57EC9"/>
    <w:rsid w:val="00C57F4C"/>
    <w:rsid w:val="00C61947"/>
    <w:rsid w:val="00C62DE4"/>
    <w:rsid w:val="00C63BFD"/>
    <w:rsid w:val="00C6437E"/>
    <w:rsid w:val="00C6539B"/>
    <w:rsid w:val="00C657D2"/>
    <w:rsid w:val="00C70C23"/>
    <w:rsid w:val="00C70D19"/>
    <w:rsid w:val="00C71B41"/>
    <w:rsid w:val="00C71C36"/>
    <w:rsid w:val="00C72D90"/>
    <w:rsid w:val="00C75097"/>
    <w:rsid w:val="00C75ACF"/>
    <w:rsid w:val="00C7710E"/>
    <w:rsid w:val="00C81DF7"/>
    <w:rsid w:val="00C84638"/>
    <w:rsid w:val="00C853C1"/>
    <w:rsid w:val="00C86C0C"/>
    <w:rsid w:val="00C86F58"/>
    <w:rsid w:val="00C8721F"/>
    <w:rsid w:val="00C94F1D"/>
    <w:rsid w:val="00C95644"/>
    <w:rsid w:val="00C96473"/>
    <w:rsid w:val="00CA4A02"/>
    <w:rsid w:val="00CA6DE6"/>
    <w:rsid w:val="00CB18ED"/>
    <w:rsid w:val="00CB4C9E"/>
    <w:rsid w:val="00CB7E6D"/>
    <w:rsid w:val="00CC0029"/>
    <w:rsid w:val="00CC0881"/>
    <w:rsid w:val="00CC41E5"/>
    <w:rsid w:val="00CD0491"/>
    <w:rsid w:val="00CD188D"/>
    <w:rsid w:val="00CD6D1D"/>
    <w:rsid w:val="00CD728F"/>
    <w:rsid w:val="00CE08BA"/>
    <w:rsid w:val="00CE2E45"/>
    <w:rsid w:val="00CE55BC"/>
    <w:rsid w:val="00CF09F4"/>
    <w:rsid w:val="00CF566A"/>
    <w:rsid w:val="00D01CF6"/>
    <w:rsid w:val="00D023A8"/>
    <w:rsid w:val="00D05F27"/>
    <w:rsid w:val="00D07DA0"/>
    <w:rsid w:val="00D12B1D"/>
    <w:rsid w:val="00D12D10"/>
    <w:rsid w:val="00D13C4A"/>
    <w:rsid w:val="00D14105"/>
    <w:rsid w:val="00D16E62"/>
    <w:rsid w:val="00D17B6A"/>
    <w:rsid w:val="00D224B3"/>
    <w:rsid w:val="00D22C34"/>
    <w:rsid w:val="00D232D5"/>
    <w:rsid w:val="00D2572A"/>
    <w:rsid w:val="00D2576F"/>
    <w:rsid w:val="00D25FCE"/>
    <w:rsid w:val="00D268DB"/>
    <w:rsid w:val="00D277B9"/>
    <w:rsid w:val="00D27ECF"/>
    <w:rsid w:val="00D318BD"/>
    <w:rsid w:val="00D3233F"/>
    <w:rsid w:val="00D324E7"/>
    <w:rsid w:val="00D34434"/>
    <w:rsid w:val="00D351A9"/>
    <w:rsid w:val="00D368C2"/>
    <w:rsid w:val="00D36CA7"/>
    <w:rsid w:val="00D41785"/>
    <w:rsid w:val="00D44883"/>
    <w:rsid w:val="00D44E6B"/>
    <w:rsid w:val="00D456D5"/>
    <w:rsid w:val="00D45A4C"/>
    <w:rsid w:val="00D51144"/>
    <w:rsid w:val="00D527EB"/>
    <w:rsid w:val="00D52EE2"/>
    <w:rsid w:val="00D54A27"/>
    <w:rsid w:val="00D56477"/>
    <w:rsid w:val="00D576B1"/>
    <w:rsid w:val="00D6241E"/>
    <w:rsid w:val="00D6379C"/>
    <w:rsid w:val="00D63FB3"/>
    <w:rsid w:val="00D706A2"/>
    <w:rsid w:val="00D7134B"/>
    <w:rsid w:val="00D71968"/>
    <w:rsid w:val="00D733CF"/>
    <w:rsid w:val="00D73B08"/>
    <w:rsid w:val="00D7435F"/>
    <w:rsid w:val="00D7522C"/>
    <w:rsid w:val="00D770FC"/>
    <w:rsid w:val="00D773B0"/>
    <w:rsid w:val="00D77DD9"/>
    <w:rsid w:val="00D821DE"/>
    <w:rsid w:val="00D836F9"/>
    <w:rsid w:val="00D85F0F"/>
    <w:rsid w:val="00D876C9"/>
    <w:rsid w:val="00D87C3D"/>
    <w:rsid w:val="00D87EF5"/>
    <w:rsid w:val="00D92025"/>
    <w:rsid w:val="00D93745"/>
    <w:rsid w:val="00D93EEE"/>
    <w:rsid w:val="00D93F24"/>
    <w:rsid w:val="00D95413"/>
    <w:rsid w:val="00D966C6"/>
    <w:rsid w:val="00D96D10"/>
    <w:rsid w:val="00D97C39"/>
    <w:rsid w:val="00DA0418"/>
    <w:rsid w:val="00DA143D"/>
    <w:rsid w:val="00DA43A1"/>
    <w:rsid w:val="00DA69DC"/>
    <w:rsid w:val="00DA6DB1"/>
    <w:rsid w:val="00DB0D47"/>
    <w:rsid w:val="00DB0E60"/>
    <w:rsid w:val="00DB2691"/>
    <w:rsid w:val="00DB2D1A"/>
    <w:rsid w:val="00DB40F9"/>
    <w:rsid w:val="00DB723D"/>
    <w:rsid w:val="00DC2170"/>
    <w:rsid w:val="00DC2891"/>
    <w:rsid w:val="00DC34CF"/>
    <w:rsid w:val="00DC46B6"/>
    <w:rsid w:val="00DC4BDC"/>
    <w:rsid w:val="00DD19AF"/>
    <w:rsid w:val="00DD1D0F"/>
    <w:rsid w:val="00DD4F36"/>
    <w:rsid w:val="00DD6108"/>
    <w:rsid w:val="00DD7742"/>
    <w:rsid w:val="00DE1BA5"/>
    <w:rsid w:val="00DE49AF"/>
    <w:rsid w:val="00DF12FC"/>
    <w:rsid w:val="00DF1A21"/>
    <w:rsid w:val="00DF2857"/>
    <w:rsid w:val="00DF4C2E"/>
    <w:rsid w:val="00DF5147"/>
    <w:rsid w:val="00DF5450"/>
    <w:rsid w:val="00DF5F06"/>
    <w:rsid w:val="00DF6AD8"/>
    <w:rsid w:val="00DF6E16"/>
    <w:rsid w:val="00DF7CD7"/>
    <w:rsid w:val="00E00792"/>
    <w:rsid w:val="00E01FD9"/>
    <w:rsid w:val="00E038D8"/>
    <w:rsid w:val="00E06868"/>
    <w:rsid w:val="00E15B49"/>
    <w:rsid w:val="00E15DC8"/>
    <w:rsid w:val="00E1702B"/>
    <w:rsid w:val="00E17624"/>
    <w:rsid w:val="00E22157"/>
    <w:rsid w:val="00E234B3"/>
    <w:rsid w:val="00E2407E"/>
    <w:rsid w:val="00E25B96"/>
    <w:rsid w:val="00E26865"/>
    <w:rsid w:val="00E30C45"/>
    <w:rsid w:val="00E32269"/>
    <w:rsid w:val="00E33A54"/>
    <w:rsid w:val="00E431D6"/>
    <w:rsid w:val="00E473DB"/>
    <w:rsid w:val="00E51385"/>
    <w:rsid w:val="00E520B2"/>
    <w:rsid w:val="00E53121"/>
    <w:rsid w:val="00E550D4"/>
    <w:rsid w:val="00E55D64"/>
    <w:rsid w:val="00E57449"/>
    <w:rsid w:val="00E60F88"/>
    <w:rsid w:val="00E64C0E"/>
    <w:rsid w:val="00E65779"/>
    <w:rsid w:val="00E67100"/>
    <w:rsid w:val="00E673E7"/>
    <w:rsid w:val="00E7013A"/>
    <w:rsid w:val="00E720D1"/>
    <w:rsid w:val="00E742C1"/>
    <w:rsid w:val="00E767AA"/>
    <w:rsid w:val="00E76F24"/>
    <w:rsid w:val="00E81CFC"/>
    <w:rsid w:val="00E83E43"/>
    <w:rsid w:val="00E85AFA"/>
    <w:rsid w:val="00E86FA0"/>
    <w:rsid w:val="00E918DF"/>
    <w:rsid w:val="00E97079"/>
    <w:rsid w:val="00EA21A0"/>
    <w:rsid w:val="00EA594D"/>
    <w:rsid w:val="00EA6E67"/>
    <w:rsid w:val="00EB05E0"/>
    <w:rsid w:val="00EB0855"/>
    <w:rsid w:val="00EB0CBC"/>
    <w:rsid w:val="00EB1BFB"/>
    <w:rsid w:val="00EB65AA"/>
    <w:rsid w:val="00EB67D7"/>
    <w:rsid w:val="00EB725C"/>
    <w:rsid w:val="00EB75D2"/>
    <w:rsid w:val="00EB75F0"/>
    <w:rsid w:val="00EB7D3B"/>
    <w:rsid w:val="00EB7E74"/>
    <w:rsid w:val="00EC2A63"/>
    <w:rsid w:val="00EC3013"/>
    <w:rsid w:val="00EC54E3"/>
    <w:rsid w:val="00EC775F"/>
    <w:rsid w:val="00EC794F"/>
    <w:rsid w:val="00EC7CBA"/>
    <w:rsid w:val="00EC7F5C"/>
    <w:rsid w:val="00ED0F13"/>
    <w:rsid w:val="00ED48D1"/>
    <w:rsid w:val="00EE03C4"/>
    <w:rsid w:val="00EE0D62"/>
    <w:rsid w:val="00EE0F43"/>
    <w:rsid w:val="00EE1170"/>
    <w:rsid w:val="00EE2816"/>
    <w:rsid w:val="00EE47E7"/>
    <w:rsid w:val="00EE488D"/>
    <w:rsid w:val="00EE4E69"/>
    <w:rsid w:val="00EE57DF"/>
    <w:rsid w:val="00EF2B7F"/>
    <w:rsid w:val="00EF3CC4"/>
    <w:rsid w:val="00EF3D63"/>
    <w:rsid w:val="00EF6372"/>
    <w:rsid w:val="00F0336B"/>
    <w:rsid w:val="00F04C12"/>
    <w:rsid w:val="00F06E78"/>
    <w:rsid w:val="00F0716E"/>
    <w:rsid w:val="00F112E9"/>
    <w:rsid w:val="00F129F0"/>
    <w:rsid w:val="00F13E0D"/>
    <w:rsid w:val="00F14FB1"/>
    <w:rsid w:val="00F21933"/>
    <w:rsid w:val="00F2246D"/>
    <w:rsid w:val="00F22A5C"/>
    <w:rsid w:val="00F23A7A"/>
    <w:rsid w:val="00F24CDB"/>
    <w:rsid w:val="00F27139"/>
    <w:rsid w:val="00F27142"/>
    <w:rsid w:val="00F276CA"/>
    <w:rsid w:val="00F30C29"/>
    <w:rsid w:val="00F30D92"/>
    <w:rsid w:val="00F3321E"/>
    <w:rsid w:val="00F332D9"/>
    <w:rsid w:val="00F33D05"/>
    <w:rsid w:val="00F364BB"/>
    <w:rsid w:val="00F42BB2"/>
    <w:rsid w:val="00F42EFB"/>
    <w:rsid w:val="00F434B9"/>
    <w:rsid w:val="00F43DFC"/>
    <w:rsid w:val="00F467AC"/>
    <w:rsid w:val="00F469B9"/>
    <w:rsid w:val="00F46A5A"/>
    <w:rsid w:val="00F503E2"/>
    <w:rsid w:val="00F515B0"/>
    <w:rsid w:val="00F51DDD"/>
    <w:rsid w:val="00F55A05"/>
    <w:rsid w:val="00F56132"/>
    <w:rsid w:val="00F5616E"/>
    <w:rsid w:val="00F56DC8"/>
    <w:rsid w:val="00F574CE"/>
    <w:rsid w:val="00F6100C"/>
    <w:rsid w:val="00F63837"/>
    <w:rsid w:val="00F64830"/>
    <w:rsid w:val="00F652A5"/>
    <w:rsid w:val="00F65BF9"/>
    <w:rsid w:val="00F70646"/>
    <w:rsid w:val="00F7094F"/>
    <w:rsid w:val="00F71624"/>
    <w:rsid w:val="00F73E97"/>
    <w:rsid w:val="00F747A9"/>
    <w:rsid w:val="00F75117"/>
    <w:rsid w:val="00F75546"/>
    <w:rsid w:val="00F76721"/>
    <w:rsid w:val="00F76A88"/>
    <w:rsid w:val="00F81B21"/>
    <w:rsid w:val="00F8407D"/>
    <w:rsid w:val="00F8519F"/>
    <w:rsid w:val="00F8697C"/>
    <w:rsid w:val="00F870CC"/>
    <w:rsid w:val="00F90D00"/>
    <w:rsid w:val="00F9242A"/>
    <w:rsid w:val="00F94B47"/>
    <w:rsid w:val="00F9507F"/>
    <w:rsid w:val="00F962E9"/>
    <w:rsid w:val="00F97E62"/>
    <w:rsid w:val="00FA0295"/>
    <w:rsid w:val="00FA1BA4"/>
    <w:rsid w:val="00FA24BD"/>
    <w:rsid w:val="00FA29C9"/>
    <w:rsid w:val="00FA2B90"/>
    <w:rsid w:val="00FA2C97"/>
    <w:rsid w:val="00FA41F5"/>
    <w:rsid w:val="00FA6797"/>
    <w:rsid w:val="00FA6827"/>
    <w:rsid w:val="00FA747A"/>
    <w:rsid w:val="00FB0249"/>
    <w:rsid w:val="00FB1D7F"/>
    <w:rsid w:val="00FB1E80"/>
    <w:rsid w:val="00FB2841"/>
    <w:rsid w:val="00FB3AF5"/>
    <w:rsid w:val="00FB41DA"/>
    <w:rsid w:val="00FB4780"/>
    <w:rsid w:val="00FB5FCE"/>
    <w:rsid w:val="00FB7BC4"/>
    <w:rsid w:val="00FC1FA8"/>
    <w:rsid w:val="00FC2269"/>
    <w:rsid w:val="00FC36E5"/>
    <w:rsid w:val="00FC3CD6"/>
    <w:rsid w:val="00FC7FC5"/>
    <w:rsid w:val="00FD217C"/>
    <w:rsid w:val="00FD2ECE"/>
    <w:rsid w:val="00FD4415"/>
    <w:rsid w:val="00FD5131"/>
    <w:rsid w:val="00FD61D5"/>
    <w:rsid w:val="00FE0E8E"/>
    <w:rsid w:val="00FE1B25"/>
    <w:rsid w:val="00FE4478"/>
    <w:rsid w:val="00FE4D53"/>
    <w:rsid w:val="00FE5A5C"/>
    <w:rsid w:val="00FE7C3C"/>
    <w:rsid w:val="00FF04C9"/>
    <w:rsid w:val="00FF0594"/>
    <w:rsid w:val="00FF0A8C"/>
    <w:rsid w:val="00FF3C8F"/>
    <w:rsid w:val="00FF4134"/>
    <w:rsid w:val="00FF6AE7"/>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08E44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qFormat="1"/>
    <w:lsdException w:name="caption" w:uiPriority="35" w:qFormat="1"/>
    <w:lsdException w:name="table of figures" w:qFormat="1"/>
    <w:lsdException w:name="footnote reference" w:uiPriority="0" w:qFormat="1"/>
    <w:lsdException w:name="annotation reference" w:qFormat="1"/>
    <w:lsdException w:name="endnote reference" w:qFormat="1"/>
    <w:lsdException w:name="endnote text" w:qFormat="1"/>
    <w:lsdException w:name="List" w:uiPriority="0"/>
    <w:lsdException w:name="List Bullet 2" w:qFormat="1"/>
    <w:lsdException w:name="Title" w:semiHidden="0" w:uiPriority="10" w:unhideWhenUsed="0" w:qFormat="1"/>
    <w:lsdException w:name="Default Paragraph Font" w:uiPriority="1"/>
    <w:lsdException w:name="Subtitle" w:semiHidden="0" w:uiPriority="11" w:unhideWhenUsed="0" w:qFormat="1"/>
    <w:lsdException w:name="Body Text First Indent 2" w:qFormat="1"/>
    <w:lsdException w:name="FollowedHyperlink"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30D8"/>
  </w:style>
  <w:style w:type="paragraph" w:styleId="Cabealho1">
    <w:name w:val="heading 1"/>
    <w:basedOn w:val="Normal"/>
    <w:next w:val="Normal"/>
    <w:link w:val="Cabealho1Carcter"/>
    <w:uiPriority w:val="9"/>
    <w:qFormat/>
    <w:rsid w:val="00926C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abealho3">
    <w:name w:val="heading 3"/>
    <w:basedOn w:val="Normal"/>
    <w:next w:val="Normal"/>
    <w:link w:val="Cabealho3Carcter1"/>
    <w:uiPriority w:val="9"/>
    <w:semiHidden/>
    <w:unhideWhenUsed/>
    <w:qFormat/>
    <w:rsid w:val="007452A0"/>
    <w:pPr>
      <w:keepNext/>
      <w:keepLines/>
      <w:spacing w:before="200" w:after="0" w:line="240" w:lineRule="auto"/>
      <w:outlineLvl w:val="2"/>
    </w:pPr>
    <w:rPr>
      <w:rFonts w:asciiTheme="majorHAnsi" w:eastAsiaTheme="majorEastAsia" w:hAnsiTheme="majorHAnsi" w:cstheme="majorBidi"/>
      <w:b/>
      <w:bCs/>
      <w:color w:val="4F81BD" w:themeColor="accent1"/>
    </w:rPr>
  </w:style>
  <w:style w:type="paragraph" w:styleId="Cabealho4">
    <w:name w:val="heading 4"/>
    <w:basedOn w:val="Normal"/>
    <w:next w:val="Normal"/>
    <w:link w:val="Cabealho4Carcter"/>
    <w:uiPriority w:val="9"/>
    <w:semiHidden/>
    <w:unhideWhenUsed/>
    <w:qFormat/>
    <w:rsid w:val="00926C20"/>
    <w:pPr>
      <w:keepNext/>
      <w:keepLines/>
      <w:spacing w:before="200" w:after="0"/>
      <w:outlineLvl w:val="3"/>
    </w:pPr>
    <w:rPr>
      <w:rFonts w:asciiTheme="majorHAnsi" w:eastAsiaTheme="majorEastAsia" w:hAnsiTheme="majorHAnsi" w:cstheme="majorBidi"/>
      <w:b/>
      <w:bCs/>
      <w:i/>
      <w:iCs/>
      <w:color w:val="4F81BD" w:themeColor="accent1"/>
    </w:rPr>
  </w:style>
  <w:style w:type="paragraph" w:styleId="Cabealho5">
    <w:name w:val="heading 5"/>
    <w:basedOn w:val="Normal"/>
    <w:next w:val="Normal"/>
    <w:link w:val="Cabealho5Carcter1"/>
    <w:uiPriority w:val="9"/>
    <w:semiHidden/>
    <w:unhideWhenUsed/>
    <w:qFormat/>
    <w:rsid w:val="007452A0"/>
    <w:pPr>
      <w:keepNext/>
      <w:keepLines/>
      <w:spacing w:before="200" w:after="0" w:line="240" w:lineRule="auto"/>
      <w:outlineLvl w:val="4"/>
    </w:pPr>
    <w:rPr>
      <w:rFonts w:asciiTheme="majorHAnsi" w:eastAsiaTheme="majorEastAsia" w:hAnsiTheme="majorHAnsi" w:cstheme="majorBidi"/>
      <w:color w:val="243F60" w:themeColor="accent1" w:themeShade="7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arcter"/>
    <w:uiPriority w:val="34"/>
    <w:qFormat/>
    <w:rsid w:val="00471326"/>
    <w:pPr>
      <w:ind w:left="720"/>
      <w:contextualSpacing/>
    </w:pPr>
  </w:style>
  <w:style w:type="paragraph" w:styleId="Cabealho">
    <w:name w:val="header"/>
    <w:basedOn w:val="Normal"/>
    <w:link w:val="CabealhoCarcter"/>
    <w:uiPriority w:val="99"/>
    <w:unhideWhenUsed/>
    <w:rsid w:val="001D496E"/>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qFormat/>
    <w:rsid w:val="001D496E"/>
  </w:style>
  <w:style w:type="paragraph" w:styleId="Rodap">
    <w:name w:val="footer"/>
    <w:basedOn w:val="Normal"/>
    <w:link w:val="RodapCarcter"/>
    <w:uiPriority w:val="99"/>
    <w:unhideWhenUsed/>
    <w:rsid w:val="001D496E"/>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qFormat/>
    <w:rsid w:val="001D496E"/>
  </w:style>
  <w:style w:type="numbering" w:customStyle="1" w:styleId="Estilo1">
    <w:name w:val="Estilo1"/>
    <w:uiPriority w:val="99"/>
    <w:rsid w:val="008C777F"/>
    <w:pPr>
      <w:numPr>
        <w:numId w:val="2"/>
      </w:numPr>
    </w:pPr>
  </w:style>
  <w:style w:type="numbering" w:customStyle="1" w:styleId="Estilo2">
    <w:name w:val="Estilo2"/>
    <w:uiPriority w:val="99"/>
    <w:rsid w:val="008C777F"/>
    <w:pPr>
      <w:numPr>
        <w:numId w:val="3"/>
      </w:numPr>
    </w:pPr>
  </w:style>
  <w:style w:type="character" w:customStyle="1" w:styleId="Cabealho1Carcter">
    <w:name w:val="Cabeçalho 1 Carácter"/>
    <w:basedOn w:val="Tipodeletrapredefinidodopargrafo"/>
    <w:link w:val="Cabealho1"/>
    <w:uiPriority w:val="9"/>
    <w:qFormat/>
    <w:rsid w:val="00926C20"/>
    <w:rPr>
      <w:rFonts w:asciiTheme="majorHAnsi" w:eastAsiaTheme="majorEastAsia" w:hAnsiTheme="majorHAnsi" w:cstheme="majorBidi"/>
      <w:b/>
      <w:bCs/>
      <w:color w:val="365F91" w:themeColor="accent1" w:themeShade="BF"/>
      <w:sz w:val="28"/>
      <w:szCs w:val="28"/>
    </w:rPr>
  </w:style>
  <w:style w:type="paragraph" w:styleId="Ttulodondice">
    <w:name w:val="TOC Heading"/>
    <w:basedOn w:val="Cabealho1"/>
    <w:next w:val="Normal"/>
    <w:uiPriority w:val="39"/>
    <w:unhideWhenUsed/>
    <w:qFormat/>
    <w:rsid w:val="00926C20"/>
    <w:pPr>
      <w:outlineLvl w:val="9"/>
    </w:pPr>
    <w:rPr>
      <w:lang w:eastAsia="pt-PT"/>
    </w:rPr>
  </w:style>
  <w:style w:type="paragraph" w:styleId="Textodebalo">
    <w:name w:val="Balloon Text"/>
    <w:basedOn w:val="Normal"/>
    <w:link w:val="TextodebaloCarcter"/>
    <w:uiPriority w:val="99"/>
    <w:semiHidden/>
    <w:unhideWhenUsed/>
    <w:qFormat/>
    <w:rsid w:val="00926C20"/>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qFormat/>
    <w:rsid w:val="00926C20"/>
    <w:rPr>
      <w:rFonts w:ascii="Tahoma" w:hAnsi="Tahoma" w:cs="Tahoma"/>
      <w:sz w:val="16"/>
      <w:szCs w:val="16"/>
    </w:rPr>
  </w:style>
  <w:style w:type="character" w:customStyle="1" w:styleId="Cabealho4Carcter">
    <w:name w:val="Cabeçalho 4 Carácter"/>
    <w:basedOn w:val="Tipodeletrapredefinidodopargrafo"/>
    <w:link w:val="Cabealho4"/>
    <w:uiPriority w:val="9"/>
    <w:semiHidden/>
    <w:qFormat/>
    <w:rsid w:val="00926C20"/>
    <w:rPr>
      <w:rFonts w:asciiTheme="majorHAnsi" w:eastAsiaTheme="majorEastAsia" w:hAnsiTheme="majorHAnsi" w:cstheme="majorBidi"/>
      <w:b/>
      <w:bCs/>
      <w:i/>
      <w:iCs/>
      <w:color w:val="4F81BD" w:themeColor="accent1"/>
    </w:rPr>
  </w:style>
  <w:style w:type="paragraph" w:styleId="ndice1">
    <w:name w:val="toc 1"/>
    <w:basedOn w:val="Normal"/>
    <w:next w:val="Normal"/>
    <w:autoRedefine/>
    <w:uiPriority w:val="39"/>
    <w:unhideWhenUsed/>
    <w:qFormat/>
    <w:rsid w:val="00FE4D53"/>
    <w:pPr>
      <w:tabs>
        <w:tab w:val="left" w:pos="709"/>
        <w:tab w:val="right" w:leader="dot" w:pos="10196"/>
      </w:tabs>
      <w:spacing w:after="100"/>
      <w:ind w:left="1843" w:hanging="1843"/>
    </w:pPr>
  </w:style>
  <w:style w:type="character" w:styleId="Hiperligao">
    <w:name w:val="Hyperlink"/>
    <w:basedOn w:val="Tipodeletrapredefinidodopargrafo"/>
    <w:uiPriority w:val="99"/>
    <w:unhideWhenUsed/>
    <w:rsid w:val="000A0A9D"/>
    <w:rPr>
      <w:color w:val="0000FF" w:themeColor="hyperlink"/>
      <w:u w:val="single"/>
    </w:rPr>
  </w:style>
  <w:style w:type="paragraph" w:customStyle="1" w:styleId="Contedodamoldura">
    <w:name w:val="Conteúdo da moldura"/>
    <w:basedOn w:val="Normal"/>
    <w:qFormat/>
    <w:rsid w:val="0003622E"/>
    <w:pPr>
      <w:spacing w:after="0" w:line="240" w:lineRule="auto"/>
    </w:pPr>
    <w:rPr>
      <w:rFonts w:cs="Times New Roman"/>
      <w:color w:val="00000A"/>
    </w:rPr>
  </w:style>
  <w:style w:type="paragraph" w:customStyle="1" w:styleId="Default">
    <w:name w:val="Default"/>
    <w:qFormat/>
    <w:rsid w:val="0003622E"/>
    <w:pPr>
      <w:autoSpaceDE w:val="0"/>
      <w:autoSpaceDN w:val="0"/>
      <w:adjustRightInd w:val="0"/>
      <w:spacing w:after="0" w:line="240" w:lineRule="auto"/>
    </w:pPr>
    <w:rPr>
      <w:rFonts w:ascii="Calibri" w:hAnsi="Calibri" w:cs="Calibri"/>
      <w:color w:val="000000"/>
      <w:sz w:val="24"/>
      <w:szCs w:val="24"/>
    </w:rPr>
  </w:style>
  <w:style w:type="paragraph" w:styleId="ndice2">
    <w:name w:val="toc 2"/>
    <w:basedOn w:val="Normal"/>
    <w:next w:val="Normal"/>
    <w:autoRedefine/>
    <w:uiPriority w:val="39"/>
    <w:unhideWhenUsed/>
    <w:qFormat/>
    <w:rsid w:val="00EC794F"/>
    <w:pPr>
      <w:tabs>
        <w:tab w:val="left" w:pos="993"/>
        <w:tab w:val="right" w:leader="dot" w:pos="10196"/>
      </w:tabs>
      <w:spacing w:after="100"/>
      <w:ind w:left="1843" w:hanging="1623"/>
    </w:pPr>
  </w:style>
  <w:style w:type="paragraph" w:styleId="ndice3">
    <w:name w:val="toc 3"/>
    <w:basedOn w:val="Normal"/>
    <w:next w:val="Normal"/>
    <w:autoRedefine/>
    <w:uiPriority w:val="39"/>
    <w:unhideWhenUsed/>
    <w:qFormat/>
    <w:rsid w:val="000F5EB4"/>
    <w:pPr>
      <w:tabs>
        <w:tab w:val="left" w:pos="1560"/>
        <w:tab w:val="right" w:leader="dot" w:pos="10196"/>
      </w:tabs>
      <w:spacing w:after="100"/>
      <w:ind w:left="1843" w:hanging="1134"/>
    </w:pPr>
    <w:rPr>
      <w:rFonts w:ascii="Calibri" w:hAnsi="Calibri" w:cs="Times New Roman"/>
      <w:b/>
      <w:noProof/>
      <w:color w:val="000000" w:themeColor="text1"/>
    </w:rPr>
  </w:style>
  <w:style w:type="paragraph" w:styleId="ndice4">
    <w:name w:val="toc 4"/>
    <w:basedOn w:val="Normal"/>
    <w:next w:val="Normal"/>
    <w:autoRedefine/>
    <w:uiPriority w:val="39"/>
    <w:unhideWhenUsed/>
    <w:rsid w:val="005D6A45"/>
    <w:pPr>
      <w:tabs>
        <w:tab w:val="left" w:pos="1760"/>
        <w:tab w:val="right" w:leader="dot" w:pos="10196"/>
      </w:tabs>
      <w:spacing w:after="100"/>
      <w:ind w:left="1843" w:hanging="709"/>
    </w:pPr>
    <w:rPr>
      <w:rFonts w:ascii="Calibri" w:hAnsi="Calibri" w:cs="Calibri"/>
      <w:noProof/>
    </w:rPr>
  </w:style>
  <w:style w:type="paragraph" w:styleId="ndice5">
    <w:name w:val="toc 5"/>
    <w:basedOn w:val="Normal"/>
    <w:next w:val="Normal"/>
    <w:autoRedefine/>
    <w:uiPriority w:val="39"/>
    <w:unhideWhenUsed/>
    <w:rsid w:val="00FE4D53"/>
    <w:pPr>
      <w:tabs>
        <w:tab w:val="left" w:leader="dot" w:pos="1701"/>
      </w:tabs>
      <w:spacing w:after="100"/>
      <w:ind w:left="2124"/>
    </w:pPr>
  </w:style>
  <w:style w:type="character" w:customStyle="1" w:styleId="PargrafodaListaCarcter">
    <w:name w:val="Parágrafo da Lista Carácter"/>
    <w:basedOn w:val="Tipodeletrapredefinidodopargrafo"/>
    <w:link w:val="PargrafodaLista"/>
    <w:uiPriority w:val="34"/>
    <w:qFormat/>
    <w:rsid w:val="00945E43"/>
  </w:style>
  <w:style w:type="paragraph" w:styleId="Legenda">
    <w:name w:val="caption"/>
    <w:basedOn w:val="Normal"/>
    <w:next w:val="Normal"/>
    <w:uiPriority w:val="35"/>
    <w:unhideWhenUsed/>
    <w:qFormat/>
    <w:rsid w:val="00945E43"/>
    <w:pPr>
      <w:spacing w:line="240" w:lineRule="auto"/>
    </w:pPr>
    <w:rPr>
      <w:rFonts w:cs="Times New Roman"/>
      <w:b/>
      <w:bCs/>
      <w:color w:val="4F81BD" w:themeColor="accent1"/>
      <w:sz w:val="18"/>
      <w:szCs w:val="18"/>
    </w:rPr>
  </w:style>
  <w:style w:type="character" w:customStyle="1" w:styleId="TextodenotaderodapCarcter">
    <w:name w:val="Texto de nota de rodapé Carácter"/>
    <w:basedOn w:val="Tipodeletrapredefinidodopargrafo"/>
    <w:link w:val="Textodenotaderodap"/>
    <w:qFormat/>
    <w:rsid w:val="001E1FB9"/>
    <w:rPr>
      <w:rFonts w:eastAsia="Times New Roman" w:cs="Times New Roman"/>
      <w:sz w:val="20"/>
      <w:szCs w:val="20"/>
      <w:lang w:eastAsia="pt-PT"/>
    </w:rPr>
  </w:style>
  <w:style w:type="character" w:styleId="Refdenotaderodap">
    <w:name w:val="footnote reference"/>
    <w:qFormat/>
    <w:rsid w:val="001E1FB9"/>
    <w:rPr>
      <w:vertAlign w:val="superscript"/>
    </w:rPr>
  </w:style>
  <w:style w:type="character" w:customStyle="1" w:styleId="NotaRodapChar">
    <w:name w:val="NotaRodapé Char"/>
    <w:basedOn w:val="TextodenotaderodapCarcter"/>
    <w:link w:val="NotaRodap"/>
    <w:qFormat/>
    <w:rsid w:val="001E1FB9"/>
    <w:rPr>
      <w:rFonts w:ascii="Calibri" w:eastAsia="Times New Roman" w:hAnsi="Calibri" w:cs="Times New Roman"/>
      <w:sz w:val="18"/>
      <w:szCs w:val="20"/>
      <w:lang w:eastAsia="pt-PT"/>
    </w:rPr>
  </w:style>
  <w:style w:type="paragraph" w:styleId="Textodenotaderodap">
    <w:name w:val="footnote text"/>
    <w:basedOn w:val="Normal"/>
    <w:link w:val="TextodenotaderodapCarcter"/>
    <w:qFormat/>
    <w:rsid w:val="001E1FB9"/>
    <w:pPr>
      <w:spacing w:after="0" w:line="240" w:lineRule="auto"/>
      <w:ind w:firstLine="284"/>
      <w:jc w:val="both"/>
    </w:pPr>
    <w:rPr>
      <w:rFonts w:eastAsia="Times New Roman" w:cs="Times New Roman"/>
      <w:sz w:val="20"/>
      <w:szCs w:val="20"/>
      <w:lang w:eastAsia="pt-PT"/>
    </w:rPr>
  </w:style>
  <w:style w:type="character" w:customStyle="1" w:styleId="TextodenotaderodapCarcter1">
    <w:name w:val="Texto de nota de rodapé Carácter1"/>
    <w:basedOn w:val="Tipodeletrapredefinidodopargrafo"/>
    <w:uiPriority w:val="99"/>
    <w:semiHidden/>
    <w:rsid w:val="001E1FB9"/>
    <w:rPr>
      <w:sz w:val="20"/>
      <w:szCs w:val="20"/>
    </w:rPr>
  </w:style>
  <w:style w:type="paragraph" w:customStyle="1" w:styleId="NotaRodap">
    <w:name w:val="NotaRodapé"/>
    <w:basedOn w:val="Textodenotaderodap"/>
    <w:link w:val="NotaRodapChar"/>
    <w:qFormat/>
    <w:rsid w:val="001E1FB9"/>
    <w:pPr>
      <w:tabs>
        <w:tab w:val="left" w:pos="284"/>
      </w:tabs>
      <w:ind w:left="284" w:hanging="284"/>
    </w:pPr>
    <w:rPr>
      <w:rFonts w:ascii="Calibri" w:hAnsi="Calibri"/>
      <w:sz w:val="18"/>
    </w:rPr>
  </w:style>
  <w:style w:type="paragraph" w:styleId="ndice6">
    <w:name w:val="toc 6"/>
    <w:basedOn w:val="Normal"/>
    <w:next w:val="Normal"/>
    <w:autoRedefine/>
    <w:uiPriority w:val="39"/>
    <w:unhideWhenUsed/>
    <w:rsid w:val="00F75117"/>
    <w:pPr>
      <w:spacing w:after="100"/>
      <w:ind w:left="1100"/>
    </w:pPr>
    <w:rPr>
      <w:rFonts w:eastAsiaTheme="minorEastAsia"/>
      <w:lang w:eastAsia="pt-PT"/>
    </w:rPr>
  </w:style>
  <w:style w:type="paragraph" w:styleId="ndice7">
    <w:name w:val="toc 7"/>
    <w:basedOn w:val="Normal"/>
    <w:next w:val="Normal"/>
    <w:autoRedefine/>
    <w:uiPriority w:val="39"/>
    <w:unhideWhenUsed/>
    <w:rsid w:val="00F75117"/>
    <w:pPr>
      <w:spacing w:after="100"/>
      <w:ind w:left="1320"/>
    </w:pPr>
    <w:rPr>
      <w:rFonts w:eastAsiaTheme="minorEastAsia"/>
      <w:lang w:eastAsia="pt-PT"/>
    </w:rPr>
  </w:style>
  <w:style w:type="paragraph" w:styleId="ndice8">
    <w:name w:val="toc 8"/>
    <w:basedOn w:val="Normal"/>
    <w:next w:val="Normal"/>
    <w:autoRedefine/>
    <w:uiPriority w:val="39"/>
    <w:unhideWhenUsed/>
    <w:rsid w:val="00F75117"/>
    <w:pPr>
      <w:spacing w:after="100"/>
      <w:ind w:left="1540"/>
    </w:pPr>
    <w:rPr>
      <w:rFonts w:eastAsiaTheme="minorEastAsia"/>
      <w:lang w:eastAsia="pt-PT"/>
    </w:rPr>
  </w:style>
  <w:style w:type="paragraph" w:styleId="ndice9">
    <w:name w:val="toc 9"/>
    <w:basedOn w:val="Normal"/>
    <w:next w:val="Normal"/>
    <w:autoRedefine/>
    <w:uiPriority w:val="39"/>
    <w:unhideWhenUsed/>
    <w:rsid w:val="00F75117"/>
    <w:pPr>
      <w:spacing w:after="100"/>
      <w:ind w:left="1760"/>
    </w:pPr>
    <w:rPr>
      <w:rFonts w:eastAsiaTheme="minorEastAsia"/>
      <w:lang w:eastAsia="pt-PT"/>
    </w:rPr>
  </w:style>
  <w:style w:type="character" w:styleId="Refdecomentrio">
    <w:name w:val="annotation reference"/>
    <w:basedOn w:val="Tipodeletrapredefinidodopargrafo"/>
    <w:uiPriority w:val="99"/>
    <w:semiHidden/>
    <w:unhideWhenUsed/>
    <w:qFormat/>
    <w:rsid w:val="00F75117"/>
    <w:rPr>
      <w:sz w:val="16"/>
      <w:szCs w:val="16"/>
    </w:rPr>
  </w:style>
  <w:style w:type="character" w:customStyle="1" w:styleId="TextodecomentrioCarcter">
    <w:name w:val="Texto de comentário Carácter"/>
    <w:basedOn w:val="Tipodeletrapredefinidodopargrafo"/>
    <w:link w:val="Textodecomentrio"/>
    <w:uiPriority w:val="99"/>
    <w:qFormat/>
    <w:rsid w:val="00F75117"/>
    <w:rPr>
      <w:rFonts w:ascii="Calibri" w:hAnsi="Calibri" w:cs="Times New Roman"/>
      <w:sz w:val="20"/>
      <w:szCs w:val="20"/>
    </w:rPr>
  </w:style>
  <w:style w:type="character" w:customStyle="1" w:styleId="ListLabel2">
    <w:name w:val="ListLabel 2"/>
    <w:qFormat/>
    <w:rsid w:val="00F75117"/>
    <w:rPr>
      <w:rFonts w:cs="Courier New"/>
    </w:rPr>
  </w:style>
  <w:style w:type="paragraph" w:styleId="Textodecomentrio">
    <w:name w:val="annotation text"/>
    <w:basedOn w:val="Normal"/>
    <w:link w:val="TextodecomentrioCarcter"/>
    <w:uiPriority w:val="99"/>
    <w:unhideWhenUsed/>
    <w:qFormat/>
    <w:rsid w:val="00F75117"/>
    <w:pPr>
      <w:spacing w:after="0" w:line="240" w:lineRule="auto"/>
    </w:pPr>
    <w:rPr>
      <w:rFonts w:ascii="Calibri" w:hAnsi="Calibri" w:cs="Times New Roman"/>
      <w:sz w:val="20"/>
      <w:szCs w:val="20"/>
    </w:rPr>
  </w:style>
  <w:style w:type="character" w:customStyle="1" w:styleId="TextodecomentrioCarcter1">
    <w:name w:val="Texto de comentário Carácter1"/>
    <w:basedOn w:val="Tipodeletrapredefinidodopargrafo"/>
    <w:uiPriority w:val="99"/>
    <w:semiHidden/>
    <w:rsid w:val="00F75117"/>
    <w:rPr>
      <w:sz w:val="20"/>
      <w:szCs w:val="20"/>
    </w:rPr>
  </w:style>
  <w:style w:type="character" w:customStyle="1" w:styleId="LigaodeInternet">
    <w:name w:val="Ligação de Internet"/>
    <w:basedOn w:val="Tipodeletrapredefinidodopargrafo"/>
    <w:uiPriority w:val="99"/>
    <w:unhideWhenUsed/>
    <w:rsid w:val="00B66DE9"/>
    <w:rPr>
      <w:color w:val="0000FF" w:themeColor="hyperlink"/>
      <w:u w:val="single"/>
    </w:rPr>
  </w:style>
  <w:style w:type="character" w:customStyle="1" w:styleId="ListLabel4">
    <w:name w:val="ListLabel 4"/>
    <w:qFormat/>
    <w:rsid w:val="003A2FD6"/>
    <w:rPr>
      <w:color w:val="00000A"/>
    </w:rPr>
  </w:style>
  <w:style w:type="character" w:customStyle="1" w:styleId="apple-converted-space">
    <w:name w:val="apple-converted-space"/>
    <w:basedOn w:val="Tipodeletrapredefinidodopargrafo"/>
    <w:qFormat/>
    <w:rsid w:val="00253CEF"/>
  </w:style>
  <w:style w:type="character" w:customStyle="1" w:styleId="ListLabel3">
    <w:name w:val="ListLabel 3"/>
    <w:qFormat/>
    <w:rsid w:val="00253CEF"/>
    <w:rPr>
      <w:strike w:val="0"/>
      <w:dstrike w:val="0"/>
      <w:sz w:val="24"/>
    </w:rPr>
  </w:style>
  <w:style w:type="character" w:customStyle="1" w:styleId="Cabealho3Carcter">
    <w:name w:val="Cabeçalho 3 Carácter"/>
    <w:basedOn w:val="Tipodeletrapredefinidodopargrafo"/>
    <w:link w:val="Ttulo31"/>
    <w:uiPriority w:val="9"/>
    <w:semiHidden/>
    <w:qFormat/>
    <w:rsid w:val="007452A0"/>
    <w:rPr>
      <w:rFonts w:asciiTheme="majorHAnsi" w:eastAsiaTheme="majorEastAsia" w:hAnsiTheme="majorHAnsi" w:cstheme="majorBidi"/>
      <w:b/>
      <w:bCs/>
      <w:color w:val="4F81BD" w:themeColor="accent1"/>
    </w:rPr>
  </w:style>
  <w:style w:type="character" w:customStyle="1" w:styleId="Cabealho5Carcter">
    <w:name w:val="Cabeçalho 5 Carácter"/>
    <w:basedOn w:val="Tipodeletrapredefinidodopargrafo"/>
    <w:link w:val="Ttulo51"/>
    <w:uiPriority w:val="9"/>
    <w:semiHidden/>
    <w:qFormat/>
    <w:rsid w:val="007452A0"/>
    <w:rPr>
      <w:rFonts w:asciiTheme="majorHAnsi" w:eastAsiaTheme="majorEastAsia" w:hAnsiTheme="majorHAnsi" w:cstheme="majorBidi"/>
      <w:color w:val="243F60" w:themeColor="accent1" w:themeShade="7F"/>
    </w:rPr>
  </w:style>
  <w:style w:type="numbering" w:customStyle="1" w:styleId="Semlista1">
    <w:name w:val="Sem lista1"/>
    <w:next w:val="Semlista"/>
    <w:uiPriority w:val="99"/>
    <w:semiHidden/>
    <w:unhideWhenUsed/>
    <w:rsid w:val="007452A0"/>
  </w:style>
  <w:style w:type="paragraph" w:customStyle="1" w:styleId="Ttulo11">
    <w:name w:val="Título 11"/>
    <w:basedOn w:val="Normal"/>
    <w:next w:val="Normal"/>
    <w:uiPriority w:val="9"/>
    <w:qFormat/>
    <w:rsid w:val="007452A0"/>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customStyle="1" w:styleId="Ttulo21">
    <w:name w:val="Título 21"/>
    <w:basedOn w:val="Normal"/>
    <w:next w:val="Normal"/>
    <w:link w:val="Cabealho2Carcter"/>
    <w:uiPriority w:val="9"/>
    <w:unhideWhenUsed/>
    <w:qFormat/>
    <w:rsid w:val="007452A0"/>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customStyle="1" w:styleId="Ttulo31">
    <w:name w:val="Título 31"/>
    <w:basedOn w:val="Normal"/>
    <w:next w:val="Normal"/>
    <w:link w:val="Cabealho3Carcter"/>
    <w:uiPriority w:val="9"/>
    <w:semiHidden/>
    <w:unhideWhenUsed/>
    <w:qFormat/>
    <w:rsid w:val="007452A0"/>
    <w:pPr>
      <w:keepNext/>
      <w:keepLines/>
      <w:spacing w:before="200" w:after="0" w:line="240" w:lineRule="auto"/>
      <w:outlineLvl w:val="2"/>
    </w:pPr>
    <w:rPr>
      <w:rFonts w:asciiTheme="majorHAnsi" w:eastAsiaTheme="majorEastAsia" w:hAnsiTheme="majorHAnsi" w:cstheme="majorBidi"/>
      <w:b/>
      <w:bCs/>
      <w:color w:val="4F81BD" w:themeColor="accent1"/>
    </w:rPr>
  </w:style>
  <w:style w:type="paragraph" w:customStyle="1" w:styleId="Ttulo41">
    <w:name w:val="Título 41"/>
    <w:basedOn w:val="Normal"/>
    <w:next w:val="Normal"/>
    <w:uiPriority w:val="9"/>
    <w:semiHidden/>
    <w:unhideWhenUsed/>
    <w:qFormat/>
    <w:rsid w:val="007452A0"/>
    <w:pPr>
      <w:keepNext/>
      <w:keepLines/>
      <w:spacing w:before="200" w:after="0" w:line="240" w:lineRule="auto"/>
      <w:outlineLvl w:val="3"/>
    </w:pPr>
    <w:rPr>
      <w:rFonts w:asciiTheme="majorHAnsi" w:eastAsiaTheme="majorEastAsia" w:hAnsiTheme="majorHAnsi" w:cstheme="majorBidi"/>
      <w:b/>
      <w:bCs/>
      <w:i/>
      <w:iCs/>
      <w:color w:val="4F81BD" w:themeColor="accent1"/>
    </w:rPr>
  </w:style>
  <w:style w:type="paragraph" w:customStyle="1" w:styleId="Ttulo51">
    <w:name w:val="Título 51"/>
    <w:basedOn w:val="Normal"/>
    <w:next w:val="Normal"/>
    <w:link w:val="Cabealho5Carcter"/>
    <w:uiPriority w:val="9"/>
    <w:semiHidden/>
    <w:unhideWhenUsed/>
    <w:qFormat/>
    <w:rsid w:val="007452A0"/>
    <w:pPr>
      <w:keepNext/>
      <w:keepLines/>
      <w:spacing w:before="200" w:after="0" w:line="240" w:lineRule="auto"/>
      <w:outlineLvl w:val="4"/>
    </w:pPr>
    <w:rPr>
      <w:rFonts w:asciiTheme="majorHAnsi" w:eastAsiaTheme="majorEastAsia" w:hAnsiTheme="majorHAnsi" w:cstheme="majorBidi"/>
      <w:color w:val="243F60" w:themeColor="accent1" w:themeShade="7F"/>
    </w:rPr>
  </w:style>
  <w:style w:type="paragraph" w:customStyle="1" w:styleId="Ttulo61">
    <w:name w:val="Título 61"/>
    <w:basedOn w:val="Normal"/>
    <w:next w:val="Normal"/>
    <w:link w:val="Cabealho6Carcter"/>
    <w:uiPriority w:val="9"/>
    <w:semiHidden/>
    <w:unhideWhenUsed/>
    <w:qFormat/>
    <w:rsid w:val="007452A0"/>
    <w:pPr>
      <w:keepNext/>
      <w:keepLines/>
      <w:spacing w:before="200" w:after="0" w:line="240" w:lineRule="auto"/>
      <w:outlineLvl w:val="5"/>
    </w:pPr>
    <w:rPr>
      <w:rFonts w:asciiTheme="majorHAnsi" w:eastAsiaTheme="majorEastAsia" w:hAnsiTheme="majorHAnsi" w:cstheme="majorBidi"/>
      <w:i/>
      <w:iCs/>
      <w:color w:val="243F60" w:themeColor="accent1" w:themeShade="7F"/>
    </w:rPr>
  </w:style>
  <w:style w:type="paragraph" w:customStyle="1" w:styleId="Ttulo71">
    <w:name w:val="Título 71"/>
    <w:basedOn w:val="Normal"/>
    <w:next w:val="Normal"/>
    <w:link w:val="Cabealho7Carcter"/>
    <w:uiPriority w:val="9"/>
    <w:semiHidden/>
    <w:unhideWhenUsed/>
    <w:qFormat/>
    <w:rsid w:val="007452A0"/>
    <w:pPr>
      <w:keepNext/>
      <w:keepLines/>
      <w:spacing w:before="200" w:after="0" w:line="240" w:lineRule="auto"/>
      <w:outlineLvl w:val="6"/>
    </w:pPr>
    <w:rPr>
      <w:rFonts w:asciiTheme="majorHAnsi" w:eastAsiaTheme="majorEastAsia" w:hAnsiTheme="majorHAnsi" w:cstheme="majorBidi"/>
      <w:i/>
      <w:iCs/>
      <w:color w:val="404040" w:themeColor="text1" w:themeTint="BF"/>
    </w:rPr>
  </w:style>
  <w:style w:type="character" w:customStyle="1" w:styleId="Bodytext2">
    <w:name w:val="Body text (2)_"/>
    <w:basedOn w:val="Tipodeletrapredefinidodopargrafo"/>
    <w:link w:val="Bodytext20"/>
    <w:uiPriority w:val="99"/>
    <w:qFormat/>
    <w:rsid w:val="007452A0"/>
    <w:rPr>
      <w:rFonts w:ascii="Arial" w:hAnsi="Arial" w:cs="Arial"/>
      <w:i/>
      <w:iCs/>
      <w:sz w:val="14"/>
      <w:szCs w:val="14"/>
      <w:shd w:val="clear" w:color="auto" w:fill="FFFFFF"/>
    </w:rPr>
  </w:style>
  <w:style w:type="character" w:customStyle="1" w:styleId="CorpodetextoCarcter">
    <w:name w:val="Corpo de texto Carácter"/>
    <w:basedOn w:val="Tipodeletrapredefinidodopargrafo"/>
    <w:link w:val="Corpodotexto"/>
    <w:uiPriority w:val="99"/>
    <w:qFormat/>
    <w:rsid w:val="007452A0"/>
    <w:rPr>
      <w:rFonts w:ascii="Arial" w:hAnsi="Arial" w:cs="Arial"/>
      <w:sz w:val="20"/>
      <w:szCs w:val="20"/>
      <w:shd w:val="clear" w:color="auto" w:fill="FFFFFF"/>
    </w:rPr>
  </w:style>
  <w:style w:type="character" w:customStyle="1" w:styleId="BodyTextChar">
    <w:name w:val="Body Text Char"/>
    <w:basedOn w:val="Tipodeletrapredefinidodopargrafo"/>
    <w:uiPriority w:val="99"/>
    <w:semiHidden/>
    <w:qFormat/>
    <w:rsid w:val="007452A0"/>
    <w:rPr>
      <w:rFonts w:ascii="Calibri" w:hAnsi="Calibri" w:cs="Times New Roman"/>
    </w:rPr>
  </w:style>
  <w:style w:type="character" w:customStyle="1" w:styleId="Cabealho2Carcter">
    <w:name w:val="Cabeçalho 2 Carácter"/>
    <w:basedOn w:val="Tipodeletrapredefinidodopargrafo"/>
    <w:link w:val="Ttulo21"/>
    <w:uiPriority w:val="9"/>
    <w:qFormat/>
    <w:rsid w:val="007452A0"/>
    <w:rPr>
      <w:rFonts w:asciiTheme="majorHAnsi" w:eastAsiaTheme="majorEastAsia" w:hAnsiTheme="majorHAnsi" w:cstheme="majorBidi"/>
      <w:b/>
      <w:bCs/>
      <w:color w:val="4F81BD" w:themeColor="accent1"/>
      <w:sz w:val="26"/>
      <w:szCs w:val="26"/>
    </w:rPr>
  </w:style>
  <w:style w:type="character" w:styleId="Hiperligaovisitada">
    <w:name w:val="FollowedHyperlink"/>
    <w:basedOn w:val="Tipodeletrapredefinidodopargrafo"/>
    <w:uiPriority w:val="99"/>
    <w:semiHidden/>
    <w:unhideWhenUsed/>
    <w:qFormat/>
    <w:rsid w:val="007452A0"/>
    <w:rPr>
      <w:color w:val="800080" w:themeColor="followedHyperlink"/>
      <w:u w:val="single"/>
    </w:rPr>
  </w:style>
  <w:style w:type="character" w:customStyle="1" w:styleId="PA-Tese-ICarter">
    <w:name w:val="PA-Tese-I Caráter"/>
    <w:basedOn w:val="Tipodeletrapredefinidodopargrafo"/>
    <w:qFormat/>
    <w:rsid w:val="007452A0"/>
    <w:rPr>
      <w:rFonts w:eastAsia="Times New Roman" w:cstheme="minorHAnsi"/>
      <w:sz w:val="24"/>
      <w:szCs w:val="20"/>
    </w:rPr>
  </w:style>
  <w:style w:type="character" w:customStyle="1" w:styleId="PA-Tese-RodapeCarter">
    <w:name w:val="PA-Tese-Rodape Caráter"/>
    <w:basedOn w:val="TextodenotaderodapCarcter"/>
    <w:qFormat/>
    <w:rsid w:val="007452A0"/>
    <w:rPr>
      <w:rFonts w:ascii="Verdana" w:eastAsia="Times New Roman" w:hAnsi="Verdana" w:cs="Times New Roman"/>
      <w:sz w:val="20"/>
      <w:szCs w:val="20"/>
      <w:lang w:eastAsia="zh-CN"/>
    </w:rPr>
  </w:style>
  <w:style w:type="character" w:customStyle="1" w:styleId="Tit-01Char">
    <w:name w:val="Tit-01 Char"/>
    <w:basedOn w:val="PargrafodaListaCarcter"/>
    <w:qFormat/>
    <w:rsid w:val="007452A0"/>
    <w:rPr>
      <w:rFonts w:ascii="Calibri" w:hAnsi="Calibri" w:cs="Times New Roman"/>
      <w:b/>
      <w:smallCaps/>
      <w:sz w:val="24"/>
      <w:szCs w:val="24"/>
    </w:rPr>
  </w:style>
  <w:style w:type="character" w:customStyle="1" w:styleId="Tit-02Char">
    <w:name w:val="Tit-02 Char"/>
    <w:basedOn w:val="Cabealho2Carcter"/>
    <w:qFormat/>
    <w:rsid w:val="007452A0"/>
    <w:rPr>
      <w:rFonts w:asciiTheme="majorHAnsi" w:eastAsiaTheme="majorEastAsia" w:hAnsiTheme="majorHAnsi" w:cstheme="majorBidi"/>
      <w:b/>
      <w:bCs/>
      <w:color w:val="4F81BD" w:themeColor="accent1"/>
      <w:sz w:val="23"/>
      <w:szCs w:val="23"/>
    </w:rPr>
  </w:style>
  <w:style w:type="character" w:customStyle="1" w:styleId="Tit-03Char">
    <w:name w:val="Tit-03 Char"/>
    <w:basedOn w:val="Cabealho3Carcter"/>
    <w:qFormat/>
    <w:rsid w:val="007452A0"/>
    <w:rPr>
      <w:rFonts w:asciiTheme="majorHAnsi" w:eastAsiaTheme="majorEastAsia" w:hAnsiTheme="majorHAnsi" w:cstheme="majorBidi"/>
      <w:b/>
      <w:bCs/>
      <w:color w:val="4F81BD" w:themeColor="accent1"/>
      <w:sz w:val="23"/>
      <w:szCs w:val="23"/>
    </w:rPr>
  </w:style>
  <w:style w:type="character" w:customStyle="1" w:styleId="Tit-04Char">
    <w:name w:val="Tit-04 Char"/>
    <w:basedOn w:val="PargrafodaListaCarcter"/>
    <w:qFormat/>
    <w:rsid w:val="007452A0"/>
    <w:rPr>
      <w:rFonts w:ascii="Calibri" w:hAnsi="Calibri" w:cs="Times New Roman"/>
      <w:i/>
      <w:sz w:val="23"/>
      <w:szCs w:val="23"/>
    </w:rPr>
  </w:style>
  <w:style w:type="character" w:customStyle="1" w:styleId="A3">
    <w:name w:val="A3"/>
    <w:uiPriority w:val="99"/>
    <w:qFormat/>
    <w:rsid w:val="007452A0"/>
    <w:rPr>
      <w:color w:val="000000"/>
      <w:sz w:val="20"/>
      <w:szCs w:val="20"/>
    </w:rPr>
  </w:style>
  <w:style w:type="character" w:styleId="Forte">
    <w:name w:val="Strong"/>
    <w:basedOn w:val="Tipodeletrapredefinidodopargrafo"/>
    <w:uiPriority w:val="22"/>
    <w:qFormat/>
    <w:rsid w:val="007452A0"/>
    <w:rPr>
      <w:b/>
      <w:bCs/>
    </w:rPr>
  </w:style>
  <w:style w:type="character" w:customStyle="1" w:styleId="A4">
    <w:name w:val="A4"/>
    <w:uiPriority w:val="99"/>
    <w:qFormat/>
    <w:rsid w:val="007452A0"/>
    <w:rPr>
      <w:color w:val="000000"/>
      <w:sz w:val="20"/>
      <w:szCs w:val="20"/>
    </w:rPr>
  </w:style>
  <w:style w:type="character" w:customStyle="1" w:styleId="TtuloCarcter">
    <w:name w:val="Título Carácter"/>
    <w:basedOn w:val="Tipodeletrapredefinidodopargrafo"/>
    <w:link w:val="Ttulo"/>
    <w:uiPriority w:val="10"/>
    <w:qFormat/>
    <w:rsid w:val="007452A0"/>
    <w:rPr>
      <w:rFonts w:asciiTheme="majorHAnsi" w:eastAsiaTheme="majorEastAsia" w:hAnsiTheme="majorHAnsi" w:cstheme="majorBidi"/>
      <w:color w:val="17365D" w:themeColor="text2" w:themeShade="BF"/>
      <w:spacing w:val="5"/>
      <w:sz w:val="52"/>
      <w:szCs w:val="52"/>
    </w:rPr>
  </w:style>
  <w:style w:type="character" w:customStyle="1" w:styleId="PrimeiroavanodecorpodetextoCarcter">
    <w:name w:val="Primeiro avanço de corpo de texto Carácter"/>
    <w:basedOn w:val="CorpodetextoCarcter"/>
    <w:uiPriority w:val="99"/>
    <w:qFormat/>
    <w:rsid w:val="007452A0"/>
    <w:rPr>
      <w:rFonts w:ascii="Calibri" w:hAnsi="Calibri" w:cs="Times New Roman"/>
      <w:sz w:val="20"/>
      <w:szCs w:val="20"/>
      <w:shd w:val="clear" w:color="auto" w:fill="FFFFFF"/>
    </w:rPr>
  </w:style>
  <w:style w:type="character" w:customStyle="1" w:styleId="AvanodecorpodetextoCarcter">
    <w:name w:val="Avanço de corpo de texto Carácter"/>
    <w:basedOn w:val="Tipodeletrapredefinidodopargrafo"/>
    <w:link w:val="Avanodecorpodetexto"/>
    <w:uiPriority w:val="99"/>
    <w:semiHidden/>
    <w:qFormat/>
    <w:rsid w:val="007452A0"/>
    <w:rPr>
      <w:rFonts w:ascii="Calibri" w:hAnsi="Calibri" w:cs="Times New Roman"/>
    </w:rPr>
  </w:style>
  <w:style w:type="character" w:customStyle="1" w:styleId="Primeiroavanodecorpodetexto2Carcter">
    <w:name w:val="Primeiro avanço de corpo de texto 2 Carácter"/>
    <w:basedOn w:val="AvanodecorpodetextoCarcter"/>
    <w:link w:val="Primeiroavanodecorpodetexto2"/>
    <w:uiPriority w:val="99"/>
    <w:qFormat/>
    <w:rsid w:val="007452A0"/>
    <w:rPr>
      <w:rFonts w:ascii="Calibri" w:hAnsi="Calibri" w:cs="Times New Roman"/>
    </w:rPr>
  </w:style>
  <w:style w:type="character" w:customStyle="1" w:styleId="Cabealho6Carcter">
    <w:name w:val="Cabeçalho 6 Carácter"/>
    <w:basedOn w:val="Tipodeletrapredefinidodopargrafo"/>
    <w:link w:val="Ttulo61"/>
    <w:uiPriority w:val="9"/>
    <w:semiHidden/>
    <w:qFormat/>
    <w:rsid w:val="007452A0"/>
    <w:rPr>
      <w:rFonts w:asciiTheme="majorHAnsi" w:eastAsiaTheme="majorEastAsia" w:hAnsiTheme="majorHAnsi" w:cstheme="majorBidi"/>
      <w:i/>
      <w:iCs/>
      <w:color w:val="243F60" w:themeColor="accent1" w:themeShade="7F"/>
    </w:rPr>
  </w:style>
  <w:style w:type="character" w:customStyle="1" w:styleId="Cabealho7Carcter">
    <w:name w:val="Cabeçalho 7 Carácter"/>
    <w:basedOn w:val="Tipodeletrapredefinidodopargrafo"/>
    <w:link w:val="Ttulo71"/>
    <w:uiPriority w:val="9"/>
    <w:semiHidden/>
    <w:qFormat/>
    <w:rsid w:val="007452A0"/>
    <w:rPr>
      <w:rFonts w:asciiTheme="majorHAnsi" w:eastAsiaTheme="majorEastAsia" w:hAnsiTheme="majorHAnsi" w:cstheme="majorBidi"/>
      <w:i/>
      <w:iCs/>
      <w:color w:val="404040" w:themeColor="text1" w:themeTint="BF"/>
    </w:rPr>
  </w:style>
  <w:style w:type="character" w:customStyle="1" w:styleId="TextodenotadefimCarcter">
    <w:name w:val="Texto de nota de fim Carácter"/>
    <w:basedOn w:val="Tipodeletrapredefinidodopargrafo"/>
    <w:link w:val="Textodenotadefim"/>
    <w:uiPriority w:val="99"/>
    <w:semiHidden/>
    <w:qFormat/>
    <w:rsid w:val="007452A0"/>
    <w:rPr>
      <w:rFonts w:ascii="Calibri" w:hAnsi="Calibri" w:cs="Times New Roman"/>
      <w:sz w:val="20"/>
      <w:szCs w:val="20"/>
    </w:rPr>
  </w:style>
  <w:style w:type="character" w:styleId="Refdenotadefim">
    <w:name w:val="endnote reference"/>
    <w:basedOn w:val="Tipodeletrapredefinidodopargrafo"/>
    <w:uiPriority w:val="99"/>
    <w:semiHidden/>
    <w:unhideWhenUsed/>
    <w:qFormat/>
    <w:rsid w:val="007452A0"/>
    <w:rPr>
      <w:vertAlign w:val="superscript"/>
    </w:rPr>
  </w:style>
  <w:style w:type="character" w:customStyle="1" w:styleId="ListLabel1">
    <w:name w:val="ListLabel 1"/>
    <w:qFormat/>
    <w:rsid w:val="007452A0"/>
    <w:rPr>
      <w:b/>
    </w:rPr>
  </w:style>
  <w:style w:type="character" w:customStyle="1" w:styleId="Ligaodendice">
    <w:name w:val="Ligação de índice"/>
    <w:qFormat/>
    <w:rsid w:val="007452A0"/>
  </w:style>
  <w:style w:type="character" w:customStyle="1" w:styleId="ncoradanotaderodap">
    <w:name w:val="Âncora da nota de rodapé"/>
    <w:rsid w:val="007452A0"/>
    <w:rPr>
      <w:vertAlign w:val="superscript"/>
    </w:rPr>
  </w:style>
  <w:style w:type="character" w:customStyle="1" w:styleId="Caracteresdanotaderodap">
    <w:name w:val="Caracteres da nota de rodapé"/>
    <w:qFormat/>
    <w:rsid w:val="007452A0"/>
  </w:style>
  <w:style w:type="character" w:customStyle="1" w:styleId="ncoradanotafinal">
    <w:name w:val="Âncora da nota final"/>
    <w:rsid w:val="007452A0"/>
    <w:rPr>
      <w:vertAlign w:val="superscript"/>
    </w:rPr>
  </w:style>
  <w:style w:type="character" w:customStyle="1" w:styleId="Caracteresdenotafinal">
    <w:name w:val="Caracteres de nota final"/>
    <w:qFormat/>
    <w:rsid w:val="007452A0"/>
  </w:style>
  <w:style w:type="character" w:customStyle="1" w:styleId="ListLabel5">
    <w:name w:val="ListLabel 5"/>
    <w:qFormat/>
    <w:rsid w:val="007452A0"/>
    <w:rPr>
      <w:b/>
    </w:rPr>
  </w:style>
  <w:style w:type="character" w:customStyle="1" w:styleId="ListLabel6">
    <w:name w:val="ListLabel 6"/>
    <w:qFormat/>
    <w:rsid w:val="007452A0"/>
    <w:rPr>
      <w:rFonts w:ascii="Calibri" w:hAnsi="Calibri" w:cs="Symbol"/>
      <w:b/>
      <w:sz w:val="20"/>
    </w:rPr>
  </w:style>
  <w:style w:type="character" w:customStyle="1" w:styleId="ListLabel7">
    <w:name w:val="ListLabel 7"/>
    <w:qFormat/>
    <w:rsid w:val="007452A0"/>
    <w:rPr>
      <w:rFonts w:cs="Courier New"/>
    </w:rPr>
  </w:style>
  <w:style w:type="character" w:customStyle="1" w:styleId="ListLabel8">
    <w:name w:val="ListLabel 8"/>
    <w:qFormat/>
    <w:rsid w:val="007452A0"/>
    <w:rPr>
      <w:rFonts w:ascii="Calibri" w:hAnsi="Calibri" w:cs="Wingdings"/>
      <w:b/>
      <w:sz w:val="20"/>
    </w:rPr>
  </w:style>
  <w:style w:type="character" w:customStyle="1" w:styleId="ListLabel9">
    <w:name w:val="ListLabel 9"/>
    <w:qFormat/>
    <w:rsid w:val="007452A0"/>
    <w:rPr>
      <w:rFonts w:ascii="Calibri" w:hAnsi="Calibri" w:cs="Wingdings"/>
      <w:strike w:val="0"/>
      <w:dstrike w:val="0"/>
      <w:sz w:val="24"/>
    </w:rPr>
  </w:style>
  <w:style w:type="character" w:customStyle="1" w:styleId="ListLabel10">
    <w:name w:val="ListLabel 10"/>
    <w:qFormat/>
    <w:rsid w:val="007452A0"/>
    <w:rPr>
      <w:rFonts w:ascii="Calibri" w:hAnsi="Calibri"/>
      <w:color w:val="00000A"/>
    </w:rPr>
  </w:style>
  <w:style w:type="paragraph" w:styleId="Ttulo">
    <w:name w:val="Title"/>
    <w:basedOn w:val="Normal"/>
    <w:next w:val="Corpodotexto"/>
    <w:link w:val="TtuloCarcter"/>
    <w:uiPriority w:val="10"/>
    <w:qFormat/>
    <w:rsid w:val="007452A0"/>
    <w:pPr>
      <w:keepNext/>
      <w:spacing w:before="240" w:after="120" w:line="240" w:lineRule="auto"/>
    </w:pPr>
    <w:rPr>
      <w:rFonts w:asciiTheme="majorHAnsi" w:eastAsiaTheme="majorEastAsia" w:hAnsiTheme="majorHAnsi" w:cstheme="majorBidi"/>
      <w:color w:val="17365D" w:themeColor="text2" w:themeShade="BF"/>
      <w:spacing w:val="5"/>
      <w:sz w:val="52"/>
      <w:szCs w:val="52"/>
    </w:rPr>
  </w:style>
  <w:style w:type="character" w:customStyle="1" w:styleId="TtuloCarcter1">
    <w:name w:val="Título Carácter1"/>
    <w:basedOn w:val="Tipodeletrapredefinidodopargrafo"/>
    <w:uiPriority w:val="10"/>
    <w:rsid w:val="007452A0"/>
    <w:rPr>
      <w:rFonts w:asciiTheme="majorHAnsi" w:eastAsiaTheme="majorEastAsia" w:hAnsiTheme="majorHAnsi" w:cstheme="majorBidi"/>
      <w:color w:val="17365D" w:themeColor="text2" w:themeShade="BF"/>
      <w:spacing w:val="5"/>
      <w:kern w:val="28"/>
      <w:sz w:val="52"/>
      <w:szCs w:val="52"/>
    </w:rPr>
  </w:style>
  <w:style w:type="paragraph" w:customStyle="1" w:styleId="Corpodotexto">
    <w:name w:val="Corpo do texto"/>
    <w:basedOn w:val="Normal"/>
    <w:link w:val="CorpodetextoCarcter"/>
    <w:uiPriority w:val="99"/>
    <w:rsid w:val="007452A0"/>
    <w:pPr>
      <w:widowControl w:val="0"/>
      <w:shd w:val="clear" w:color="auto" w:fill="FFFFFF"/>
      <w:spacing w:before="240" w:after="0" w:line="319" w:lineRule="exact"/>
      <w:ind w:hanging="420"/>
      <w:jc w:val="both"/>
    </w:pPr>
    <w:rPr>
      <w:rFonts w:ascii="Arial" w:hAnsi="Arial" w:cs="Arial"/>
      <w:sz w:val="20"/>
      <w:szCs w:val="20"/>
    </w:rPr>
  </w:style>
  <w:style w:type="paragraph" w:styleId="Lista">
    <w:name w:val="List"/>
    <w:basedOn w:val="Corpodotexto"/>
    <w:rsid w:val="007452A0"/>
    <w:rPr>
      <w:rFonts w:cs="Mangal"/>
    </w:rPr>
  </w:style>
  <w:style w:type="paragraph" w:customStyle="1" w:styleId="ndice">
    <w:name w:val="Índice"/>
    <w:basedOn w:val="Normal"/>
    <w:qFormat/>
    <w:rsid w:val="007452A0"/>
    <w:pPr>
      <w:suppressLineNumbers/>
      <w:spacing w:after="0" w:line="240" w:lineRule="auto"/>
    </w:pPr>
    <w:rPr>
      <w:rFonts w:cs="Mangal"/>
      <w:color w:val="00000A"/>
    </w:rPr>
  </w:style>
  <w:style w:type="character" w:customStyle="1" w:styleId="TextodebaloCarcter1">
    <w:name w:val="Texto de balão Carácter1"/>
    <w:basedOn w:val="Tipodeletrapredefinidodopargrafo"/>
    <w:uiPriority w:val="99"/>
    <w:semiHidden/>
    <w:rsid w:val="007452A0"/>
    <w:rPr>
      <w:rFonts w:ascii="Tahoma" w:hAnsi="Tahoma" w:cs="Tahoma"/>
      <w:color w:val="00000A"/>
      <w:sz w:val="16"/>
      <w:szCs w:val="16"/>
    </w:rPr>
  </w:style>
  <w:style w:type="character" w:customStyle="1" w:styleId="CabealhoCarcter1">
    <w:name w:val="Cabeçalho Carácter1"/>
    <w:basedOn w:val="Tipodeletrapredefinidodopargrafo"/>
    <w:uiPriority w:val="99"/>
    <w:semiHidden/>
    <w:rsid w:val="007452A0"/>
    <w:rPr>
      <w:rFonts w:cs="Times New Roman"/>
      <w:color w:val="00000A"/>
    </w:rPr>
  </w:style>
  <w:style w:type="character" w:customStyle="1" w:styleId="RodapCarcter1">
    <w:name w:val="Rodapé Carácter1"/>
    <w:basedOn w:val="Tipodeletrapredefinidodopargrafo"/>
    <w:uiPriority w:val="99"/>
    <w:semiHidden/>
    <w:rsid w:val="007452A0"/>
    <w:rPr>
      <w:rFonts w:cs="Times New Roman"/>
      <w:color w:val="00000A"/>
    </w:rPr>
  </w:style>
  <w:style w:type="paragraph" w:customStyle="1" w:styleId="Bodytext20">
    <w:name w:val="Body text (2)"/>
    <w:basedOn w:val="Normal"/>
    <w:link w:val="Bodytext2"/>
    <w:uiPriority w:val="99"/>
    <w:qFormat/>
    <w:rsid w:val="007452A0"/>
    <w:pPr>
      <w:widowControl w:val="0"/>
      <w:shd w:val="clear" w:color="auto" w:fill="FFFFFF"/>
      <w:spacing w:after="720" w:line="194" w:lineRule="exact"/>
      <w:jc w:val="center"/>
    </w:pPr>
    <w:rPr>
      <w:rFonts w:ascii="Arial" w:hAnsi="Arial" w:cs="Arial"/>
      <w:i/>
      <w:iCs/>
      <w:sz w:val="14"/>
      <w:szCs w:val="14"/>
    </w:rPr>
  </w:style>
  <w:style w:type="paragraph" w:styleId="ndicedeilustraes">
    <w:name w:val="table of figures"/>
    <w:basedOn w:val="Normal"/>
    <w:next w:val="Normal"/>
    <w:uiPriority w:val="99"/>
    <w:unhideWhenUsed/>
    <w:qFormat/>
    <w:rsid w:val="007452A0"/>
    <w:pPr>
      <w:spacing w:before="120" w:after="120" w:line="240" w:lineRule="auto"/>
      <w:ind w:left="440" w:hanging="440"/>
    </w:pPr>
    <w:rPr>
      <w:rFonts w:cs="Times New Roman"/>
      <w:smallCaps/>
      <w:color w:val="00000A"/>
      <w:sz w:val="18"/>
      <w:szCs w:val="20"/>
    </w:rPr>
  </w:style>
  <w:style w:type="paragraph" w:customStyle="1" w:styleId="Contedo1">
    <w:name w:val="Conteúdo 1"/>
    <w:basedOn w:val="Normal"/>
    <w:next w:val="Normal"/>
    <w:autoRedefine/>
    <w:uiPriority w:val="39"/>
    <w:unhideWhenUsed/>
    <w:qFormat/>
    <w:rsid w:val="007452A0"/>
    <w:pPr>
      <w:tabs>
        <w:tab w:val="left" w:pos="660"/>
        <w:tab w:val="right" w:leader="dot" w:pos="8068"/>
      </w:tabs>
      <w:spacing w:before="120" w:after="0" w:line="360" w:lineRule="auto"/>
      <w:ind w:left="425" w:hanging="425"/>
    </w:pPr>
    <w:rPr>
      <w:rFonts w:cs="Times New Roman"/>
      <w:b/>
      <w:bCs/>
      <w:iCs/>
      <w:smallCaps/>
      <w:color w:val="00000A"/>
    </w:rPr>
  </w:style>
  <w:style w:type="paragraph" w:customStyle="1" w:styleId="Contedo2">
    <w:name w:val="Conteúdo 2"/>
    <w:basedOn w:val="Normal"/>
    <w:next w:val="Normal"/>
    <w:autoRedefine/>
    <w:uiPriority w:val="39"/>
    <w:unhideWhenUsed/>
    <w:qFormat/>
    <w:rsid w:val="007452A0"/>
    <w:pPr>
      <w:tabs>
        <w:tab w:val="left" w:pos="880"/>
        <w:tab w:val="right" w:pos="8080"/>
      </w:tabs>
      <w:spacing w:after="120" w:line="240" w:lineRule="auto"/>
      <w:ind w:left="425"/>
    </w:pPr>
    <w:rPr>
      <w:rFonts w:cs="Times New Roman"/>
      <w:bCs/>
      <w:color w:val="00000A"/>
      <w:sz w:val="20"/>
    </w:rPr>
  </w:style>
  <w:style w:type="paragraph" w:customStyle="1" w:styleId="Contedo3">
    <w:name w:val="Conteúdo 3"/>
    <w:basedOn w:val="Normal"/>
    <w:next w:val="Normal"/>
    <w:autoRedefine/>
    <w:uiPriority w:val="39"/>
    <w:unhideWhenUsed/>
    <w:qFormat/>
    <w:rsid w:val="007452A0"/>
    <w:pPr>
      <w:tabs>
        <w:tab w:val="left" w:pos="1418"/>
        <w:tab w:val="right" w:leader="dot" w:pos="8068"/>
      </w:tabs>
      <w:spacing w:before="120" w:after="120" w:line="240" w:lineRule="auto"/>
      <w:ind w:left="851"/>
    </w:pPr>
    <w:rPr>
      <w:rFonts w:cs="Times New Roman"/>
      <w:color w:val="00000A"/>
      <w:sz w:val="20"/>
      <w:szCs w:val="20"/>
    </w:rPr>
  </w:style>
  <w:style w:type="paragraph" w:customStyle="1" w:styleId="Contedo4">
    <w:name w:val="Conteúdo 4"/>
    <w:basedOn w:val="Normal"/>
    <w:next w:val="Normal"/>
    <w:autoRedefine/>
    <w:uiPriority w:val="39"/>
    <w:unhideWhenUsed/>
    <w:rsid w:val="007452A0"/>
    <w:pPr>
      <w:tabs>
        <w:tab w:val="left" w:pos="1134"/>
        <w:tab w:val="left" w:pos="1770"/>
        <w:tab w:val="right" w:leader="dot" w:pos="8068"/>
      </w:tabs>
      <w:spacing w:before="120" w:after="120" w:line="240" w:lineRule="auto"/>
      <w:ind w:left="1842" w:hanging="708"/>
    </w:pPr>
    <w:rPr>
      <w:rFonts w:cs="Times New Roman"/>
      <w:color w:val="00000A"/>
      <w:sz w:val="20"/>
      <w:szCs w:val="20"/>
    </w:rPr>
  </w:style>
  <w:style w:type="paragraph" w:customStyle="1" w:styleId="Contedo5">
    <w:name w:val="Conteúdo 5"/>
    <w:basedOn w:val="Normal"/>
    <w:next w:val="Normal"/>
    <w:autoRedefine/>
    <w:uiPriority w:val="39"/>
    <w:unhideWhenUsed/>
    <w:rsid w:val="007452A0"/>
    <w:pPr>
      <w:spacing w:after="0" w:line="240" w:lineRule="auto"/>
      <w:ind w:left="880"/>
    </w:pPr>
    <w:rPr>
      <w:rFonts w:cs="Times New Roman"/>
      <w:color w:val="00000A"/>
      <w:sz w:val="20"/>
      <w:szCs w:val="20"/>
    </w:rPr>
  </w:style>
  <w:style w:type="paragraph" w:customStyle="1" w:styleId="Contedo6">
    <w:name w:val="Conteúdo 6"/>
    <w:basedOn w:val="Normal"/>
    <w:next w:val="Normal"/>
    <w:autoRedefine/>
    <w:uiPriority w:val="39"/>
    <w:unhideWhenUsed/>
    <w:rsid w:val="007452A0"/>
    <w:pPr>
      <w:spacing w:after="0" w:line="240" w:lineRule="auto"/>
      <w:ind w:left="1100"/>
    </w:pPr>
    <w:rPr>
      <w:rFonts w:cs="Times New Roman"/>
      <w:color w:val="00000A"/>
      <w:sz w:val="20"/>
      <w:szCs w:val="20"/>
    </w:rPr>
  </w:style>
  <w:style w:type="paragraph" w:customStyle="1" w:styleId="Contedo7">
    <w:name w:val="Conteúdo 7"/>
    <w:basedOn w:val="Normal"/>
    <w:next w:val="Normal"/>
    <w:autoRedefine/>
    <w:uiPriority w:val="39"/>
    <w:unhideWhenUsed/>
    <w:rsid w:val="007452A0"/>
    <w:pPr>
      <w:spacing w:after="0" w:line="240" w:lineRule="auto"/>
      <w:ind w:left="1320"/>
    </w:pPr>
    <w:rPr>
      <w:rFonts w:cs="Times New Roman"/>
      <w:color w:val="00000A"/>
      <w:sz w:val="20"/>
      <w:szCs w:val="20"/>
    </w:rPr>
  </w:style>
  <w:style w:type="paragraph" w:customStyle="1" w:styleId="Contedo8">
    <w:name w:val="Conteúdo 8"/>
    <w:basedOn w:val="Normal"/>
    <w:next w:val="Normal"/>
    <w:autoRedefine/>
    <w:uiPriority w:val="39"/>
    <w:unhideWhenUsed/>
    <w:rsid w:val="007452A0"/>
    <w:pPr>
      <w:spacing w:after="0" w:line="240" w:lineRule="auto"/>
      <w:ind w:left="1540"/>
    </w:pPr>
    <w:rPr>
      <w:rFonts w:cs="Times New Roman"/>
      <w:color w:val="00000A"/>
      <w:sz w:val="20"/>
      <w:szCs w:val="20"/>
    </w:rPr>
  </w:style>
  <w:style w:type="paragraph" w:customStyle="1" w:styleId="Contedo9">
    <w:name w:val="Conteúdo 9"/>
    <w:basedOn w:val="Normal"/>
    <w:next w:val="Normal"/>
    <w:autoRedefine/>
    <w:uiPriority w:val="39"/>
    <w:unhideWhenUsed/>
    <w:rsid w:val="007452A0"/>
    <w:pPr>
      <w:spacing w:after="0" w:line="240" w:lineRule="auto"/>
      <w:ind w:left="1760"/>
    </w:pPr>
    <w:rPr>
      <w:rFonts w:cs="Times New Roman"/>
      <w:color w:val="00000A"/>
      <w:sz w:val="20"/>
      <w:szCs w:val="20"/>
    </w:rPr>
  </w:style>
  <w:style w:type="paragraph" w:customStyle="1" w:styleId="PA-Tese-1">
    <w:name w:val="PA-Tese-1."/>
    <w:basedOn w:val="PargrafodaLista"/>
    <w:autoRedefine/>
    <w:qFormat/>
    <w:rsid w:val="007452A0"/>
    <w:pPr>
      <w:tabs>
        <w:tab w:val="left" w:pos="426"/>
      </w:tabs>
      <w:spacing w:before="960" w:after="120" w:line="360" w:lineRule="auto"/>
      <w:jc w:val="both"/>
    </w:pPr>
    <w:rPr>
      <w:rFonts w:ascii="Calibri" w:eastAsia="Times New Roman" w:hAnsi="Calibri" w:cstheme="minorHAnsi"/>
      <w:b/>
      <w:sz w:val="24"/>
      <w:szCs w:val="20"/>
    </w:rPr>
  </w:style>
  <w:style w:type="paragraph" w:customStyle="1" w:styleId="PA-Tese-11">
    <w:name w:val="PA-Tese-1.1"/>
    <w:basedOn w:val="PargrafodaLista"/>
    <w:autoRedefine/>
    <w:qFormat/>
    <w:rsid w:val="007452A0"/>
    <w:pPr>
      <w:tabs>
        <w:tab w:val="left" w:pos="426"/>
      </w:tabs>
      <w:spacing w:before="480" w:after="240" w:line="360" w:lineRule="auto"/>
      <w:contextualSpacing w:val="0"/>
      <w:jc w:val="both"/>
    </w:pPr>
    <w:rPr>
      <w:rFonts w:ascii="Calibri" w:eastAsia="Times New Roman" w:hAnsi="Calibri" w:cstheme="minorHAnsi"/>
      <w:b/>
      <w:color w:val="000000" w:themeColor="text1"/>
      <w:sz w:val="24"/>
      <w:szCs w:val="20"/>
    </w:rPr>
  </w:style>
  <w:style w:type="paragraph" w:customStyle="1" w:styleId="PA-Tese-I">
    <w:name w:val="PA-Tese-I"/>
    <w:basedOn w:val="PargrafodaLista"/>
    <w:autoRedefine/>
    <w:qFormat/>
    <w:rsid w:val="007452A0"/>
    <w:pPr>
      <w:tabs>
        <w:tab w:val="left" w:pos="0"/>
      </w:tabs>
      <w:spacing w:before="120" w:after="120" w:line="360" w:lineRule="auto"/>
      <w:ind w:left="0"/>
      <w:jc w:val="both"/>
    </w:pPr>
    <w:rPr>
      <w:rFonts w:ascii="Calibri" w:eastAsia="Times New Roman" w:hAnsi="Calibri" w:cstheme="minorHAnsi"/>
      <w:sz w:val="24"/>
      <w:szCs w:val="20"/>
    </w:rPr>
  </w:style>
  <w:style w:type="paragraph" w:customStyle="1" w:styleId="PA-Tese-111">
    <w:name w:val="PA-Tese-1.1.1"/>
    <w:basedOn w:val="PA-Tese-11"/>
    <w:autoRedefine/>
    <w:qFormat/>
    <w:rsid w:val="007452A0"/>
    <w:pPr>
      <w:tabs>
        <w:tab w:val="left" w:pos="567"/>
      </w:tabs>
      <w:spacing w:line="240" w:lineRule="auto"/>
      <w:jc w:val="left"/>
    </w:pPr>
    <w:rPr>
      <w:i/>
    </w:rPr>
  </w:style>
  <w:style w:type="paragraph" w:customStyle="1" w:styleId="PA-Tese-Rodape">
    <w:name w:val="PA-Tese-Rodape"/>
    <w:basedOn w:val="Textodenotaderodap"/>
    <w:autoRedefine/>
    <w:qFormat/>
    <w:rsid w:val="007452A0"/>
    <w:pPr>
      <w:tabs>
        <w:tab w:val="left" w:pos="0"/>
      </w:tabs>
      <w:suppressAutoHyphens/>
      <w:spacing w:after="60"/>
    </w:pPr>
    <w:rPr>
      <w:color w:val="00000A"/>
      <w:lang w:eastAsia="zh-CN"/>
    </w:rPr>
  </w:style>
  <w:style w:type="paragraph" w:customStyle="1" w:styleId="Tit-01">
    <w:name w:val="Tit-01"/>
    <w:basedOn w:val="PargrafodaLista"/>
    <w:qFormat/>
    <w:rsid w:val="007452A0"/>
    <w:pPr>
      <w:keepNext/>
      <w:spacing w:before="360" w:after="0" w:line="240" w:lineRule="auto"/>
      <w:contextualSpacing w:val="0"/>
      <w:jc w:val="both"/>
      <w:outlineLvl w:val="0"/>
    </w:pPr>
    <w:rPr>
      <w:rFonts w:ascii="Calibri" w:hAnsi="Calibri" w:cs="Times New Roman"/>
      <w:b/>
      <w:smallCaps/>
      <w:sz w:val="24"/>
      <w:szCs w:val="24"/>
    </w:rPr>
  </w:style>
  <w:style w:type="paragraph" w:customStyle="1" w:styleId="Tit-02">
    <w:name w:val="Tit-02"/>
    <w:basedOn w:val="Ttulo21"/>
    <w:qFormat/>
    <w:rsid w:val="007452A0"/>
    <w:pPr>
      <w:spacing w:before="240"/>
      <w:ind w:left="425" w:hanging="425"/>
    </w:pPr>
    <w:rPr>
      <w:rFonts w:asciiTheme="minorHAnsi" w:hAnsiTheme="minorHAnsi"/>
      <w:color w:val="00000A"/>
      <w:sz w:val="23"/>
      <w:szCs w:val="23"/>
    </w:rPr>
  </w:style>
  <w:style w:type="paragraph" w:customStyle="1" w:styleId="Tit-03">
    <w:name w:val="Tit-03"/>
    <w:basedOn w:val="Ttulo31"/>
    <w:qFormat/>
    <w:rsid w:val="007452A0"/>
    <w:pPr>
      <w:spacing w:before="240"/>
      <w:ind w:left="992" w:hanging="567"/>
      <w:jc w:val="both"/>
    </w:pPr>
    <w:rPr>
      <w:rFonts w:asciiTheme="minorHAnsi" w:hAnsiTheme="minorHAnsi"/>
      <w:color w:val="00000A"/>
      <w:sz w:val="23"/>
      <w:szCs w:val="23"/>
    </w:rPr>
  </w:style>
  <w:style w:type="paragraph" w:customStyle="1" w:styleId="Tit-04">
    <w:name w:val="Tit-04"/>
    <w:basedOn w:val="PargrafodaLista"/>
    <w:qFormat/>
    <w:rsid w:val="007452A0"/>
    <w:pPr>
      <w:keepNext/>
      <w:spacing w:before="240" w:after="0" w:line="240" w:lineRule="auto"/>
      <w:ind w:left="1985" w:hanging="992"/>
      <w:contextualSpacing w:val="0"/>
    </w:pPr>
    <w:rPr>
      <w:rFonts w:ascii="Calibri" w:hAnsi="Calibri" w:cs="Times New Roman"/>
      <w:i/>
      <w:sz w:val="23"/>
      <w:szCs w:val="23"/>
    </w:rPr>
  </w:style>
  <w:style w:type="paragraph" w:styleId="NormalWeb">
    <w:name w:val="Normal (Web)"/>
    <w:basedOn w:val="Normal"/>
    <w:uiPriority w:val="99"/>
    <w:unhideWhenUsed/>
    <w:qFormat/>
    <w:rsid w:val="007452A0"/>
    <w:pPr>
      <w:spacing w:beforeAutospacing="1" w:after="0" w:afterAutospacing="1" w:line="240" w:lineRule="auto"/>
    </w:pPr>
    <w:rPr>
      <w:rFonts w:ascii="Times New Roman" w:eastAsia="Times New Roman" w:hAnsi="Times New Roman" w:cs="Times New Roman"/>
      <w:color w:val="00000A"/>
      <w:sz w:val="24"/>
      <w:szCs w:val="24"/>
      <w:lang w:eastAsia="pt-PT"/>
    </w:rPr>
  </w:style>
  <w:style w:type="paragraph" w:customStyle="1" w:styleId="Ttulododocumento">
    <w:name w:val="Título do documento"/>
    <w:basedOn w:val="Normal"/>
    <w:next w:val="Normal"/>
    <w:uiPriority w:val="10"/>
    <w:qFormat/>
    <w:rsid w:val="007452A0"/>
    <w:pPr>
      <w:pBdr>
        <w:bottom w:val="single" w:sz="8" w:space="4" w:color="4F81BD"/>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paragraph" w:styleId="Lista3">
    <w:name w:val="List 3"/>
    <w:basedOn w:val="Normal"/>
    <w:uiPriority w:val="99"/>
    <w:unhideWhenUsed/>
    <w:rsid w:val="007452A0"/>
    <w:pPr>
      <w:spacing w:after="0" w:line="240" w:lineRule="auto"/>
      <w:ind w:left="849" w:hanging="283"/>
      <w:contextualSpacing/>
    </w:pPr>
    <w:rPr>
      <w:rFonts w:cs="Times New Roman"/>
      <w:color w:val="00000A"/>
    </w:rPr>
  </w:style>
  <w:style w:type="paragraph" w:styleId="Avanodecorpodetexto">
    <w:name w:val="Body Text Indent"/>
    <w:basedOn w:val="Normal"/>
    <w:link w:val="AvanodecorpodetextoCarcter"/>
    <w:uiPriority w:val="99"/>
    <w:semiHidden/>
    <w:unhideWhenUsed/>
    <w:rsid w:val="007452A0"/>
    <w:pPr>
      <w:spacing w:after="120" w:line="240" w:lineRule="auto"/>
      <w:ind w:left="283"/>
    </w:pPr>
    <w:rPr>
      <w:rFonts w:ascii="Calibri" w:hAnsi="Calibri" w:cs="Times New Roman"/>
    </w:rPr>
  </w:style>
  <w:style w:type="character" w:customStyle="1" w:styleId="AvanodecorpodetextoCarcter1">
    <w:name w:val="Avanço de corpo de texto Carácter1"/>
    <w:basedOn w:val="Tipodeletrapredefinidodopargrafo"/>
    <w:uiPriority w:val="99"/>
    <w:semiHidden/>
    <w:rsid w:val="007452A0"/>
  </w:style>
  <w:style w:type="paragraph" w:styleId="Listacommarcas2">
    <w:name w:val="List Bullet 2"/>
    <w:basedOn w:val="Normal"/>
    <w:uiPriority w:val="99"/>
    <w:unhideWhenUsed/>
    <w:qFormat/>
    <w:rsid w:val="007452A0"/>
    <w:pPr>
      <w:spacing w:after="0" w:line="240" w:lineRule="auto"/>
      <w:contextualSpacing/>
    </w:pPr>
    <w:rPr>
      <w:rFonts w:cs="Times New Roman"/>
      <w:color w:val="00000A"/>
    </w:rPr>
  </w:style>
  <w:style w:type="paragraph" w:styleId="Primeiroavanodecorpodetexto2">
    <w:name w:val="Body Text First Indent 2"/>
    <w:basedOn w:val="Avanodecorpodetexto"/>
    <w:link w:val="Primeiroavanodecorpodetexto2Carcter"/>
    <w:uiPriority w:val="99"/>
    <w:unhideWhenUsed/>
    <w:qFormat/>
    <w:rsid w:val="007452A0"/>
    <w:pPr>
      <w:spacing w:after="0"/>
      <w:ind w:left="360" w:firstLine="360"/>
    </w:pPr>
  </w:style>
  <w:style w:type="character" w:customStyle="1" w:styleId="Primeiroavanodecorpodetexto2Carcter1">
    <w:name w:val="Primeiro avanço de corpo de texto 2 Carácter1"/>
    <w:basedOn w:val="AvanodecorpodetextoCarcter1"/>
    <w:uiPriority w:val="99"/>
    <w:semiHidden/>
    <w:rsid w:val="007452A0"/>
  </w:style>
  <w:style w:type="paragraph" w:styleId="Textodenotadefim">
    <w:name w:val="endnote text"/>
    <w:basedOn w:val="Normal"/>
    <w:link w:val="TextodenotadefimCarcter"/>
    <w:uiPriority w:val="99"/>
    <w:semiHidden/>
    <w:unhideWhenUsed/>
    <w:qFormat/>
    <w:rsid w:val="007452A0"/>
    <w:pPr>
      <w:spacing w:after="0" w:line="240" w:lineRule="auto"/>
    </w:pPr>
    <w:rPr>
      <w:rFonts w:ascii="Calibri" w:hAnsi="Calibri" w:cs="Times New Roman"/>
      <w:sz w:val="20"/>
      <w:szCs w:val="20"/>
    </w:rPr>
  </w:style>
  <w:style w:type="character" w:customStyle="1" w:styleId="TextodenotadefimCarcter1">
    <w:name w:val="Texto de nota de fim Carácter1"/>
    <w:basedOn w:val="Tipodeletrapredefinidodopargrafo"/>
    <w:uiPriority w:val="99"/>
    <w:semiHidden/>
    <w:rsid w:val="007452A0"/>
    <w:rPr>
      <w:sz w:val="20"/>
      <w:szCs w:val="20"/>
    </w:rPr>
  </w:style>
  <w:style w:type="paragraph" w:customStyle="1" w:styleId="Notaderodap">
    <w:name w:val="Nota de rodapé"/>
    <w:basedOn w:val="Normal"/>
    <w:rsid w:val="007452A0"/>
    <w:pPr>
      <w:spacing w:after="0" w:line="240" w:lineRule="auto"/>
    </w:pPr>
    <w:rPr>
      <w:rFonts w:cs="Times New Roman"/>
      <w:color w:val="00000A"/>
    </w:rPr>
  </w:style>
  <w:style w:type="paragraph" w:styleId="Assuntodecomentrio">
    <w:name w:val="annotation subject"/>
    <w:basedOn w:val="Textodecomentrio"/>
    <w:next w:val="Textodecomentrio"/>
    <w:link w:val="AssuntodecomentrioCarcter"/>
    <w:uiPriority w:val="99"/>
    <w:semiHidden/>
    <w:unhideWhenUsed/>
    <w:rsid w:val="007452A0"/>
    <w:rPr>
      <w:b/>
      <w:bCs/>
    </w:rPr>
  </w:style>
  <w:style w:type="character" w:customStyle="1" w:styleId="AssuntodecomentrioCarcter">
    <w:name w:val="Assunto de comentário Carácter"/>
    <w:basedOn w:val="TextodecomentrioCarcter"/>
    <w:link w:val="Assuntodecomentrio"/>
    <w:uiPriority w:val="99"/>
    <w:semiHidden/>
    <w:rsid w:val="007452A0"/>
    <w:rPr>
      <w:rFonts w:ascii="Calibri" w:hAnsi="Calibri" w:cs="Times New Roman"/>
      <w:b/>
      <w:bCs/>
      <w:sz w:val="20"/>
      <w:szCs w:val="20"/>
    </w:rPr>
  </w:style>
  <w:style w:type="character" w:customStyle="1" w:styleId="ita2">
    <w:name w:val="ita2"/>
    <w:basedOn w:val="Tipodeletrapredefinidodopargrafo"/>
    <w:rsid w:val="007452A0"/>
    <w:rPr>
      <w:i/>
      <w:iCs/>
    </w:rPr>
  </w:style>
  <w:style w:type="paragraph" w:styleId="Reviso">
    <w:name w:val="Revision"/>
    <w:hidden/>
    <w:uiPriority w:val="99"/>
    <w:semiHidden/>
    <w:rsid w:val="007452A0"/>
    <w:pPr>
      <w:spacing w:after="0" w:line="240" w:lineRule="auto"/>
    </w:pPr>
    <w:rPr>
      <w:rFonts w:cs="Times New Roman"/>
      <w:color w:val="00000A"/>
    </w:rPr>
  </w:style>
  <w:style w:type="character" w:customStyle="1" w:styleId="Cabealho1Carcter1">
    <w:name w:val="Cabeçalho 1 Carácter1"/>
    <w:basedOn w:val="Tipodeletrapredefinidodopargrafo"/>
    <w:uiPriority w:val="9"/>
    <w:rsid w:val="007452A0"/>
    <w:rPr>
      <w:rFonts w:asciiTheme="majorHAnsi" w:eastAsiaTheme="majorEastAsia" w:hAnsiTheme="majorHAnsi" w:cstheme="majorBidi"/>
      <w:b/>
      <w:bCs/>
      <w:color w:val="365F91" w:themeColor="accent1" w:themeShade="BF"/>
      <w:sz w:val="28"/>
      <w:szCs w:val="28"/>
    </w:rPr>
  </w:style>
  <w:style w:type="character" w:customStyle="1" w:styleId="Cabealho3Carcter1">
    <w:name w:val="Cabeçalho 3 Carácter1"/>
    <w:basedOn w:val="Tipodeletrapredefinidodopargrafo"/>
    <w:link w:val="Cabealho3"/>
    <w:uiPriority w:val="9"/>
    <w:semiHidden/>
    <w:rsid w:val="007452A0"/>
    <w:rPr>
      <w:rFonts w:asciiTheme="majorHAnsi" w:eastAsiaTheme="majorEastAsia" w:hAnsiTheme="majorHAnsi" w:cstheme="majorBidi"/>
      <w:b/>
      <w:bCs/>
      <w:color w:val="4F81BD" w:themeColor="accent1"/>
    </w:rPr>
  </w:style>
  <w:style w:type="character" w:customStyle="1" w:styleId="Cabealho5Carcter1">
    <w:name w:val="Cabeçalho 5 Carácter1"/>
    <w:basedOn w:val="Tipodeletrapredefinidodopargrafo"/>
    <w:link w:val="Cabealho5"/>
    <w:uiPriority w:val="9"/>
    <w:semiHidden/>
    <w:rsid w:val="007452A0"/>
    <w:rPr>
      <w:rFonts w:asciiTheme="majorHAnsi" w:eastAsiaTheme="majorEastAsia" w:hAnsiTheme="majorHAnsi" w:cstheme="majorBidi"/>
      <w:color w:val="243F60" w:themeColor="accent1" w:themeShade="7F"/>
    </w:rPr>
  </w:style>
  <w:style w:type="paragraph" w:styleId="Textosimples">
    <w:name w:val="Plain Text"/>
    <w:basedOn w:val="Normal"/>
    <w:link w:val="TextosimplesCarcter"/>
    <w:uiPriority w:val="99"/>
    <w:unhideWhenUsed/>
    <w:rsid w:val="007452A0"/>
    <w:pPr>
      <w:spacing w:after="0" w:line="240" w:lineRule="auto"/>
    </w:pPr>
    <w:rPr>
      <w:rFonts w:ascii="Calibri" w:hAnsi="Calibri" w:cs="Times New Roman"/>
    </w:rPr>
  </w:style>
  <w:style w:type="character" w:customStyle="1" w:styleId="TextosimplesCarcter">
    <w:name w:val="Texto simples Carácter"/>
    <w:basedOn w:val="Tipodeletrapredefinidodopargrafo"/>
    <w:link w:val="Textosimples"/>
    <w:uiPriority w:val="99"/>
    <w:rsid w:val="007452A0"/>
    <w:rPr>
      <w:rFonts w:ascii="Calibri" w:hAnsi="Calibri" w:cs="Times New Roman"/>
    </w:rPr>
  </w:style>
  <w:style w:type="character" w:customStyle="1" w:styleId="Hiperligao1">
    <w:name w:val="Hiperligação1"/>
    <w:basedOn w:val="Tipodeletrapredefinidodopargrafo"/>
    <w:uiPriority w:val="99"/>
    <w:unhideWhenUsed/>
    <w:rsid w:val="007452A0"/>
    <w:rPr>
      <w:color w:val="0000FF"/>
      <w:u w:val="single"/>
    </w:rPr>
  </w:style>
  <w:style w:type="character" w:styleId="nfase">
    <w:name w:val="Emphasis"/>
    <w:basedOn w:val="Tipodeletrapredefinidodopargrafo"/>
    <w:uiPriority w:val="20"/>
    <w:qFormat/>
    <w:rsid w:val="00A30225"/>
    <w:rPr>
      <w:i/>
      <w:iCs/>
    </w:rPr>
  </w:style>
  <w:style w:type="table" w:styleId="Tabelacomgrelha">
    <w:name w:val="Table Grid"/>
    <w:basedOn w:val="Tabelanormal"/>
    <w:uiPriority w:val="59"/>
    <w:rsid w:val="00B412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Tipodeletrapredefinidodopargrafo"/>
    <w:uiPriority w:val="99"/>
    <w:semiHidden/>
    <w:unhideWhenUsed/>
    <w:rsid w:val="00812E6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qFormat="1"/>
    <w:lsdException w:name="caption" w:uiPriority="35" w:qFormat="1"/>
    <w:lsdException w:name="table of figures" w:qFormat="1"/>
    <w:lsdException w:name="footnote reference" w:uiPriority="0" w:qFormat="1"/>
    <w:lsdException w:name="annotation reference" w:qFormat="1"/>
    <w:lsdException w:name="endnote reference" w:qFormat="1"/>
    <w:lsdException w:name="endnote text" w:qFormat="1"/>
    <w:lsdException w:name="List" w:uiPriority="0"/>
    <w:lsdException w:name="List Bullet 2" w:qFormat="1"/>
    <w:lsdException w:name="Title" w:semiHidden="0" w:uiPriority="10" w:unhideWhenUsed="0" w:qFormat="1"/>
    <w:lsdException w:name="Default Paragraph Font" w:uiPriority="1"/>
    <w:lsdException w:name="Subtitle" w:semiHidden="0" w:uiPriority="11" w:unhideWhenUsed="0" w:qFormat="1"/>
    <w:lsdException w:name="Body Text First Indent 2" w:qFormat="1"/>
    <w:lsdException w:name="FollowedHyperlink"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30D8"/>
  </w:style>
  <w:style w:type="paragraph" w:styleId="Cabealho1">
    <w:name w:val="heading 1"/>
    <w:basedOn w:val="Normal"/>
    <w:next w:val="Normal"/>
    <w:link w:val="Cabealho1Carcter"/>
    <w:uiPriority w:val="9"/>
    <w:qFormat/>
    <w:rsid w:val="00926C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abealho3">
    <w:name w:val="heading 3"/>
    <w:basedOn w:val="Normal"/>
    <w:next w:val="Normal"/>
    <w:link w:val="Cabealho3Carcter1"/>
    <w:uiPriority w:val="9"/>
    <w:semiHidden/>
    <w:unhideWhenUsed/>
    <w:qFormat/>
    <w:rsid w:val="007452A0"/>
    <w:pPr>
      <w:keepNext/>
      <w:keepLines/>
      <w:spacing w:before="200" w:after="0" w:line="240" w:lineRule="auto"/>
      <w:outlineLvl w:val="2"/>
    </w:pPr>
    <w:rPr>
      <w:rFonts w:asciiTheme="majorHAnsi" w:eastAsiaTheme="majorEastAsia" w:hAnsiTheme="majorHAnsi" w:cstheme="majorBidi"/>
      <w:b/>
      <w:bCs/>
      <w:color w:val="4F81BD" w:themeColor="accent1"/>
    </w:rPr>
  </w:style>
  <w:style w:type="paragraph" w:styleId="Cabealho4">
    <w:name w:val="heading 4"/>
    <w:basedOn w:val="Normal"/>
    <w:next w:val="Normal"/>
    <w:link w:val="Cabealho4Carcter"/>
    <w:uiPriority w:val="9"/>
    <w:semiHidden/>
    <w:unhideWhenUsed/>
    <w:qFormat/>
    <w:rsid w:val="00926C20"/>
    <w:pPr>
      <w:keepNext/>
      <w:keepLines/>
      <w:spacing w:before="200" w:after="0"/>
      <w:outlineLvl w:val="3"/>
    </w:pPr>
    <w:rPr>
      <w:rFonts w:asciiTheme="majorHAnsi" w:eastAsiaTheme="majorEastAsia" w:hAnsiTheme="majorHAnsi" w:cstheme="majorBidi"/>
      <w:b/>
      <w:bCs/>
      <w:i/>
      <w:iCs/>
      <w:color w:val="4F81BD" w:themeColor="accent1"/>
    </w:rPr>
  </w:style>
  <w:style w:type="paragraph" w:styleId="Cabealho5">
    <w:name w:val="heading 5"/>
    <w:basedOn w:val="Normal"/>
    <w:next w:val="Normal"/>
    <w:link w:val="Cabealho5Carcter1"/>
    <w:uiPriority w:val="9"/>
    <w:semiHidden/>
    <w:unhideWhenUsed/>
    <w:qFormat/>
    <w:rsid w:val="007452A0"/>
    <w:pPr>
      <w:keepNext/>
      <w:keepLines/>
      <w:spacing w:before="200" w:after="0" w:line="240" w:lineRule="auto"/>
      <w:outlineLvl w:val="4"/>
    </w:pPr>
    <w:rPr>
      <w:rFonts w:asciiTheme="majorHAnsi" w:eastAsiaTheme="majorEastAsia" w:hAnsiTheme="majorHAnsi" w:cstheme="majorBidi"/>
      <w:color w:val="243F60" w:themeColor="accent1" w:themeShade="7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arcter"/>
    <w:uiPriority w:val="34"/>
    <w:qFormat/>
    <w:rsid w:val="00471326"/>
    <w:pPr>
      <w:ind w:left="720"/>
      <w:contextualSpacing/>
    </w:pPr>
  </w:style>
  <w:style w:type="paragraph" w:styleId="Cabealho">
    <w:name w:val="header"/>
    <w:basedOn w:val="Normal"/>
    <w:link w:val="CabealhoCarcter"/>
    <w:uiPriority w:val="99"/>
    <w:unhideWhenUsed/>
    <w:rsid w:val="001D496E"/>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qFormat/>
    <w:rsid w:val="001D496E"/>
  </w:style>
  <w:style w:type="paragraph" w:styleId="Rodap">
    <w:name w:val="footer"/>
    <w:basedOn w:val="Normal"/>
    <w:link w:val="RodapCarcter"/>
    <w:uiPriority w:val="99"/>
    <w:unhideWhenUsed/>
    <w:rsid w:val="001D496E"/>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qFormat/>
    <w:rsid w:val="001D496E"/>
  </w:style>
  <w:style w:type="numbering" w:customStyle="1" w:styleId="Estilo1">
    <w:name w:val="Estilo1"/>
    <w:uiPriority w:val="99"/>
    <w:rsid w:val="008C777F"/>
    <w:pPr>
      <w:numPr>
        <w:numId w:val="2"/>
      </w:numPr>
    </w:pPr>
  </w:style>
  <w:style w:type="numbering" w:customStyle="1" w:styleId="Estilo2">
    <w:name w:val="Estilo2"/>
    <w:uiPriority w:val="99"/>
    <w:rsid w:val="008C777F"/>
    <w:pPr>
      <w:numPr>
        <w:numId w:val="3"/>
      </w:numPr>
    </w:pPr>
  </w:style>
  <w:style w:type="character" w:customStyle="1" w:styleId="Cabealho1Carcter">
    <w:name w:val="Cabeçalho 1 Carácter"/>
    <w:basedOn w:val="Tipodeletrapredefinidodopargrafo"/>
    <w:link w:val="Cabealho1"/>
    <w:uiPriority w:val="9"/>
    <w:qFormat/>
    <w:rsid w:val="00926C20"/>
    <w:rPr>
      <w:rFonts w:asciiTheme="majorHAnsi" w:eastAsiaTheme="majorEastAsia" w:hAnsiTheme="majorHAnsi" w:cstheme="majorBidi"/>
      <w:b/>
      <w:bCs/>
      <w:color w:val="365F91" w:themeColor="accent1" w:themeShade="BF"/>
      <w:sz w:val="28"/>
      <w:szCs w:val="28"/>
    </w:rPr>
  </w:style>
  <w:style w:type="paragraph" w:styleId="Ttulodondice">
    <w:name w:val="TOC Heading"/>
    <w:basedOn w:val="Cabealho1"/>
    <w:next w:val="Normal"/>
    <w:uiPriority w:val="39"/>
    <w:unhideWhenUsed/>
    <w:qFormat/>
    <w:rsid w:val="00926C20"/>
    <w:pPr>
      <w:outlineLvl w:val="9"/>
    </w:pPr>
    <w:rPr>
      <w:lang w:eastAsia="pt-PT"/>
    </w:rPr>
  </w:style>
  <w:style w:type="paragraph" w:styleId="Textodebalo">
    <w:name w:val="Balloon Text"/>
    <w:basedOn w:val="Normal"/>
    <w:link w:val="TextodebaloCarcter"/>
    <w:uiPriority w:val="99"/>
    <w:semiHidden/>
    <w:unhideWhenUsed/>
    <w:qFormat/>
    <w:rsid w:val="00926C20"/>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qFormat/>
    <w:rsid w:val="00926C20"/>
    <w:rPr>
      <w:rFonts w:ascii="Tahoma" w:hAnsi="Tahoma" w:cs="Tahoma"/>
      <w:sz w:val="16"/>
      <w:szCs w:val="16"/>
    </w:rPr>
  </w:style>
  <w:style w:type="character" w:customStyle="1" w:styleId="Cabealho4Carcter">
    <w:name w:val="Cabeçalho 4 Carácter"/>
    <w:basedOn w:val="Tipodeletrapredefinidodopargrafo"/>
    <w:link w:val="Cabealho4"/>
    <w:uiPriority w:val="9"/>
    <w:semiHidden/>
    <w:qFormat/>
    <w:rsid w:val="00926C20"/>
    <w:rPr>
      <w:rFonts w:asciiTheme="majorHAnsi" w:eastAsiaTheme="majorEastAsia" w:hAnsiTheme="majorHAnsi" w:cstheme="majorBidi"/>
      <w:b/>
      <w:bCs/>
      <w:i/>
      <w:iCs/>
      <w:color w:val="4F81BD" w:themeColor="accent1"/>
    </w:rPr>
  </w:style>
  <w:style w:type="paragraph" w:styleId="ndice1">
    <w:name w:val="toc 1"/>
    <w:basedOn w:val="Normal"/>
    <w:next w:val="Normal"/>
    <w:autoRedefine/>
    <w:uiPriority w:val="39"/>
    <w:unhideWhenUsed/>
    <w:qFormat/>
    <w:rsid w:val="00FE4D53"/>
    <w:pPr>
      <w:tabs>
        <w:tab w:val="left" w:pos="709"/>
        <w:tab w:val="right" w:leader="dot" w:pos="10196"/>
      </w:tabs>
      <w:spacing w:after="100"/>
      <w:ind w:left="1843" w:hanging="1843"/>
    </w:pPr>
  </w:style>
  <w:style w:type="character" w:styleId="Hiperligao">
    <w:name w:val="Hyperlink"/>
    <w:basedOn w:val="Tipodeletrapredefinidodopargrafo"/>
    <w:uiPriority w:val="99"/>
    <w:unhideWhenUsed/>
    <w:rsid w:val="000A0A9D"/>
    <w:rPr>
      <w:color w:val="0000FF" w:themeColor="hyperlink"/>
      <w:u w:val="single"/>
    </w:rPr>
  </w:style>
  <w:style w:type="paragraph" w:customStyle="1" w:styleId="Contedodamoldura">
    <w:name w:val="Conteúdo da moldura"/>
    <w:basedOn w:val="Normal"/>
    <w:qFormat/>
    <w:rsid w:val="0003622E"/>
    <w:pPr>
      <w:spacing w:after="0" w:line="240" w:lineRule="auto"/>
    </w:pPr>
    <w:rPr>
      <w:rFonts w:cs="Times New Roman"/>
      <w:color w:val="00000A"/>
    </w:rPr>
  </w:style>
  <w:style w:type="paragraph" w:customStyle="1" w:styleId="Default">
    <w:name w:val="Default"/>
    <w:qFormat/>
    <w:rsid w:val="0003622E"/>
    <w:pPr>
      <w:autoSpaceDE w:val="0"/>
      <w:autoSpaceDN w:val="0"/>
      <w:adjustRightInd w:val="0"/>
      <w:spacing w:after="0" w:line="240" w:lineRule="auto"/>
    </w:pPr>
    <w:rPr>
      <w:rFonts w:ascii="Calibri" w:hAnsi="Calibri" w:cs="Calibri"/>
      <w:color w:val="000000"/>
      <w:sz w:val="24"/>
      <w:szCs w:val="24"/>
    </w:rPr>
  </w:style>
  <w:style w:type="paragraph" w:styleId="ndice2">
    <w:name w:val="toc 2"/>
    <w:basedOn w:val="Normal"/>
    <w:next w:val="Normal"/>
    <w:autoRedefine/>
    <w:uiPriority w:val="39"/>
    <w:unhideWhenUsed/>
    <w:qFormat/>
    <w:rsid w:val="00EC794F"/>
    <w:pPr>
      <w:tabs>
        <w:tab w:val="left" w:pos="993"/>
        <w:tab w:val="right" w:leader="dot" w:pos="10196"/>
      </w:tabs>
      <w:spacing w:after="100"/>
      <w:ind w:left="1843" w:hanging="1623"/>
    </w:pPr>
  </w:style>
  <w:style w:type="paragraph" w:styleId="ndice3">
    <w:name w:val="toc 3"/>
    <w:basedOn w:val="Normal"/>
    <w:next w:val="Normal"/>
    <w:autoRedefine/>
    <w:uiPriority w:val="39"/>
    <w:unhideWhenUsed/>
    <w:qFormat/>
    <w:rsid w:val="000F5EB4"/>
    <w:pPr>
      <w:tabs>
        <w:tab w:val="left" w:pos="1560"/>
        <w:tab w:val="right" w:leader="dot" w:pos="10196"/>
      </w:tabs>
      <w:spacing w:after="100"/>
      <w:ind w:left="1843" w:hanging="1134"/>
    </w:pPr>
    <w:rPr>
      <w:rFonts w:ascii="Calibri" w:hAnsi="Calibri" w:cs="Times New Roman"/>
      <w:b/>
      <w:noProof/>
      <w:color w:val="000000" w:themeColor="text1"/>
    </w:rPr>
  </w:style>
  <w:style w:type="paragraph" w:styleId="ndice4">
    <w:name w:val="toc 4"/>
    <w:basedOn w:val="Normal"/>
    <w:next w:val="Normal"/>
    <w:autoRedefine/>
    <w:uiPriority w:val="39"/>
    <w:unhideWhenUsed/>
    <w:rsid w:val="005D6A45"/>
    <w:pPr>
      <w:tabs>
        <w:tab w:val="left" w:pos="1760"/>
        <w:tab w:val="right" w:leader="dot" w:pos="10196"/>
      </w:tabs>
      <w:spacing w:after="100"/>
      <w:ind w:left="1843" w:hanging="709"/>
    </w:pPr>
    <w:rPr>
      <w:rFonts w:ascii="Calibri" w:hAnsi="Calibri" w:cs="Calibri"/>
      <w:noProof/>
    </w:rPr>
  </w:style>
  <w:style w:type="paragraph" w:styleId="ndice5">
    <w:name w:val="toc 5"/>
    <w:basedOn w:val="Normal"/>
    <w:next w:val="Normal"/>
    <w:autoRedefine/>
    <w:uiPriority w:val="39"/>
    <w:unhideWhenUsed/>
    <w:rsid w:val="00FE4D53"/>
    <w:pPr>
      <w:tabs>
        <w:tab w:val="left" w:leader="dot" w:pos="1701"/>
      </w:tabs>
      <w:spacing w:after="100"/>
      <w:ind w:left="2124"/>
    </w:pPr>
  </w:style>
  <w:style w:type="character" w:customStyle="1" w:styleId="PargrafodaListaCarcter">
    <w:name w:val="Parágrafo da Lista Carácter"/>
    <w:basedOn w:val="Tipodeletrapredefinidodopargrafo"/>
    <w:link w:val="PargrafodaLista"/>
    <w:uiPriority w:val="34"/>
    <w:qFormat/>
    <w:rsid w:val="00945E43"/>
  </w:style>
  <w:style w:type="paragraph" w:styleId="Legenda">
    <w:name w:val="caption"/>
    <w:basedOn w:val="Normal"/>
    <w:next w:val="Normal"/>
    <w:uiPriority w:val="35"/>
    <w:unhideWhenUsed/>
    <w:qFormat/>
    <w:rsid w:val="00945E43"/>
    <w:pPr>
      <w:spacing w:line="240" w:lineRule="auto"/>
    </w:pPr>
    <w:rPr>
      <w:rFonts w:cs="Times New Roman"/>
      <w:b/>
      <w:bCs/>
      <w:color w:val="4F81BD" w:themeColor="accent1"/>
      <w:sz w:val="18"/>
      <w:szCs w:val="18"/>
    </w:rPr>
  </w:style>
  <w:style w:type="character" w:customStyle="1" w:styleId="TextodenotaderodapCarcter">
    <w:name w:val="Texto de nota de rodapé Carácter"/>
    <w:basedOn w:val="Tipodeletrapredefinidodopargrafo"/>
    <w:link w:val="Textodenotaderodap"/>
    <w:qFormat/>
    <w:rsid w:val="001E1FB9"/>
    <w:rPr>
      <w:rFonts w:eastAsia="Times New Roman" w:cs="Times New Roman"/>
      <w:sz w:val="20"/>
      <w:szCs w:val="20"/>
      <w:lang w:eastAsia="pt-PT"/>
    </w:rPr>
  </w:style>
  <w:style w:type="character" w:styleId="Refdenotaderodap">
    <w:name w:val="footnote reference"/>
    <w:qFormat/>
    <w:rsid w:val="001E1FB9"/>
    <w:rPr>
      <w:vertAlign w:val="superscript"/>
    </w:rPr>
  </w:style>
  <w:style w:type="character" w:customStyle="1" w:styleId="NotaRodapChar">
    <w:name w:val="NotaRodapé Char"/>
    <w:basedOn w:val="TextodenotaderodapCarcter"/>
    <w:link w:val="NotaRodap"/>
    <w:qFormat/>
    <w:rsid w:val="001E1FB9"/>
    <w:rPr>
      <w:rFonts w:ascii="Calibri" w:eastAsia="Times New Roman" w:hAnsi="Calibri" w:cs="Times New Roman"/>
      <w:sz w:val="18"/>
      <w:szCs w:val="20"/>
      <w:lang w:eastAsia="pt-PT"/>
    </w:rPr>
  </w:style>
  <w:style w:type="paragraph" w:styleId="Textodenotaderodap">
    <w:name w:val="footnote text"/>
    <w:basedOn w:val="Normal"/>
    <w:link w:val="TextodenotaderodapCarcter"/>
    <w:qFormat/>
    <w:rsid w:val="001E1FB9"/>
    <w:pPr>
      <w:spacing w:after="0" w:line="240" w:lineRule="auto"/>
      <w:ind w:firstLine="284"/>
      <w:jc w:val="both"/>
    </w:pPr>
    <w:rPr>
      <w:rFonts w:eastAsia="Times New Roman" w:cs="Times New Roman"/>
      <w:sz w:val="20"/>
      <w:szCs w:val="20"/>
      <w:lang w:eastAsia="pt-PT"/>
    </w:rPr>
  </w:style>
  <w:style w:type="character" w:customStyle="1" w:styleId="TextodenotaderodapCarcter1">
    <w:name w:val="Texto de nota de rodapé Carácter1"/>
    <w:basedOn w:val="Tipodeletrapredefinidodopargrafo"/>
    <w:uiPriority w:val="99"/>
    <w:semiHidden/>
    <w:rsid w:val="001E1FB9"/>
    <w:rPr>
      <w:sz w:val="20"/>
      <w:szCs w:val="20"/>
    </w:rPr>
  </w:style>
  <w:style w:type="paragraph" w:customStyle="1" w:styleId="NotaRodap">
    <w:name w:val="NotaRodapé"/>
    <w:basedOn w:val="Textodenotaderodap"/>
    <w:link w:val="NotaRodapChar"/>
    <w:qFormat/>
    <w:rsid w:val="001E1FB9"/>
    <w:pPr>
      <w:tabs>
        <w:tab w:val="left" w:pos="284"/>
      </w:tabs>
      <w:ind w:left="284" w:hanging="284"/>
    </w:pPr>
    <w:rPr>
      <w:rFonts w:ascii="Calibri" w:hAnsi="Calibri"/>
      <w:sz w:val="18"/>
    </w:rPr>
  </w:style>
  <w:style w:type="paragraph" w:styleId="ndice6">
    <w:name w:val="toc 6"/>
    <w:basedOn w:val="Normal"/>
    <w:next w:val="Normal"/>
    <w:autoRedefine/>
    <w:uiPriority w:val="39"/>
    <w:unhideWhenUsed/>
    <w:rsid w:val="00F75117"/>
    <w:pPr>
      <w:spacing w:after="100"/>
      <w:ind w:left="1100"/>
    </w:pPr>
    <w:rPr>
      <w:rFonts w:eastAsiaTheme="minorEastAsia"/>
      <w:lang w:eastAsia="pt-PT"/>
    </w:rPr>
  </w:style>
  <w:style w:type="paragraph" w:styleId="ndice7">
    <w:name w:val="toc 7"/>
    <w:basedOn w:val="Normal"/>
    <w:next w:val="Normal"/>
    <w:autoRedefine/>
    <w:uiPriority w:val="39"/>
    <w:unhideWhenUsed/>
    <w:rsid w:val="00F75117"/>
    <w:pPr>
      <w:spacing w:after="100"/>
      <w:ind w:left="1320"/>
    </w:pPr>
    <w:rPr>
      <w:rFonts w:eastAsiaTheme="minorEastAsia"/>
      <w:lang w:eastAsia="pt-PT"/>
    </w:rPr>
  </w:style>
  <w:style w:type="paragraph" w:styleId="ndice8">
    <w:name w:val="toc 8"/>
    <w:basedOn w:val="Normal"/>
    <w:next w:val="Normal"/>
    <w:autoRedefine/>
    <w:uiPriority w:val="39"/>
    <w:unhideWhenUsed/>
    <w:rsid w:val="00F75117"/>
    <w:pPr>
      <w:spacing w:after="100"/>
      <w:ind w:left="1540"/>
    </w:pPr>
    <w:rPr>
      <w:rFonts w:eastAsiaTheme="minorEastAsia"/>
      <w:lang w:eastAsia="pt-PT"/>
    </w:rPr>
  </w:style>
  <w:style w:type="paragraph" w:styleId="ndice9">
    <w:name w:val="toc 9"/>
    <w:basedOn w:val="Normal"/>
    <w:next w:val="Normal"/>
    <w:autoRedefine/>
    <w:uiPriority w:val="39"/>
    <w:unhideWhenUsed/>
    <w:rsid w:val="00F75117"/>
    <w:pPr>
      <w:spacing w:after="100"/>
      <w:ind w:left="1760"/>
    </w:pPr>
    <w:rPr>
      <w:rFonts w:eastAsiaTheme="minorEastAsia"/>
      <w:lang w:eastAsia="pt-PT"/>
    </w:rPr>
  </w:style>
  <w:style w:type="character" w:styleId="Refdecomentrio">
    <w:name w:val="annotation reference"/>
    <w:basedOn w:val="Tipodeletrapredefinidodopargrafo"/>
    <w:uiPriority w:val="99"/>
    <w:semiHidden/>
    <w:unhideWhenUsed/>
    <w:qFormat/>
    <w:rsid w:val="00F75117"/>
    <w:rPr>
      <w:sz w:val="16"/>
      <w:szCs w:val="16"/>
    </w:rPr>
  </w:style>
  <w:style w:type="character" w:customStyle="1" w:styleId="TextodecomentrioCarcter">
    <w:name w:val="Texto de comentário Carácter"/>
    <w:basedOn w:val="Tipodeletrapredefinidodopargrafo"/>
    <w:link w:val="Textodecomentrio"/>
    <w:uiPriority w:val="99"/>
    <w:qFormat/>
    <w:rsid w:val="00F75117"/>
    <w:rPr>
      <w:rFonts w:ascii="Calibri" w:hAnsi="Calibri" w:cs="Times New Roman"/>
      <w:sz w:val="20"/>
      <w:szCs w:val="20"/>
    </w:rPr>
  </w:style>
  <w:style w:type="character" w:customStyle="1" w:styleId="ListLabel2">
    <w:name w:val="ListLabel 2"/>
    <w:qFormat/>
    <w:rsid w:val="00F75117"/>
    <w:rPr>
      <w:rFonts w:cs="Courier New"/>
    </w:rPr>
  </w:style>
  <w:style w:type="paragraph" w:styleId="Textodecomentrio">
    <w:name w:val="annotation text"/>
    <w:basedOn w:val="Normal"/>
    <w:link w:val="TextodecomentrioCarcter"/>
    <w:uiPriority w:val="99"/>
    <w:unhideWhenUsed/>
    <w:qFormat/>
    <w:rsid w:val="00F75117"/>
    <w:pPr>
      <w:spacing w:after="0" w:line="240" w:lineRule="auto"/>
    </w:pPr>
    <w:rPr>
      <w:rFonts w:ascii="Calibri" w:hAnsi="Calibri" w:cs="Times New Roman"/>
      <w:sz w:val="20"/>
      <w:szCs w:val="20"/>
    </w:rPr>
  </w:style>
  <w:style w:type="character" w:customStyle="1" w:styleId="TextodecomentrioCarcter1">
    <w:name w:val="Texto de comentário Carácter1"/>
    <w:basedOn w:val="Tipodeletrapredefinidodopargrafo"/>
    <w:uiPriority w:val="99"/>
    <w:semiHidden/>
    <w:rsid w:val="00F75117"/>
    <w:rPr>
      <w:sz w:val="20"/>
      <w:szCs w:val="20"/>
    </w:rPr>
  </w:style>
  <w:style w:type="character" w:customStyle="1" w:styleId="LigaodeInternet">
    <w:name w:val="Ligação de Internet"/>
    <w:basedOn w:val="Tipodeletrapredefinidodopargrafo"/>
    <w:uiPriority w:val="99"/>
    <w:unhideWhenUsed/>
    <w:rsid w:val="00B66DE9"/>
    <w:rPr>
      <w:color w:val="0000FF" w:themeColor="hyperlink"/>
      <w:u w:val="single"/>
    </w:rPr>
  </w:style>
  <w:style w:type="character" w:customStyle="1" w:styleId="ListLabel4">
    <w:name w:val="ListLabel 4"/>
    <w:qFormat/>
    <w:rsid w:val="003A2FD6"/>
    <w:rPr>
      <w:color w:val="00000A"/>
    </w:rPr>
  </w:style>
  <w:style w:type="character" w:customStyle="1" w:styleId="apple-converted-space">
    <w:name w:val="apple-converted-space"/>
    <w:basedOn w:val="Tipodeletrapredefinidodopargrafo"/>
    <w:qFormat/>
    <w:rsid w:val="00253CEF"/>
  </w:style>
  <w:style w:type="character" w:customStyle="1" w:styleId="ListLabel3">
    <w:name w:val="ListLabel 3"/>
    <w:qFormat/>
    <w:rsid w:val="00253CEF"/>
    <w:rPr>
      <w:strike w:val="0"/>
      <w:dstrike w:val="0"/>
      <w:sz w:val="24"/>
    </w:rPr>
  </w:style>
  <w:style w:type="character" w:customStyle="1" w:styleId="Cabealho3Carcter">
    <w:name w:val="Cabeçalho 3 Carácter"/>
    <w:basedOn w:val="Tipodeletrapredefinidodopargrafo"/>
    <w:link w:val="Ttulo31"/>
    <w:uiPriority w:val="9"/>
    <w:semiHidden/>
    <w:qFormat/>
    <w:rsid w:val="007452A0"/>
    <w:rPr>
      <w:rFonts w:asciiTheme="majorHAnsi" w:eastAsiaTheme="majorEastAsia" w:hAnsiTheme="majorHAnsi" w:cstheme="majorBidi"/>
      <w:b/>
      <w:bCs/>
      <w:color w:val="4F81BD" w:themeColor="accent1"/>
    </w:rPr>
  </w:style>
  <w:style w:type="character" w:customStyle="1" w:styleId="Cabealho5Carcter">
    <w:name w:val="Cabeçalho 5 Carácter"/>
    <w:basedOn w:val="Tipodeletrapredefinidodopargrafo"/>
    <w:link w:val="Ttulo51"/>
    <w:uiPriority w:val="9"/>
    <w:semiHidden/>
    <w:qFormat/>
    <w:rsid w:val="007452A0"/>
    <w:rPr>
      <w:rFonts w:asciiTheme="majorHAnsi" w:eastAsiaTheme="majorEastAsia" w:hAnsiTheme="majorHAnsi" w:cstheme="majorBidi"/>
      <w:color w:val="243F60" w:themeColor="accent1" w:themeShade="7F"/>
    </w:rPr>
  </w:style>
  <w:style w:type="numbering" w:customStyle="1" w:styleId="Semlista1">
    <w:name w:val="Sem lista1"/>
    <w:next w:val="Semlista"/>
    <w:uiPriority w:val="99"/>
    <w:semiHidden/>
    <w:unhideWhenUsed/>
    <w:rsid w:val="007452A0"/>
  </w:style>
  <w:style w:type="paragraph" w:customStyle="1" w:styleId="Ttulo11">
    <w:name w:val="Título 11"/>
    <w:basedOn w:val="Normal"/>
    <w:next w:val="Normal"/>
    <w:uiPriority w:val="9"/>
    <w:qFormat/>
    <w:rsid w:val="007452A0"/>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customStyle="1" w:styleId="Ttulo21">
    <w:name w:val="Título 21"/>
    <w:basedOn w:val="Normal"/>
    <w:next w:val="Normal"/>
    <w:link w:val="Cabealho2Carcter"/>
    <w:uiPriority w:val="9"/>
    <w:unhideWhenUsed/>
    <w:qFormat/>
    <w:rsid w:val="007452A0"/>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customStyle="1" w:styleId="Ttulo31">
    <w:name w:val="Título 31"/>
    <w:basedOn w:val="Normal"/>
    <w:next w:val="Normal"/>
    <w:link w:val="Cabealho3Carcter"/>
    <w:uiPriority w:val="9"/>
    <w:semiHidden/>
    <w:unhideWhenUsed/>
    <w:qFormat/>
    <w:rsid w:val="007452A0"/>
    <w:pPr>
      <w:keepNext/>
      <w:keepLines/>
      <w:spacing w:before="200" w:after="0" w:line="240" w:lineRule="auto"/>
      <w:outlineLvl w:val="2"/>
    </w:pPr>
    <w:rPr>
      <w:rFonts w:asciiTheme="majorHAnsi" w:eastAsiaTheme="majorEastAsia" w:hAnsiTheme="majorHAnsi" w:cstheme="majorBidi"/>
      <w:b/>
      <w:bCs/>
      <w:color w:val="4F81BD" w:themeColor="accent1"/>
    </w:rPr>
  </w:style>
  <w:style w:type="paragraph" w:customStyle="1" w:styleId="Ttulo41">
    <w:name w:val="Título 41"/>
    <w:basedOn w:val="Normal"/>
    <w:next w:val="Normal"/>
    <w:uiPriority w:val="9"/>
    <w:semiHidden/>
    <w:unhideWhenUsed/>
    <w:qFormat/>
    <w:rsid w:val="007452A0"/>
    <w:pPr>
      <w:keepNext/>
      <w:keepLines/>
      <w:spacing w:before="200" w:after="0" w:line="240" w:lineRule="auto"/>
      <w:outlineLvl w:val="3"/>
    </w:pPr>
    <w:rPr>
      <w:rFonts w:asciiTheme="majorHAnsi" w:eastAsiaTheme="majorEastAsia" w:hAnsiTheme="majorHAnsi" w:cstheme="majorBidi"/>
      <w:b/>
      <w:bCs/>
      <w:i/>
      <w:iCs/>
      <w:color w:val="4F81BD" w:themeColor="accent1"/>
    </w:rPr>
  </w:style>
  <w:style w:type="paragraph" w:customStyle="1" w:styleId="Ttulo51">
    <w:name w:val="Título 51"/>
    <w:basedOn w:val="Normal"/>
    <w:next w:val="Normal"/>
    <w:link w:val="Cabealho5Carcter"/>
    <w:uiPriority w:val="9"/>
    <w:semiHidden/>
    <w:unhideWhenUsed/>
    <w:qFormat/>
    <w:rsid w:val="007452A0"/>
    <w:pPr>
      <w:keepNext/>
      <w:keepLines/>
      <w:spacing w:before="200" w:after="0" w:line="240" w:lineRule="auto"/>
      <w:outlineLvl w:val="4"/>
    </w:pPr>
    <w:rPr>
      <w:rFonts w:asciiTheme="majorHAnsi" w:eastAsiaTheme="majorEastAsia" w:hAnsiTheme="majorHAnsi" w:cstheme="majorBidi"/>
      <w:color w:val="243F60" w:themeColor="accent1" w:themeShade="7F"/>
    </w:rPr>
  </w:style>
  <w:style w:type="paragraph" w:customStyle="1" w:styleId="Ttulo61">
    <w:name w:val="Título 61"/>
    <w:basedOn w:val="Normal"/>
    <w:next w:val="Normal"/>
    <w:link w:val="Cabealho6Carcter"/>
    <w:uiPriority w:val="9"/>
    <w:semiHidden/>
    <w:unhideWhenUsed/>
    <w:qFormat/>
    <w:rsid w:val="007452A0"/>
    <w:pPr>
      <w:keepNext/>
      <w:keepLines/>
      <w:spacing w:before="200" w:after="0" w:line="240" w:lineRule="auto"/>
      <w:outlineLvl w:val="5"/>
    </w:pPr>
    <w:rPr>
      <w:rFonts w:asciiTheme="majorHAnsi" w:eastAsiaTheme="majorEastAsia" w:hAnsiTheme="majorHAnsi" w:cstheme="majorBidi"/>
      <w:i/>
      <w:iCs/>
      <w:color w:val="243F60" w:themeColor="accent1" w:themeShade="7F"/>
    </w:rPr>
  </w:style>
  <w:style w:type="paragraph" w:customStyle="1" w:styleId="Ttulo71">
    <w:name w:val="Título 71"/>
    <w:basedOn w:val="Normal"/>
    <w:next w:val="Normal"/>
    <w:link w:val="Cabealho7Carcter"/>
    <w:uiPriority w:val="9"/>
    <w:semiHidden/>
    <w:unhideWhenUsed/>
    <w:qFormat/>
    <w:rsid w:val="007452A0"/>
    <w:pPr>
      <w:keepNext/>
      <w:keepLines/>
      <w:spacing w:before="200" w:after="0" w:line="240" w:lineRule="auto"/>
      <w:outlineLvl w:val="6"/>
    </w:pPr>
    <w:rPr>
      <w:rFonts w:asciiTheme="majorHAnsi" w:eastAsiaTheme="majorEastAsia" w:hAnsiTheme="majorHAnsi" w:cstheme="majorBidi"/>
      <w:i/>
      <w:iCs/>
      <w:color w:val="404040" w:themeColor="text1" w:themeTint="BF"/>
    </w:rPr>
  </w:style>
  <w:style w:type="character" w:customStyle="1" w:styleId="Bodytext2">
    <w:name w:val="Body text (2)_"/>
    <w:basedOn w:val="Tipodeletrapredefinidodopargrafo"/>
    <w:link w:val="Bodytext20"/>
    <w:uiPriority w:val="99"/>
    <w:qFormat/>
    <w:rsid w:val="007452A0"/>
    <w:rPr>
      <w:rFonts w:ascii="Arial" w:hAnsi="Arial" w:cs="Arial"/>
      <w:i/>
      <w:iCs/>
      <w:sz w:val="14"/>
      <w:szCs w:val="14"/>
      <w:shd w:val="clear" w:color="auto" w:fill="FFFFFF"/>
    </w:rPr>
  </w:style>
  <w:style w:type="character" w:customStyle="1" w:styleId="CorpodetextoCarcter">
    <w:name w:val="Corpo de texto Carácter"/>
    <w:basedOn w:val="Tipodeletrapredefinidodopargrafo"/>
    <w:link w:val="Corpodotexto"/>
    <w:uiPriority w:val="99"/>
    <w:qFormat/>
    <w:rsid w:val="007452A0"/>
    <w:rPr>
      <w:rFonts w:ascii="Arial" w:hAnsi="Arial" w:cs="Arial"/>
      <w:sz w:val="20"/>
      <w:szCs w:val="20"/>
      <w:shd w:val="clear" w:color="auto" w:fill="FFFFFF"/>
    </w:rPr>
  </w:style>
  <w:style w:type="character" w:customStyle="1" w:styleId="BodyTextChar">
    <w:name w:val="Body Text Char"/>
    <w:basedOn w:val="Tipodeletrapredefinidodopargrafo"/>
    <w:uiPriority w:val="99"/>
    <w:semiHidden/>
    <w:qFormat/>
    <w:rsid w:val="007452A0"/>
    <w:rPr>
      <w:rFonts w:ascii="Calibri" w:hAnsi="Calibri" w:cs="Times New Roman"/>
    </w:rPr>
  </w:style>
  <w:style w:type="character" w:customStyle="1" w:styleId="Cabealho2Carcter">
    <w:name w:val="Cabeçalho 2 Carácter"/>
    <w:basedOn w:val="Tipodeletrapredefinidodopargrafo"/>
    <w:link w:val="Ttulo21"/>
    <w:uiPriority w:val="9"/>
    <w:qFormat/>
    <w:rsid w:val="007452A0"/>
    <w:rPr>
      <w:rFonts w:asciiTheme="majorHAnsi" w:eastAsiaTheme="majorEastAsia" w:hAnsiTheme="majorHAnsi" w:cstheme="majorBidi"/>
      <w:b/>
      <w:bCs/>
      <w:color w:val="4F81BD" w:themeColor="accent1"/>
      <w:sz w:val="26"/>
      <w:szCs w:val="26"/>
    </w:rPr>
  </w:style>
  <w:style w:type="character" w:styleId="Hiperligaovisitada">
    <w:name w:val="FollowedHyperlink"/>
    <w:basedOn w:val="Tipodeletrapredefinidodopargrafo"/>
    <w:uiPriority w:val="99"/>
    <w:semiHidden/>
    <w:unhideWhenUsed/>
    <w:qFormat/>
    <w:rsid w:val="007452A0"/>
    <w:rPr>
      <w:color w:val="800080" w:themeColor="followedHyperlink"/>
      <w:u w:val="single"/>
    </w:rPr>
  </w:style>
  <w:style w:type="character" w:customStyle="1" w:styleId="PA-Tese-ICarter">
    <w:name w:val="PA-Tese-I Caráter"/>
    <w:basedOn w:val="Tipodeletrapredefinidodopargrafo"/>
    <w:qFormat/>
    <w:rsid w:val="007452A0"/>
    <w:rPr>
      <w:rFonts w:eastAsia="Times New Roman" w:cstheme="minorHAnsi"/>
      <w:sz w:val="24"/>
      <w:szCs w:val="20"/>
    </w:rPr>
  </w:style>
  <w:style w:type="character" w:customStyle="1" w:styleId="PA-Tese-RodapeCarter">
    <w:name w:val="PA-Tese-Rodape Caráter"/>
    <w:basedOn w:val="TextodenotaderodapCarcter"/>
    <w:qFormat/>
    <w:rsid w:val="007452A0"/>
    <w:rPr>
      <w:rFonts w:ascii="Verdana" w:eastAsia="Times New Roman" w:hAnsi="Verdana" w:cs="Times New Roman"/>
      <w:sz w:val="20"/>
      <w:szCs w:val="20"/>
      <w:lang w:eastAsia="zh-CN"/>
    </w:rPr>
  </w:style>
  <w:style w:type="character" w:customStyle="1" w:styleId="Tit-01Char">
    <w:name w:val="Tit-01 Char"/>
    <w:basedOn w:val="PargrafodaListaCarcter"/>
    <w:qFormat/>
    <w:rsid w:val="007452A0"/>
    <w:rPr>
      <w:rFonts w:ascii="Calibri" w:hAnsi="Calibri" w:cs="Times New Roman"/>
      <w:b/>
      <w:smallCaps/>
      <w:sz w:val="24"/>
      <w:szCs w:val="24"/>
    </w:rPr>
  </w:style>
  <w:style w:type="character" w:customStyle="1" w:styleId="Tit-02Char">
    <w:name w:val="Tit-02 Char"/>
    <w:basedOn w:val="Cabealho2Carcter"/>
    <w:qFormat/>
    <w:rsid w:val="007452A0"/>
    <w:rPr>
      <w:rFonts w:asciiTheme="majorHAnsi" w:eastAsiaTheme="majorEastAsia" w:hAnsiTheme="majorHAnsi" w:cstheme="majorBidi"/>
      <w:b/>
      <w:bCs/>
      <w:color w:val="4F81BD" w:themeColor="accent1"/>
      <w:sz w:val="23"/>
      <w:szCs w:val="23"/>
    </w:rPr>
  </w:style>
  <w:style w:type="character" w:customStyle="1" w:styleId="Tit-03Char">
    <w:name w:val="Tit-03 Char"/>
    <w:basedOn w:val="Cabealho3Carcter"/>
    <w:qFormat/>
    <w:rsid w:val="007452A0"/>
    <w:rPr>
      <w:rFonts w:asciiTheme="majorHAnsi" w:eastAsiaTheme="majorEastAsia" w:hAnsiTheme="majorHAnsi" w:cstheme="majorBidi"/>
      <w:b/>
      <w:bCs/>
      <w:color w:val="4F81BD" w:themeColor="accent1"/>
      <w:sz w:val="23"/>
      <w:szCs w:val="23"/>
    </w:rPr>
  </w:style>
  <w:style w:type="character" w:customStyle="1" w:styleId="Tit-04Char">
    <w:name w:val="Tit-04 Char"/>
    <w:basedOn w:val="PargrafodaListaCarcter"/>
    <w:qFormat/>
    <w:rsid w:val="007452A0"/>
    <w:rPr>
      <w:rFonts w:ascii="Calibri" w:hAnsi="Calibri" w:cs="Times New Roman"/>
      <w:i/>
      <w:sz w:val="23"/>
      <w:szCs w:val="23"/>
    </w:rPr>
  </w:style>
  <w:style w:type="character" w:customStyle="1" w:styleId="A3">
    <w:name w:val="A3"/>
    <w:uiPriority w:val="99"/>
    <w:qFormat/>
    <w:rsid w:val="007452A0"/>
    <w:rPr>
      <w:color w:val="000000"/>
      <w:sz w:val="20"/>
      <w:szCs w:val="20"/>
    </w:rPr>
  </w:style>
  <w:style w:type="character" w:styleId="Forte">
    <w:name w:val="Strong"/>
    <w:basedOn w:val="Tipodeletrapredefinidodopargrafo"/>
    <w:uiPriority w:val="22"/>
    <w:qFormat/>
    <w:rsid w:val="007452A0"/>
    <w:rPr>
      <w:b/>
      <w:bCs/>
    </w:rPr>
  </w:style>
  <w:style w:type="character" w:customStyle="1" w:styleId="A4">
    <w:name w:val="A4"/>
    <w:uiPriority w:val="99"/>
    <w:qFormat/>
    <w:rsid w:val="007452A0"/>
    <w:rPr>
      <w:color w:val="000000"/>
      <w:sz w:val="20"/>
      <w:szCs w:val="20"/>
    </w:rPr>
  </w:style>
  <w:style w:type="character" w:customStyle="1" w:styleId="TtuloCarcter">
    <w:name w:val="Título Carácter"/>
    <w:basedOn w:val="Tipodeletrapredefinidodopargrafo"/>
    <w:link w:val="Ttulo"/>
    <w:uiPriority w:val="10"/>
    <w:qFormat/>
    <w:rsid w:val="007452A0"/>
    <w:rPr>
      <w:rFonts w:asciiTheme="majorHAnsi" w:eastAsiaTheme="majorEastAsia" w:hAnsiTheme="majorHAnsi" w:cstheme="majorBidi"/>
      <w:color w:val="17365D" w:themeColor="text2" w:themeShade="BF"/>
      <w:spacing w:val="5"/>
      <w:sz w:val="52"/>
      <w:szCs w:val="52"/>
    </w:rPr>
  </w:style>
  <w:style w:type="character" w:customStyle="1" w:styleId="PrimeiroavanodecorpodetextoCarcter">
    <w:name w:val="Primeiro avanço de corpo de texto Carácter"/>
    <w:basedOn w:val="CorpodetextoCarcter"/>
    <w:uiPriority w:val="99"/>
    <w:qFormat/>
    <w:rsid w:val="007452A0"/>
    <w:rPr>
      <w:rFonts w:ascii="Calibri" w:hAnsi="Calibri" w:cs="Times New Roman"/>
      <w:sz w:val="20"/>
      <w:szCs w:val="20"/>
      <w:shd w:val="clear" w:color="auto" w:fill="FFFFFF"/>
    </w:rPr>
  </w:style>
  <w:style w:type="character" w:customStyle="1" w:styleId="AvanodecorpodetextoCarcter">
    <w:name w:val="Avanço de corpo de texto Carácter"/>
    <w:basedOn w:val="Tipodeletrapredefinidodopargrafo"/>
    <w:link w:val="Avanodecorpodetexto"/>
    <w:uiPriority w:val="99"/>
    <w:semiHidden/>
    <w:qFormat/>
    <w:rsid w:val="007452A0"/>
    <w:rPr>
      <w:rFonts w:ascii="Calibri" w:hAnsi="Calibri" w:cs="Times New Roman"/>
    </w:rPr>
  </w:style>
  <w:style w:type="character" w:customStyle="1" w:styleId="Primeiroavanodecorpodetexto2Carcter">
    <w:name w:val="Primeiro avanço de corpo de texto 2 Carácter"/>
    <w:basedOn w:val="AvanodecorpodetextoCarcter"/>
    <w:link w:val="Primeiroavanodecorpodetexto2"/>
    <w:uiPriority w:val="99"/>
    <w:qFormat/>
    <w:rsid w:val="007452A0"/>
    <w:rPr>
      <w:rFonts w:ascii="Calibri" w:hAnsi="Calibri" w:cs="Times New Roman"/>
    </w:rPr>
  </w:style>
  <w:style w:type="character" w:customStyle="1" w:styleId="Cabealho6Carcter">
    <w:name w:val="Cabeçalho 6 Carácter"/>
    <w:basedOn w:val="Tipodeletrapredefinidodopargrafo"/>
    <w:link w:val="Ttulo61"/>
    <w:uiPriority w:val="9"/>
    <w:semiHidden/>
    <w:qFormat/>
    <w:rsid w:val="007452A0"/>
    <w:rPr>
      <w:rFonts w:asciiTheme="majorHAnsi" w:eastAsiaTheme="majorEastAsia" w:hAnsiTheme="majorHAnsi" w:cstheme="majorBidi"/>
      <w:i/>
      <w:iCs/>
      <w:color w:val="243F60" w:themeColor="accent1" w:themeShade="7F"/>
    </w:rPr>
  </w:style>
  <w:style w:type="character" w:customStyle="1" w:styleId="Cabealho7Carcter">
    <w:name w:val="Cabeçalho 7 Carácter"/>
    <w:basedOn w:val="Tipodeletrapredefinidodopargrafo"/>
    <w:link w:val="Ttulo71"/>
    <w:uiPriority w:val="9"/>
    <w:semiHidden/>
    <w:qFormat/>
    <w:rsid w:val="007452A0"/>
    <w:rPr>
      <w:rFonts w:asciiTheme="majorHAnsi" w:eastAsiaTheme="majorEastAsia" w:hAnsiTheme="majorHAnsi" w:cstheme="majorBidi"/>
      <w:i/>
      <w:iCs/>
      <w:color w:val="404040" w:themeColor="text1" w:themeTint="BF"/>
    </w:rPr>
  </w:style>
  <w:style w:type="character" w:customStyle="1" w:styleId="TextodenotadefimCarcter">
    <w:name w:val="Texto de nota de fim Carácter"/>
    <w:basedOn w:val="Tipodeletrapredefinidodopargrafo"/>
    <w:link w:val="Textodenotadefim"/>
    <w:uiPriority w:val="99"/>
    <w:semiHidden/>
    <w:qFormat/>
    <w:rsid w:val="007452A0"/>
    <w:rPr>
      <w:rFonts w:ascii="Calibri" w:hAnsi="Calibri" w:cs="Times New Roman"/>
      <w:sz w:val="20"/>
      <w:szCs w:val="20"/>
    </w:rPr>
  </w:style>
  <w:style w:type="character" w:styleId="Refdenotadefim">
    <w:name w:val="endnote reference"/>
    <w:basedOn w:val="Tipodeletrapredefinidodopargrafo"/>
    <w:uiPriority w:val="99"/>
    <w:semiHidden/>
    <w:unhideWhenUsed/>
    <w:qFormat/>
    <w:rsid w:val="007452A0"/>
    <w:rPr>
      <w:vertAlign w:val="superscript"/>
    </w:rPr>
  </w:style>
  <w:style w:type="character" w:customStyle="1" w:styleId="ListLabel1">
    <w:name w:val="ListLabel 1"/>
    <w:qFormat/>
    <w:rsid w:val="007452A0"/>
    <w:rPr>
      <w:b/>
    </w:rPr>
  </w:style>
  <w:style w:type="character" w:customStyle="1" w:styleId="Ligaodendice">
    <w:name w:val="Ligação de índice"/>
    <w:qFormat/>
    <w:rsid w:val="007452A0"/>
  </w:style>
  <w:style w:type="character" w:customStyle="1" w:styleId="ncoradanotaderodap">
    <w:name w:val="Âncora da nota de rodapé"/>
    <w:rsid w:val="007452A0"/>
    <w:rPr>
      <w:vertAlign w:val="superscript"/>
    </w:rPr>
  </w:style>
  <w:style w:type="character" w:customStyle="1" w:styleId="Caracteresdanotaderodap">
    <w:name w:val="Caracteres da nota de rodapé"/>
    <w:qFormat/>
    <w:rsid w:val="007452A0"/>
  </w:style>
  <w:style w:type="character" w:customStyle="1" w:styleId="ncoradanotafinal">
    <w:name w:val="Âncora da nota final"/>
    <w:rsid w:val="007452A0"/>
    <w:rPr>
      <w:vertAlign w:val="superscript"/>
    </w:rPr>
  </w:style>
  <w:style w:type="character" w:customStyle="1" w:styleId="Caracteresdenotafinal">
    <w:name w:val="Caracteres de nota final"/>
    <w:qFormat/>
    <w:rsid w:val="007452A0"/>
  </w:style>
  <w:style w:type="character" w:customStyle="1" w:styleId="ListLabel5">
    <w:name w:val="ListLabel 5"/>
    <w:qFormat/>
    <w:rsid w:val="007452A0"/>
    <w:rPr>
      <w:b/>
    </w:rPr>
  </w:style>
  <w:style w:type="character" w:customStyle="1" w:styleId="ListLabel6">
    <w:name w:val="ListLabel 6"/>
    <w:qFormat/>
    <w:rsid w:val="007452A0"/>
    <w:rPr>
      <w:rFonts w:ascii="Calibri" w:hAnsi="Calibri" w:cs="Symbol"/>
      <w:b/>
      <w:sz w:val="20"/>
    </w:rPr>
  </w:style>
  <w:style w:type="character" w:customStyle="1" w:styleId="ListLabel7">
    <w:name w:val="ListLabel 7"/>
    <w:qFormat/>
    <w:rsid w:val="007452A0"/>
    <w:rPr>
      <w:rFonts w:cs="Courier New"/>
    </w:rPr>
  </w:style>
  <w:style w:type="character" w:customStyle="1" w:styleId="ListLabel8">
    <w:name w:val="ListLabel 8"/>
    <w:qFormat/>
    <w:rsid w:val="007452A0"/>
    <w:rPr>
      <w:rFonts w:ascii="Calibri" w:hAnsi="Calibri" w:cs="Wingdings"/>
      <w:b/>
      <w:sz w:val="20"/>
    </w:rPr>
  </w:style>
  <w:style w:type="character" w:customStyle="1" w:styleId="ListLabel9">
    <w:name w:val="ListLabel 9"/>
    <w:qFormat/>
    <w:rsid w:val="007452A0"/>
    <w:rPr>
      <w:rFonts w:ascii="Calibri" w:hAnsi="Calibri" w:cs="Wingdings"/>
      <w:strike w:val="0"/>
      <w:dstrike w:val="0"/>
      <w:sz w:val="24"/>
    </w:rPr>
  </w:style>
  <w:style w:type="character" w:customStyle="1" w:styleId="ListLabel10">
    <w:name w:val="ListLabel 10"/>
    <w:qFormat/>
    <w:rsid w:val="007452A0"/>
    <w:rPr>
      <w:rFonts w:ascii="Calibri" w:hAnsi="Calibri"/>
      <w:color w:val="00000A"/>
    </w:rPr>
  </w:style>
  <w:style w:type="paragraph" w:styleId="Ttulo">
    <w:name w:val="Title"/>
    <w:basedOn w:val="Normal"/>
    <w:next w:val="Corpodotexto"/>
    <w:link w:val="TtuloCarcter"/>
    <w:uiPriority w:val="10"/>
    <w:qFormat/>
    <w:rsid w:val="007452A0"/>
    <w:pPr>
      <w:keepNext/>
      <w:spacing w:before="240" w:after="120" w:line="240" w:lineRule="auto"/>
    </w:pPr>
    <w:rPr>
      <w:rFonts w:asciiTheme="majorHAnsi" w:eastAsiaTheme="majorEastAsia" w:hAnsiTheme="majorHAnsi" w:cstheme="majorBidi"/>
      <w:color w:val="17365D" w:themeColor="text2" w:themeShade="BF"/>
      <w:spacing w:val="5"/>
      <w:sz w:val="52"/>
      <w:szCs w:val="52"/>
    </w:rPr>
  </w:style>
  <w:style w:type="character" w:customStyle="1" w:styleId="TtuloCarcter1">
    <w:name w:val="Título Carácter1"/>
    <w:basedOn w:val="Tipodeletrapredefinidodopargrafo"/>
    <w:uiPriority w:val="10"/>
    <w:rsid w:val="007452A0"/>
    <w:rPr>
      <w:rFonts w:asciiTheme="majorHAnsi" w:eastAsiaTheme="majorEastAsia" w:hAnsiTheme="majorHAnsi" w:cstheme="majorBidi"/>
      <w:color w:val="17365D" w:themeColor="text2" w:themeShade="BF"/>
      <w:spacing w:val="5"/>
      <w:kern w:val="28"/>
      <w:sz w:val="52"/>
      <w:szCs w:val="52"/>
    </w:rPr>
  </w:style>
  <w:style w:type="paragraph" w:customStyle="1" w:styleId="Corpodotexto">
    <w:name w:val="Corpo do texto"/>
    <w:basedOn w:val="Normal"/>
    <w:link w:val="CorpodetextoCarcter"/>
    <w:uiPriority w:val="99"/>
    <w:rsid w:val="007452A0"/>
    <w:pPr>
      <w:widowControl w:val="0"/>
      <w:shd w:val="clear" w:color="auto" w:fill="FFFFFF"/>
      <w:spacing w:before="240" w:after="0" w:line="319" w:lineRule="exact"/>
      <w:ind w:hanging="420"/>
      <w:jc w:val="both"/>
    </w:pPr>
    <w:rPr>
      <w:rFonts w:ascii="Arial" w:hAnsi="Arial" w:cs="Arial"/>
      <w:sz w:val="20"/>
      <w:szCs w:val="20"/>
    </w:rPr>
  </w:style>
  <w:style w:type="paragraph" w:styleId="Lista">
    <w:name w:val="List"/>
    <w:basedOn w:val="Corpodotexto"/>
    <w:rsid w:val="007452A0"/>
    <w:rPr>
      <w:rFonts w:cs="Mangal"/>
    </w:rPr>
  </w:style>
  <w:style w:type="paragraph" w:customStyle="1" w:styleId="ndice">
    <w:name w:val="Índice"/>
    <w:basedOn w:val="Normal"/>
    <w:qFormat/>
    <w:rsid w:val="007452A0"/>
    <w:pPr>
      <w:suppressLineNumbers/>
      <w:spacing w:after="0" w:line="240" w:lineRule="auto"/>
    </w:pPr>
    <w:rPr>
      <w:rFonts w:cs="Mangal"/>
      <w:color w:val="00000A"/>
    </w:rPr>
  </w:style>
  <w:style w:type="character" w:customStyle="1" w:styleId="TextodebaloCarcter1">
    <w:name w:val="Texto de balão Carácter1"/>
    <w:basedOn w:val="Tipodeletrapredefinidodopargrafo"/>
    <w:uiPriority w:val="99"/>
    <w:semiHidden/>
    <w:rsid w:val="007452A0"/>
    <w:rPr>
      <w:rFonts w:ascii="Tahoma" w:hAnsi="Tahoma" w:cs="Tahoma"/>
      <w:color w:val="00000A"/>
      <w:sz w:val="16"/>
      <w:szCs w:val="16"/>
    </w:rPr>
  </w:style>
  <w:style w:type="character" w:customStyle="1" w:styleId="CabealhoCarcter1">
    <w:name w:val="Cabeçalho Carácter1"/>
    <w:basedOn w:val="Tipodeletrapredefinidodopargrafo"/>
    <w:uiPriority w:val="99"/>
    <w:semiHidden/>
    <w:rsid w:val="007452A0"/>
    <w:rPr>
      <w:rFonts w:cs="Times New Roman"/>
      <w:color w:val="00000A"/>
    </w:rPr>
  </w:style>
  <w:style w:type="character" w:customStyle="1" w:styleId="RodapCarcter1">
    <w:name w:val="Rodapé Carácter1"/>
    <w:basedOn w:val="Tipodeletrapredefinidodopargrafo"/>
    <w:uiPriority w:val="99"/>
    <w:semiHidden/>
    <w:rsid w:val="007452A0"/>
    <w:rPr>
      <w:rFonts w:cs="Times New Roman"/>
      <w:color w:val="00000A"/>
    </w:rPr>
  </w:style>
  <w:style w:type="paragraph" w:customStyle="1" w:styleId="Bodytext20">
    <w:name w:val="Body text (2)"/>
    <w:basedOn w:val="Normal"/>
    <w:link w:val="Bodytext2"/>
    <w:uiPriority w:val="99"/>
    <w:qFormat/>
    <w:rsid w:val="007452A0"/>
    <w:pPr>
      <w:widowControl w:val="0"/>
      <w:shd w:val="clear" w:color="auto" w:fill="FFFFFF"/>
      <w:spacing w:after="720" w:line="194" w:lineRule="exact"/>
      <w:jc w:val="center"/>
    </w:pPr>
    <w:rPr>
      <w:rFonts w:ascii="Arial" w:hAnsi="Arial" w:cs="Arial"/>
      <w:i/>
      <w:iCs/>
      <w:sz w:val="14"/>
      <w:szCs w:val="14"/>
    </w:rPr>
  </w:style>
  <w:style w:type="paragraph" w:styleId="ndicedeilustraes">
    <w:name w:val="table of figures"/>
    <w:basedOn w:val="Normal"/>
    <w:next w:val="Normal"/>
    <w:uiPriority w:val="99"/>
    <w:unhideWhenUsed/>
    <w:qFormat/>
    <w:rsid w:val="007452A0"/>
    <w:pPr>
      <w:spacing w:before="120" w:after="120" w:line="240" w:lineRule="auto"/>
      <w:ind w:left="440" w:hanging="440"/>
    </w:pPr>
    <w:rPr>
      <w:rFonts w:cs="Times New Roman"/>
      <w:smallCaps/>
      <w:color w:val="00000A"/>
      <w:sz w:val="18"/>
      <w:szCs w:val="20"/>
    </w:rPr>
  </w:style>
  <w:style w:type="paragraph" w:customStyle="1" w:styleId="Contedo1">
    <w:name w:val="Conteúdo 1"/>
    <w:basedOn w:val="Normal"/>
    <w:next w:val="Normal"/>
    <w:autoRedefine/>
    <w:uiPriority w:val="39"/>
    <w:unhideWhenUsed/>
    <w:qFormat/>
    <w:rsid w:val="007452A0"/>
    <w:pPr>
      <w:tabs>
        <w:tab w:val="left" w:pos="660"/>
        <w:tab w:val="right" w:leader="dot" w:pos="8068"/>
      </w:tabs>
      <w:spacing w:before="120" w:after="0" w:line="360" w:lineRule="auto"/>
      <w:ind w:left="425" w:hanging="425"/>
    </w:pPr>
    <w:rPr>
      <w:rFonts w:cs="Times New Roman"/>
      <w:b/>
      <w:bCs/>
      <w:iCs/>
      <w:smallCaps/>
      <w:color w:val="00000A"/>
    </w:rPr>
  </w:style>
  <w:style w:type="paragraph" w:customStyle="1" w:styleId="Contedo2">
    <w:name w:val="Conteúdo 2"/>
    <w:basedOn w:val="Normal"/>
    <w:next w:val="Normal"/>
    <w:autoRedefine/>
    <w:uiPriority w:val="39"/>
    <w:unhideWhenUsed/>
    <w:qFormat/>
    <w:rsid w:val="007452A0"/>
    <w:pPr>
      <w:tabs>
        <w:tab w:val="left" w:pos="880"/>
        <w:tab w:val="right" w:pos="8080"/>
      </w:tabs>
      <w:spacing w:after="120" w:line="240" w:lineRule="auto"/>
      <w:ind w:left="425"/>
    </w:pPr>
    <w:rPr>
      <w:rFonts w:cs="Times New Roman"/>
      <w:bCs/>
      <w:color w:val="00000A"/>
      <w:sz w:val="20"/>
    </w:rPr>
  </w:style>
  <w:style w:type="paragraph" w:customStyle="1" w:styleId="Contedo3">
    <w:name w:val="Conteúdo 3"/>
    <w:basedOn w:val="Normal"/>
    <w:next w:val="Normal"/>
    <w:autoRedefine/>
    <w:uiPriority w:val="39"/>
    <w:unhideWhenUsed/>
    <w:qFormat/>
    <w:rsid w:val="007452A0"/>
    <w:pPr>
      <w:tabs>
        <w:tab w:val="left" w:pos="1418"/>
        <w:tab w:val="right" w:leader="dot" w:pos="8068"/>
      </w:tabs>
      <w:spacing w:before="120" w:after="120" w:line="240" w:lineRule="auto"/>
      <w:ind w:left="851"/>
    </w:pPr>
    <w:rPr>
      <w:rFonts w:cs="Times New Roman"/>
      <w:color w:val="00000A"/>
      <w:sz w:val="20"/>
      <w:szCs w:val="20"/>
    </w:rPr>
  </w:style>
  <w:style w:type="paragraph" w:customStyle="1" w:styleId="Contedo4">
    <w:name w:val="Conteúdo 4"/>
    <w:basedOn w:val="Normal"/>
    <w:next w:val="Normal"/>
    <w:autoRedefine/>
    <w:uiPriority w:val="39"/>
    <w:unhideWhenUsed/>
    <w:rsid w:val="007452A0"/>
    <w:pPr>
      <w:tabs>
        <w:tab w:val="left" w:pos="1134"/>
        <w:tab w:val="left" w:pos="1770"/>
        <w:tab w:val="right" w:leader="dot" w:pos="8068"/>
      </w:tabs>
      <w:spacing w:before="120" w:after="120" w:line="240" w:lineRule="auto"/>
      <w:ind w:left="1842" w:hanging="708"/>
    </w:pPr>
    <w:rPr>
      <w:rFonts w:cs="Times New Roman"/>
      <w:color w:val="00000A"/>
      <w:sz w:val="20"/>
      <w:szCs w:val="20"/>
    </w:rPr>
  </w:style>
  <w:style w:type="paragraph" w:customStyle="1" w:styleId="Contedo5">
    <w:name w:val="Conteúdo 5"/>
    <w:basedOn w:val="Normal"/>
    <w:next w:val="Normal"/>
    <w:autoRedefine/>
    <w:uiPriority w:val="39"/>
    <w:unhideWhenUsed/>
    <w:rsid w:val="007452A0"/>
    <w:pPr>
      <w:spacing w:after="0" w:line="240" w:lineRule="auto"/>
      <w:ind w:left="880"/>
    </w:pPr>
    <w:rPr>
      <w:rFonts w:cs="Times New Roman"/>
      <w:color w:val="00000A"/>
      <w:sz w:val="20"/>
      <w:szCs w:val="20"/>
    </w:rPr>
  </w:style>
  <w:style w:type="paragraph" w:customStyle="1" w:styleId="Contedo6">
    <w:name w:val="Conteúdo 6"/>
    <w:basedOn w:val="Normal"/>
    <w:next w:val="Normal"/>
    <w:autoRedefine/>
    <w:uiPriority w:val="39"/>
    <w:unhideWhenUsed/>
    <w:rsid w:val="007452A0"/>
    <w:pPr>
      <w:spacing w:after="0" w:line="240" w:lineRule="auto"/>
      <w:ind w:left="1100"/>
    </w:pPr>
    <w:rPr>
      <w:rFonts w:cs="Times New Roman"/>
      <w:color w:val="00000A"/>
      <w:sz w:val="20"/>
      <w:szCs w:val="20"/>
    </w:rPr>
  </w:style>
  <w:style w:type="paragraph" w:customStyle="1" w:styleId="Contedo7">
    <w:name w:val="Conteúdo 7"/>
    <w:basedOn w:val="Normal"/>
    <w:next w:val="Normal"/>
    <w:autoRedefine/>
    <w:uiPriority w:val="39"/>
    <w:unhideWhenUsed/>
    <w:rsid w:val="007452A0"/>
    <w:pPr>
      <w:spacing w:after="0" w:line="240" w:lineRule="auto"/>
      <w:ind w:left="1320"/>
    </w:pPr>
    <w:rPr>
      <w:rFonts w:cs="Times New Roman"/>
      <w:color w:val="00000A"/>
      <w:sz w:val="20"/>
      <w:szCs w:val="20"/>
    </w:rPr>
  </w:style>
  <w:style w:type="paragraph" w:customStyle="1" w:styleId="Contedo8">
    <w:name w:val="Conteúdo 8"/>
    <w:basedOn w:val="Normal"/>
    <w:next w:val="Normal"/>
    <w:autoRedefine/>
    <w:uiPriority w:val="39"/>
    <w:unhideWhenUsed/>
    <w:rsid w:val="007452A0"/>
    <w:pPr>
      <w:spacing w:after="0" w:line="240" w:lineRule="auto"/>
      <w:ind w:left="1540"/>
    </w:pPr>
    <w:rPr>
      <w:rFonts w:cs="Times New Roman"/>
      <w:color w:val="00000A"/>
      <w:sz w:val="20"/>
      <w:szCs w:val="20"/>
    </w:rPr>
  </w:style>
  <w:style w:type="paragraph" w:customStyle="1" w:styleId="Contedo9">
    <w:name w:val="Conteúdo 9"/>
    <w:basedOn w:val="Normal"/>
    <w:next w:val="Normal"/>
    <w:autoRedefine/>
    <w:uiPriority w:val="39"/>
    <w:unhideWhenUsed/>
    <w:rsid w:val="007452A0"/>
    <w:pPr>
      <w:spacing w:after="0" w:line="240" w:lineRule="auto"/>
      <w:ind w:left="1760"/>
    </w:pPr>
    <w:rPr>
      <w:rFonts w:cs="Times New Roman"/>
      <w:color w:val="00000A"/>
      <w:sz w:val="20"/>
      <w:szCs w:val="20"/>
    </w:rPr>
  </w:style>
  <w:style w:type="paragraph" w:customStyle="1" w:styleId="PA-Tese-1">
    <w:name w:val="PA-Tese-1."/>
    <w:basedOn w:val="PargrafodaLista"/>
    <w:autoRedefine/>
    <w:qFormat/>
    <w:rsid w:val="007452A0"/>
    <w:pPr>
      <w:tabs>
        <w:tab w:val="left" w:pos="426"/>
      </w:tabs>
      <w:spacing w:before="960" w:after="120" w:line="360" w:lineRule="auto"/>
      <w:jc w:val="both"/>
    </w:pPr>
    <w:rPr>
      <w:rFonts w:ascii="Calibri" w:eastAsia="Times New Roman" w:hAnsi="Calibri" w:cstheme="minorHAnsi"/>
      <w:b/>
      <w:sz w:val="24"/>
      <w:szCs w:val="20"/>
    </w:rPr>
  </w:style>
  <w:style w:type="paragraph" w:customStyle="1" w:styleId="PA-Tese-11">
    <w:name w:val="PA-Tese-1.1"/>
    <w:basedOn w:val="PargrafodaLista"/>
    <w:autoRedefine/>
    <w:qFormat/>
    <w:rsid w:val="007452A0"/>
    <w:pPr>
      <w:tabs>
        <w:tab w:val="left" w:pos="426"/>
      </w:tabs>
      <w:spacing w:before="480" w:after="240" w:line="360" w:lineRule="auto"/>
      <w:contextualSpacing w:val="0"/>
      <w:jc w:val="both"/>
    </w:pPr>
    <w:rPr>
      <w:rFonts w:ascii="Calibri" w:eastAsia="Times New Roman" w:hAnsi="Calibri" w:cstheme="minorHAnsi"/>
      <w:b/>
      <w:color w:val="000000" w:themeColor="text1"/>
      <w:sz w:val="24"/>
      <w:szCs w:val="20"/>
    </w:rPr>
  </w:style>
  <w:style w:type="paragraph" w:customStyle="1" w:styleId="PA-Tese-I">
    <w:name w:val="PA-Tese-I"/>
    <w:basedOn w:val="PargrafodaLista"/>
    <w:autoRedefine/>
    <w:qFormat/>
    <w:rsid w:val="007452A0"/>
    <w:pPr>
      <w:tabs>
        <w:tab w:val="left" w:pos="0"/>
      </w:tabs>
      <w:spacing w:before="120" w:after="120" w:line="360" w:lineRule="auto"/>
      <w:ind w:left="0"/>
      <w:jc w:val="both"/>
    </w:pPr>
    <w:rPr>
      <w:rFonts w:ascii="Calibri" w:eastAsia="Times New Roman" w:hAnsi="Calibri" w:cstheme="minorHAnsi"/>
      <w:sz w:val="24"/>
      <w:szCs w:val="20"/>
    </w:rPr>
  </w:style>
  <w:style w:type="paragraph" w:customStyle="1" w:styleId="PA-Tese-111">
    <w:name w:val="PA-Tese-1.1.1"/>
    <w:basedOn w:val="PA-Tese-11"/>
    <w:autoRedefine/>
    <w:qFormat/>
    <w:rsid w:val="007452A0"/>
    <w:pPr>
      <w:tabs>
        <w:tab w:val="left" w:pos="567"/>
      </w:tabs>
      <w:spacing w:line="240" w:lineRule="auto"/>
      <w:jc w:val="left"/>
    </w:pPr>
    <w:rPr>
      <w:i/>
    </w:rPr>
  </w:style>
  <w:style w:type="paragraph" w:customStyle="1" w:styleId="PA-Tese-Rodape">
    <w:name w:val="PA-Tese-Rodape"/>
    <w:basedOn w:val="Textodenotaderodap"/>
    <w:autoRedefine/>
    <w:qFormat/>
    <w:rsid w:val="007452A0"/>
    <w:pPr>
      <w:tabs>
        <w:tab w:val="left" w:pos="0"/>
      </w:tabs>
      <w:suppressAutoHyphens/>
      <w:spacing w:after="60"/>
    </w:pPr>
    <w:rPr>
      <w:color w:val="00000A"/>
      <w:lang w:eastAsia="zh-CN"/>
    </w:rPr>
  </w:style>
  <w:style w:type="paragraph" w:customStyle="1" w:styleId="Tit-01">
    <w:name w:val="Tit-01"/>
    <w:basedOn w:val="PargrafodaLista"/>
    <w:qFormat/>
    <w:rsid w:val="007452A0"/>
    <w:pPr>
      <w:keepNext/>
      <w:spacing w:before="360" w:after="0" w:line="240" w:lineRule="auto"/>
      <w:contextualSpacing w:val="0"/>
      <w:jc w:val="both"/>
      <w:outlineLvl w:val="0"/>
    </w:pPr>
    <w:rPr>
      <w:rFonts w:ascii="Calibri" w:hAnsi="Calibri" w:cs="Times New Roman"/>
      <w:b/>
      <w:smallCaps/>
      <w:sz w:val="24"/>
      <w:szCs w:val="24"/>
    </w:rPr>
  </w:style>
  <w:style w:type="paragraph" w:customStyle="1" w:styleId="Tit-02">
    <w:name w:val="Tit-02"/>
    <w:basedOn w:val="Ttulo21"/>
    <w:qFormat/>
    <w:rsid w:val="007452A0"/>
    <w:pPr>
      <w:spacing w:before="240"/>
      <w:ind w:left="425" w:hanging="425"/>
    </w:pPr>
    <w:rPr>
      <w:rFonts w:asciiTheme="minorHAnsi" w:hAnsiTheme="minorHAnsi"/>
      <w:color w:val="00000A"/>
      <w:sz w:val="23"/>
      <w:szCs w:val="23"/>
    </w:rPr>
  </w:style>
  <w:style w:type="paragraph" w:customStyle="1" w:styleId="Tit-03">
    <w:name w:val="Tit-03"/>
    <w:basedOn w:val="Ttulo31"/>
    <w:qFormat/>
    <w:rsid w:val="007452A0"/>
    <w:pPr>
      <w:spacing w:before="240"/>
      <w:ind w:left="992" w:hanging="567"/>
      <w:jc w:val="both"/>
    </w:pPr>
    <w:rPr>
      <w:rFonts w:asciiTheme="minorHAnsi" w:hAnsiTheme="minorHAnsi"/>
      <w:color w:val="00000A"/>
      <w:sz w:val="23"/>
      <w:szCs w:val="23"/>
    </w:rPr>
  </w:style>
  <w:style w:type="paragraph" w:customStyle="1" w:styleId="Tit-04">
    <w:name w:val="Tit-04"/>
    <w:basedOn w:val="PargrafodaLista"/>
    <w:qFormat/>
    <w:rsid w:val="007452A0"/>
    <w:pPr>
      <w:keepNext/>
      <w:spacing w:before="240" w:after="0" w:line="240" w:lineRule="auto"/>
      <w:ind w:left="1985" w:hanging="992"/>
      <w:contextualSpacing w:val="0"/>
    </w:pPr>
    <w:rPr>
      <w:rFonts w:ascii="Calibri" w:hAnsi="Calibri" w:cs="Times New Roman"/>
      <w:i/>
      <w:sz w:val="23"/>
      <w:szCs w:val="23"/>
    </w:rPr>
  </w:style>
  <w:style w:type="paragraph" w:styleId="NormalWeb">
    <w:name w:val="Normal (Web)"/>
    <w:basedOn w:val="Normal"/>
    <w:uiPriority w:val="99"/>
    <w:unhideWhenUsed/>
    <w:qFormat/>
    <w:rsid w:val="007452A0"/>
    <w:pPr>
      <w:spacing w:beforeAutospacing="1" w:after="0" w:afterAutospacing="1" w:line="240" w:lineRule="auto"/>
    </w:pPr>
    <w:rPr>
      <w:rFonts w:ascii="Times New Roman" w:eastAsia="Times New Roman" w:hAnsi="Times New Roman" w:cs="Times New Roman"/>
      <w:color w:val="00000A"/>
      <w:sz w:val="24"/>
      <w:szCs w:val="24"/>
      <w:lang w:eastAsia="pt-PT"/>
    </w:rPr>
  </w:style>
  <w:style w:type="paragraph" w:customStyle="1" w:styleId="Ttulododocumento">
    <w:name w:val="Título do documento"/>
    <w:basedOn w:val="Normal"/>
    <w:next w:val="Normal"/>
    <w:uiPriority w:val="10"/>
    <w:qFormat/>
    <w:rsid w:val="007452A0"/>
    <w:pPr>
      <w:pBdr>
        <w:bottom w:val="single" w:sz="8" w:space="4" w:color="4F81BD"/>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paragraph" w:styleId="Lista3">
    <w:name w:val="List 3"/>
    <w:basedOn w:val="Normal"/>
    <w:uiPriority w:val="99"/>
    <w:unhideWhenUsed/>
    <w:rsid w:val="007452A0"/>
    <w:pPr>
      <w:spacing w:after="0" w:line="240" w:lineRule="auto"/>
      <w:ind w:left="849" w:hanging="283"/>
      <w:contextualSpacing/>
    </w:pPr>
    <w:rPr>
      <w:rFonts w:cs="Times New Roman"/>
      <w:color w:val="00000A"/>
    </w:rPr>
  </w:style>
  <w:style w:type="paragraph" w:styleId="Avanodecorpodetexto">
    <w:name w:val="Body Text Indent"/>
    <w:basedOn w:val="Normal"/>
    <w:link w:val="AvanodecorpodetextoCarcter"/>
    <w:uiPriority w:val="99"/>
    <w:semiHidden/>
    <w:unhideWhenUsed/>
    <w:rsid w:val="007452A0"/>
    <w:pPr>
      <w:spacing w:after="120" w:line="240" w:lineRule="auto"/>
      <w:ind w:left="283"/>
    </w:pPr>
    <w:rPr>
      <w:rFonts w:ascii="Calibri" w:hAnsi="Calibri" w:cs="Times New Roman"/>
    </w:rPr>
  </w:style>
  <w:style w:type="character" w:customStyle="1" w:styleId="AvanodecorpodetextoCarcter1">
    <w:name w:val="Avanço de corpo de texto Carácter1"/>
    <w:basedOn w:val="Tipodeletrapredefinidodopargrafo"/>
    <w:uiPriority w:val="99"/>
    <w:semiHidden/>
    <w:rsid w:val="007452A0"/>
  </w:style>
  <w:style w:type="paragraph" w:styleId="Listacommarcas2">
    <w:name w:val="List Bullet 2"/>
    <w:basedOn w:val="Normal"/>
    <w:uiPriority w:val="99"/>
    <w:unhideWhenUsed/>
    <w:qFormat/>
    <w:rsid w:val="007452A0"/>
    <w:pPr>
      <w:spacing w:after="0" w:line="240" w:lineRule="auto"/>
      <w:contextualSpacing/>
    </w:pPr>
    <w:rPr>
      <w:rFonts w:cs="Times New Roman"/>
      <w:color w:val="00000A"/>
    </w:rPr>
  </w:style>
  <w:style w:type="paragraph" w:styleId="Primeiroavanodecorpodetexto2">
    <w:name w:val="Body Text First Indent 2"/>
    <w:basedOn w:val="Avanodecorpodetexto"/>
    <w:link w:val="Primeiroavanodecorpodetexto2Carcter"/>
    <w:uiPriority w:val="99"/>
    <w:unhideWhenUsed/>
    <w:qFormat/>
    <w:rsid w:val="007452A0"/>
    <w:pPr>
      <w:spacing w:after="0"/>
      <w:ind w:left="360" w:firstLine="360"/>
    </w:pPr>
  </w:style>
  <w:style w:type="character" w:customStyle="1" w:styleId="Primeiroavanodecorpodetexto2Carcter1">
    <w:name w:val="Primeiro avanço de corpo de texto 2 Carácter1"/>
    <w:basedOn w:val="AvanodecorpodetextoCarcter1"/>
    <w:uiPriority w:val="99"/>
    <w:semiHidden/>
    <w:rsid w:val="007452A0"/>
  </w:style>
  <w:style w:type="paragraph" w:styleId="Textodenotadefim">
    <w:name w:val="endnote text"/>
    <w:basedOn w:val="Normal"/>
    <w:link w:val="TextodenotadefimCarcter"/>
    <w:uiPriority w:val="99"/>
    <w:semiHidden/>
    <w:unhideWhenUsed/>
    <w:qFormat/>
    <w:rsid w:val="007452A0"/>
    <w:pPr>
      <w:spacing w:after="0" w:line="240" w:lineRule="auto"/>
    </w:pPr>
    <w:rPr>
      <w:rFonts w:ascii="Calibri" w:hAnsi="Calibri" w:cs="Times New Roman"/>
      <w:sz w:val="20"/>
      <w:szCs w:val="20"/>
    </w:rPr>
  </w:style>
  <w:style w:type="character" w:customStyle="1" w:styleId="TextodenotadefimCarcter1">
    <w:name w:val="Texto de nota de fim Carácter1"/>
    <w:basedOn w:val="Tipodeletrapredefinidodopargrafo"/>
    <w:uiPriority w:val="99"/>
    <w:semiHidden/>
    <w:rsid w:val="007452A0"/>
    <w:rPr>
      <w:sz w:val="20"/>
      <w:szCs w:val="20"/>
    </w:rPr>
  </w:style>
  <w:style w:type="paragraph" w:customStyle="1" w:styleId="Notaderodap">
    <w:name w:val="Nota de rodapé"/>
    <w:basedOn w:val="Normal"/>
    <w:rsid w:val="007452A0"/>
    <w:pPr>
      <w:spacing w:after="0" w:line="240" w:lineRule="auto"/>
    </w:pPr>
    <w:rPr>
      <w:rFonts w:cs="Times New Roman"/>
      <w:color w:val="00000A"/>
    </w:rPr>
  </w:style>
  <w:style w:type="paragraph" w:styleId="Assuntodecomentrio">
    <w:name w:val="annotation subject"/>
    <w:basedOn w:val="Textodecomentrio"/>
    <w:next w:val="Textodecomentrio"/>
    <w:link w:val="AssuntodecomentrioCarcter"/>
    <w:uiPriority w:val="99"/>
    <w:semiHidden/>
    <w:unhideWhenUsed/>
    <w:rsid w:val="007452A0"/>
    <w:rPr>
      <w:b/>
      <w:bCs/>
    </w:rPr>
  </w:style>
  <w:style w:type="character" w:customStyle="1" w:styleId="AssuntodecomentrioCarcter">
    <w:name w:val="Assunto de comentário Carácter"/>
    <w:basedOn w:val="TextodecomentrioCarcter"/>
    <w:link w:val="Assuntodecomentrio"/>
    <w:uiPriority w:val="99"/>
    <w:semiHidden/>
    <w:rsid w:val="007452A0"/>
    <w:rPr>
      <w:rFonts w:ascii="Calibri" w:hAnsi="Calibri" w:cs="Times New Roman"/>
      <w:b/>
      <w:bCs/>
      <w:sz w:val="20"/>
      <w:szCs w:val="20"/>
    </w:rPr>
  </w:style>
  <w:style w:type="character" w:customStyle="1" w:styleId="ita2">
    <w:name w:val="ita2"/>
    <w:basedOn w:val="Tipodeletrapredefinidodopargrafo"/>
    <w:rsid w:val="007452A0"/>
    <w:rPr>
      <w:i/>
      <w:iCs/>
    </w:rPr>
  </w:style>
  <w:style w:type="paragraph" w:styleId="Reviso">
    <w:name w:val="Revision"/>
    <w:hidden/>
    <w:uiPriority w:val="99"/>
    <w:semiHidden/>
    <w:rsid w:val="007452A0"/>
    <w:pPr>
      <w:spacing w:after="0" w:line="240" w:lineRule="auto"/>
    </w:pPr>
    <w:rPr>
      <w:rFonts w:cs="Times New Roman"/>
      <w:color w:val="00000A"/>
    </w:rPr>
  </w:style>
  <w:style w:type="character" w:customStyle="1" w:styleId="Cabealho1Carcter1">
    <w:name w:val="Cabeçalho 1 Carácter1"/>
    <w:basedOn w:val="Tipodeletrapredefinidodopargrafo"/>
    <w:uiPriority w:val="9"/>
    <w:rsid w:val="007452A0"/>
    <w:rPr>
      <w:rFonts w:asciiTheme="majorHAnsi" w:eastAsiaTheme="majorEastAsia" w:hAnsiTheme="majorHAnsi" w:cstheme="majorBidi"/>
      <w:b/>
      <w:bCs/>
      <w:color w:val="365F91" w:themeColor="accent1" w:themeShade="BF"/>
      <w:sz w:val="28"/>
      <w:szCs w:val="28"/>
    </w:rPr>
  </w:style>
  <w:style w:type="character" w:customStyle="1" w:styleId="Cabealho3Carcter1">
    <w:name w:val="Cabeçalho 3 Carácter1"/>
    <w:basedOn w:val="Tipodeletrapredefinidodopargrafo"/>
    <w:link w:val="Cabealho3"/>
    <w:uiPriority w:val="9"/>
    <w:semiHidden/>
    <w:rsid w:val="007452A0"/>
    <w:rPr>
      <w:rFonts w:asciiTheme="majorHAnsi" w:eastAsiaTheme="majorEastAsia" w:hAnsiTheme="majorHAnsi" w:cstheme="majorBidi"/>
      <w:b/>
      <w:bCs/>
      <w:color w:val="4F81BD" w:themeColor="accent1"/>
    </w:rPr>
  </w:style>
  <w:style w:type="character" w:customStyle="1" w:styleId="Cabealho5Carcter1">
    <w:name w:val="Cabeçalho 5 Carácter1"/>
    <w:basedOn w:val="Tipodeletrapredefinidodopargrafo"/>
    <w:link w:val="Cabealho5"/>
    <w:uiPriority w:val="9"/>
    <w:semiHidden/>
    <w:rsid w:val="007452A0"/>
    <w:rPr>
      <w:rFonts w:asciiTheme="majorHAnsi" w:eastAsiaTheme="majorEastAsia" w:hAnsiTheme="majorHAnsi" w:cstheme="majorBidi"/>
      <w:color w:val="243F60" w:themeColor="accent1" w:themeShade="7F"/>
    </w:rPr>
  </w:style>
  <w:style w:type="paragraph" w:styleId="Textosimples">
    <w:name w:val="Plain Text"/>
    <w:basedOn w:val="Normal"/>
    <w:link w:val="TextosimplesCarcter"/>
    <w:uiPriority w:val="99"/>
    <w:unhideWhenUsed/>
    <w:rsid w:val="007452A0"/>
    <w:pPr>
      <w:spacing w:after="0" w:line="240" w:lineRule="auto"/>
    </w:pPr>
    <w:rPr>
      <w:rFonts w:ascii="Calibri" w:hAnsi="Calibri" w:cs="Times New Roman"/>
    </w:rPr>
  </w:style>
  <w:style w:type="character" w:customStyle="1" w:styleId="TextosimplesCarcter">
    <w:name w:val="Texto simples Carácter"/>
    <w:basedOn w:val="Tipodeletrapredefinidodopargrafo"/>
    <w:link w:val="Textosimples"/>
    <w:uiPriority w:val="99"/>
    <w:rsid w:val="007452A0"/>
    <w:rPr>
      <w:rFonts w:ascii="Calibri" w:hAnsi="Calibri" w:cs="Times New Roman"/>
    </w:rPr>
  </w:style>
  <w:style w:type="character" w:customStyle="1" w:styleId="Hiperligao1">
    <w:name w:val="Hiperligação1"/>
    <w:basedOn w:val="Tipodeletrapredefinidodopargrafo"/>
    <w:uiPriority w:val="99"/>
    <w:unhideWhenUsed/>
    <w:rsid w:val="007452A0"/>
    <w:rPr>
      <w:color w:val="0000FF"/>
      <w:u w:val="single"/>
    </w:rPr>
  </w:style>
  <w:style w:type="character" w:styleId="nfase">
    <w:name w:val="Emphasis"/>
    <w:basedOn w:val="Tipodeletrapredefinidodopargrafo"/>
    <w:uiPriority w:val="20"/>
    <w:qFormat/>
    <w:rsid w:val="00A30225"/>
    <w:rPr>
      <w:i/>
      <w:iCs/>
    </w:rPr>
  </w:style>
  <w:style w:type="table" w:styleId="Tabelacomgrelha">
    <w:name w:val="Table Grid"/>
    <w:basedOn w:val="Tabelanormal"/>
    <w:uiPriority w:val="59"/>
    <w:rsid w:val="00B412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Tipodeletrapredefinidodopargrafo"/>
    <w:uiPriority w:val="99"/>
    <w:semiHidden/>
    <w:unhideWhenUsed/>
    <w:rsid w:val="00812E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765371">
      <w:bodyDiv w:val="1"/>
      <w:marLeft w:val="0"/>
      <w:marRight w:val="0"/>
      <w:marTop w:val="0"/>
      <w:marBottom w:val="0"/>
      <w:divBdr>
        <w:top w:val="none" w:sz="0" w:space="0" w:color="auto"/>
        <w:left w:val="none" w:sz="0" w:space="0" w:color="auto"/>
        <w:bottom w:val="none" w:sz="0" w:space="0" w:color="auto"/>
        <w:right w:val="none" w:sz="0" w:space="0" w:color="auto"/>
      </w:divBdr>
    </w:div>
    <w:div w:id="244271190">
      <w:bodyDiv w:val="1"/>
      <w:marLeft w:val="0"/>
      <w:marRight w:val="0"/>
      <w:marTop w:val="0"/>
      <w:marBottom w:val="0"/>
      <w:divBdr>
        <w:top w:val="none" w:sz="0" w:space="0" w:color="auto"/>
        <w:left w:val="none" w:sz="0" w:space="0" w:color="auto"/>
        <w:bottom w:val="none" w:sz="0" w:space="0" w:color="auto"/>
        <w:right w:val="none" w:sz="0" w:space="0" w:color="auto"/>
      </w:divBdr>
    </w:div>
    <w:div w:id="284969392">
      <w:bodyDiv w:val="1"/>
      <w:marLeft w:val="0"/>
      <w:marRight w:val="0"/>
      <w:marTop w:val="0"/>
      <w:marBottom w:val="0"/>
      <w:divBdr>
        <w:top w:val="none" w:sz="0" w:space="0" w:color="auto"/>
        <w:left w:val="none" w:sz="0" w:space="0" w:color="auto"/>
        <w:bottom w:val="none" w:sz="0" w:space="0" w:color="auto"/>
        <w:right w:val="none" w:sz="0" w:space="0" w:color="auto"/>
      </w:divBdr>
    </w:div>
    <w:div w:id="377245621">
      <w:bodyDiv w:val="1"/>
      <w:marLeft w:val="0"/>
      <w:marRight w:val="0"/>
      <w:marTop w:val="0"/>
      <w:marBottom w:val="0"/>
      <w:divBdr>
        <w:top w:val="none" w:sz="0" w:space="0" w:color="auto"/>
        <w:left w:val="none" w:sz="0" w:space="0" w:color="auto"/>
        <w:bottom w:val="none" w:sz="0" w:space="0" w:color="auto"/>
        <w:right w:val="none" w:sz="0" w:space="0" w:color="auto"/>
      </w:divBdr>
    </w:div>
    <w:div w:id="735788822">
      <w:bodyDiv w:val="1"/>
      <w:marLeft w:val="0"/>
      <w:marRight w:val="0"/>
      <w:marTop w:val="0"/>
      <w:marBottom w:val="0"/>
      <w:divBdr>
        <w:top w:val="none" w:sz="0" w:space="0" w:color="auto"/>
        <w:left w:val="none" w:sz="0" w:space="0" w:color="auto"/>
        <w:bottom w:val="none" w:sz="0" w:space="0" w:color="auto"/>
        <w:right w:val="none" w:sz="0" w:space="0" w:color="auto"/>
      </w:divBdr>
    </w:div>
    <w:div w:id="790906184">
      <w:bodyDiv w:val="1"/>
      <w:marLeft w:val="0"/>
      <w:marRight w:val="0"/>
      <w:marTop w:val="0"/>
      <w:marBottom w:val="0"/>
      <w:divBdr>
        <w:top w:val="none" w:sz="0" w:space="0" w:color="auto"/>
        <w:left w:val="none" w:sz="0" w:space="0" w:color="auto"/>
        <w:bottom w:val="none" w:sz="0" w:space="0" w:color="auto"/>
        <w:right w:val="none" w:sz="0" w:space="0" w:color="auto"/>
      </w:divBdr>
    </w:div>
    <w:div w:id="885289118">
      <w:bodyDiv w:val="1"/>
      <w:marLeft w:val="0"/>
      <w:marRight w:val="0"/>
      <w:marTop w:val="0"/>
      <w:marBottom w:val="0"/>
      <w:divBdr>
        <w:top w:val="none" w:sz="0" w:space="0" w:color="auto"/>
        <w:left w:val="none" w:sz="0" w:space="0" w:color="auto"/>
        <w:bottom w:val="none" w:sz="0" w:space="0" w:color="auto"/>
        <w:right w:val="none" w:sz="0" w:space="0" w:color="auto"/>
      </w:divBdr>
    </w:div>
    <w:div w:id="1126193863">
      <w:bodyDiv w:val="1"/>
      <w:marLeft w:val="0"/>
      <w:marRight w:val="0"/>
      <w:marTop w:val="0"/>
      <w:marBottom w:val="0"/>
      <w:divBdr>
        <w:top w:val="none" w:sz="0" w:space="0" w:color="auto"/>
        <w:left w:val="none" w:sz="0" w:space="0" w:color="auto"/>
        <w:bottom w:val="none" w:sz="0" w:space="0" w:color="auto"/>
        <w:right w:val="none" w:sz="0" w:space="0" w:color="auto"/>
      </w:divBdr>
    </w:div>
    <w:div w:id="1208950379">
      <w:bodyDiv w:val="1"/>
      <w:marLeft w:val="0"/>
      <w:marRight w:val="0"/>
      <w:marTop w:val="0"/>
      <w:marBottom w:val="0"/>
      <w:divBdr>
        <w:top w:val="none" w:sz="0" w:space="0" w:color="auto"/>
        <w:left w:val="none" w:sz="0" w:space="0" w:color="auto"/>
        <w:bottom w:val="none" w:sz="0" w:space="0" w:color="auto"/>
        <w:right w:val="none" w:sz="0" w:space="0" w:color="auto"/>
      </w:divBdr>
    </w:div>
    <w:div w:id="1239098307">
      <w:bodyDiv w:val="1"/>
      <w:marLeft w:val="0"/>
      <w:marRight w:val="0"/>
      <w:marTop w:val="0"/>
      <w:marBottom w:val="0"/>
      <w:divBdr>
        <w:top w:val="none" w:sz="0" w:space="0" w:color="auto"/>
        <w:left w:val="none" w:sz="0" w:space="0" w:color="auto"/>
        <w:bottom w:val="none" w:sz="0" w:space="0" w:color="auto"/>
        <w:right w:val="none" w:sz="0" w:space="0" w:color="auto"/>
      </w:divBdr>
    </w:div>
    <w:div w:id="1286035927">
      <w:bodyDiv w:val="1"/>
      <w:marLeft w:val="0"/>
      <w:marRight w:val="0"/>
      <w:marTop w:val="0"/>
      <w:marBottom w:val="0"/>
      <w:divBdr>
        <w:top w:val="none" w:sz="0" w:space="0" w:color="auto"/>
        <w:left w:val="none" w:sz="0" w:space="0" w:color="auto"/>
        <w:bottom w:val="none" w:sz="0" w:space="0" w:color="auto"/>
        <w:right w:val="none" w:sz="0" w:space="0" w:color="auto"/>
      </w:divBdr>
    </w:div>
    <w:div w:id="1339693518">
      <w:bodyDiv w:val="1"/>
      <w:marLeft w:val="0"/>
      <w:marRight w:val="0"/>
      <w:marTop w:val="0"/>
      <w:marBottom w:val="0"/>
      <w:divBdr>
        <w:top w:val="none" w:sz="0" w:space="0" w:color="auto"/>
        <w:left w:val="none" w:sz="0" w:space="0" w:color="auto"/>
        <w:bottom w:val="none" w:sz="0" w:space="0" w:color="auto"/>
        <w:right w:val="none" w:sz="0" w:space="0" w:color="auto"/>
      </w:divBdr>
    </w:div>
    <w:div w:id="1650019368">
      <w:bodyDiv w:val="1"/>
      <w:marLeft w:val="0"/>
      <w:marRight w:val="0"/>
      <w:marTop w:val="0"/>
      <w:marBottom w:val="0"/>
      <w:divBdr>
        <w:top w:val="none" w:sz="0" w:space="0" w:color="auto"/>
        <w:left w:val="none" w:sz="0" w:space="0" w:color="auto"/>
        <w:bottom w:val="none" w:sz="0" w:space="0" w:color="auto"/>
        <w:right w:val="none" w:sz="0" w:space="0" w:color="auto"/>
      </w:divBdr>
    </w:div>
    <w:div w:id="1873616448">
      <w:bodyDiv w:val="1"/>
      <w:marLeft w:val="0"/>
      <w:marRight w:val="0"/>
      <w:marTop w:val="0"/>
      <w:marBottom w:val="0"/>
      <w:divBdr>
        <w:top w:val="none" w:sz="0" w:space="0" w:color="auto"/>
        <w:left w:val="none" w:sz="0" w:space="0" w:color="auto"/>
        <w:bottom w:val="none" w:sz="0" w:space="0" w:color="auto"/>
        <w:right w:val="none" w:sz="0" w:space="0" w:color="auto"/>
      </w:divBdr>
    </w:div>
    <w:div w:id="2014334823">
      <w:bodyDiv w:val="1"/>
      <w:marLeft w:val="0"/>
      <w:marRight w:val="0"/>
      <w:marTop w:val="0"/>
      <w:marBottom w:val="0"/>
      <w:divBdr>
        <w:top w:val="none" w:sz="0" w:space="0" w:color="auto"/>
        <w:left w:val="none" w:sz="0" w:space="0" w:color="auto"/>
        <w:bottom w:val="none" w:sz="0" w:space="0" w:color="auto"/>
        <w:right w:val="none" w:sz="0" w:space="0" w:color="auto"/>
      </w:divBdr>
    </w:div>
    <w:div w:id="2031486798">
      <w:bodyDiv w:val="1"/>
      <w:marLeft w:val="0"/>
      <w:marRight w:val="0"/>
      <w:marTop w:val="0"/>
      <w:marBottom w:val="0"/>
      <w:divBdr>
        <w:top w:val="none" w:sz="0" w:space="0" w:color="auto"/>
        <w:left w:val="none" w:sz="0" w:space="0" w:color="auto"/>
        <w:bottom w:val="none" w:sz="0" w:space="0" w:color="auto"/>
        <w:right w:val="none" w:sz="0" w:space="0" w:color="auto"/>
      </w:divBdr>
    </w:div>
    <w:div w:id="2037459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hyperlink" Target="https://dre.pt/" TargetMode="External"/><Relationship Id="rId21" Type="http://schemas.openxmlformats.org/officeDocument/2006/relationships/image" Target="media/image9.png"/><Relationship Id="rId42" Type="http://schemas.openxmlformats.org/officeDocument/2006/relationships/image" Target="media/image30.emf"/><Relationship Id="rId47" Type="http://schemas.openxmlformats.org/officeDocument/2006/relationships/image" Target="media/image35.emf"/><Relationship Id="rId63" Type="http://schemas.openxmlformats.org/officeDocument/2006/relationships/image" Target="media/image51.emf"/><Relationship Id="rId68" Type="http://schemas.openxmlformats.org/officeDocument/2006/relationships/image" Target="media/image56.emf"/><Relationship Id="rId84" Type="http://schemas.openxmlformats.org/officeDocument/2006/relationships/image" Target="media/image72.emf"/><Relationship Id="rId89" Type="http://schemas.openxmlformats.org/officeDocument/2006/relationships/image" Target="media/image77.emf"/><Relationship Id="rId112" Type="http://schemas.openxmlformats.org/officeDocument/2006/relationships/hyperlink" Target="http://www.iasaude.pt/Saude_trabalho/Portaria/Portaria-108-A-2011.pdf" TargetMode="External"/><Relationship Id="rId133" Type="http://schemas.openxmlformats.org/officeDocument/2006/relationships/image" Target="media/image106.emf"/><Relationship Id="rId138" Type="http://schemas.openxmlformats.org/officeDocument/2006/relationships/image" Target="media/image111.emf"/><Relationship Id="rId16" Type="http://schemas.openxmlformats.org/officeDocument/2006/relationships/image" Target="media/image4.png"/><Relationship Id="rId107" Type="http://schemas.openxmlformats.org/officeDocument/2006/relationships/image" Target="media/image95.emf"/><Relationship Id="rId11" Type="http://schemas.openxmlformats.org/officeDocument/2006/relationships/hyperlink" Target="https://www.crlaborais.pt/inicio" TargetMode="External"/><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41.emf"/><Relationship Id="rId58" Type="http://schemas.openxmlformats.org/officeDocument/2006/relationships/image" Target="media/image46.emf"/><Relationship Id="rId74" Type="http://schemas.openxmlformats.org/officeDocument/2006/relationships/image" Target="media/image62.emf"/><Relationship Id="rId79" Type="http://schemas.openxmlformats.org/officeDocument/2006/relationships/image" Target="media/image67.emf"/><Relationship Id="rId102" Type="http://schemas.openxmlformats.org/officeDocument/2006/relationships/image" Target="media/image90.emf"/><Relationship Id="rId123" Type="http://schemas.openxmlformats.org/officeDocument/2006/relationships/hyperlink" Target="https://igfej.justica.gov.pt/" TargetMode="External"/><Relationship Id="rId128" Type="http://schemas.openxmlformats.org/officeDocument/2006/relationships/image" Target="media/image101.emf"/><Relationship Id="rId144" Type="http://schemas.openxmlformats.org/officeDocument/2006/relationships/image" Target="media/image117.emf"/><Relationship Id="rId149" Type="http://schemas.openxmlformats.org/officeDocument/2006/relationships/footer" Target="footer3.xml"/><Relationship Id="rId5" Type="http://schemas.openxmlformats.org/officeDocument/2006/relationships/settings" Target="settings.xml"/><Relationship Id="rId90" Type="http://schemas.openxmlformats.org/officeDocument/2006/relationships/image" Target="media/image78.emf"/><Relationship Id="rId95" Type="http://schemas.openxmlformats.org/officeDocument/2006/relationships/image" Target="media/image83.emf"/><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image" Target="media/image31.emf"/><Relationship Id="rId48" Type="http://schemas.openxmlformats.org/officeDocument/2006/relationships/image" Target="media/image36.emf"/><Relationship Id="rId64" Type="http://schemas.openxmlformats.org/officeDocument/2006/relationships/image" Target="media/image52.emf"/><Relationship Id="rId69" Type="http://schemas.openxmlformats.org/officeDocument/2006/relationships/image" Target="media/image57.emf"/><Relationship Id="rId113" Type="http://schemas.openxmlformats.org/officeDocument/2006/relationships/hyperlink" Target="http://bte.gep.msess.gov.pt/" TargetMode="External"/><Relationship Id="rId118" Type="http://schemas.openxmlformats.org/officeDocument/2006/relationships/hyperlink" Target="http://www.dgaep.gov.pt" TargetMode="External"/><Relationship Id="rId134" Type="http://schemas.openxmlformats.org/officeDocument/2006/relationships/image" Target="media/image107.emf"/><Relationship Id="rId139" Type="http://schemas.openxmlformats.org/officeDocument/2006/relationships/image" Target="media/image112.emf"/><Relationship Id="rId80" Type="http://schemas.openxmlformats.org/officeDocument/2006/relationships/image" Target="media/image68.emf"/><Relationship Id="rId85" Type="http://schemas.openxmlformats.org/officeDocument/2006/relationships/image" Target="media/image73.emf"/><Relationship Id="rId150" Type="http://schemas.openxmlformats.org/officeDocument/2006/relationships/fontTable" Target="fontTable.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7.emf"/><Relationship Id="rId67" Type="http://schemas.openxmlformats.org/officeDocument/2006/relationships/image" Target="media/image55.emf"/><Relationship Id="rId103" Type="http://schemas.openxmlformats.org/officeDocument/2006/relationships/image" Target="media/image91.emf"/><Relationship Id="rId108" Type="http://schemas.openxmlformats.org/officeDocument/2006/relationships/image" Target="media/image96.emf"/><Relationship Id="rId116" Type="http://schemas.openxmlformats.org/officeDocument/2006/relationships/hyperlink" Target="http://www.ces.pt/" TargetMode="External"/><Relationship Id="rId124" Type="http://schemas.openxmlformats.org/officeDocument/2006/relationships/hyperlink" Target="https://www.ine.pt/" TargetMode="External"/><Relationship Id="rId129" Type="http://schemas.openxmlformats.org/officeDocument/2006/relationships/image" Target="media/image102.emf"/><Relationship Id="rId137" Type="http://schemas.openxmlformats.org/officeDocument/2006/relationships/image" Target="media/image110.emf"/><Relationship Id="rId20" Type="http://schemas.openxmlformats.org/officeDocument/2006/relationships/image" Target="media/image8.emf"/><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image" Target="media/image50.emf"/><Relationship Id="rId70" Type="http://schemas.openxmlformats.org/officeDocument/2006/relationships/image" Target="media/image58.emf"/><Relationship Id="rId75" Type="http://schemas.openxmlformats.org/officeDocument/2006/relationships/image" Target="media/image63.emf"/><Relationship Id="rId83" Type="http://schemas.openxmlformats.org/officeDocument/2006/relationships/image" Target="media/image71.emf"/><Relationship Id="rId88" Type="http://schemas.openxmlformats.org/officeDocument/2006/relationships/image" Target="media/image76.emf"/><Relationship Id="rId91" Type="http://schemas.openxmlformats.org/officeDocument/2006/relationships/image" Target="media/image79.emf"/><Relationship Id="rId96" Type="http://schemas.openxmlformats.org/officeDocument/2006/relationships/image" Target="media/image84.emf"/><Relationship Id="rId111" Type="http://schemas.openxmlformats.org/officeDocument/2006/relationships/hyperlink" Target="http://www.iasaude.pt/Saude_trabalho/Portaria/Portaria-n-55.pdf" TargetMode="External"/><Relationship Id="rId132" Type="http://schemas.openxmlformats.org/officeDocument/2006/relationships/image" Target="media/image105.emf"/><Relationship Id="rId140" Type="http://schemas.openxmlformats.org/officeDocument/2006/relationships/image" Target="media/image113.emf"/><Relationship Id="rId145" Type="http://schemas.openxmlformats.org/officeDocument/2006/relationships/image" Target="media/image118.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image" Target="media/image45.emf"/><Relationship Id="rId106" Type="http://schemas.openxmlformats.org/officeDocument/2006/relationships/image" Target="media/image94.emf"/><Relationship Id="rId114" Type="http://schemas.openxmlformats.org/officeDocument/2006/relationships/hyperlink" Target="https://www.crlaborais.pt/" TargetMode="External"/><Relationship Id="rId119" Type="http://schemas.openxmlformats.org/officeDocument/2006/relationships/hyperlink" Target="http://www.dgert.gov.pt/" TargetMode="External"/><Relationship Id="rId127" Type="http://schemas.openxmlformats.org/officeDocument/2006/relationships/image" Target="media/image100.emf"/><Relationship Id="rId10" Type="http://schemas.openxmlformats.org/officeDocument/2006/relationships/hyperlink" Target="mailto:geral@crl.mtsss.pt" TargetMode="External"/><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image" Target="media/image53.emf"/><Relationship Id="rId73" Type="http://schemas.openxmlformats.org/officeDocument/2006/relationships/image" Target="media/image61.emf"/><Relationship Id="rId78" Type="http://schemas.openxmlformats.org/officeDocument/2006/relationships/image" Target="media/image66.emf"/><Relationship Id="rId81" Type="http://schemas.openxmlformats.org/officeDocument/2006/relationships/image" Target="media/image69.emf"/><Relationship Id="rId86" Type="http://schemas.openxmlformats.org/officeDocument/2006/relationships/image" Target="media/image74.emf"/><Relationship Id="rId94" Type="http://schemas.openxmlformats.org/officeDocument/2006/relationships/image" Target="media/image82.emf"/><Relationship Id="rId99" Type="http://schemas.openxmlformats.org/officeDocument/2006/relationships/image" Target="media/image87.emf"/><Relationship Id="rId101" Type="http://schemas.openxmlformats.org/officeDocument/2006/relationships/image" Target="media/image89.emf"/><Relationship Id="rId122" Type="http://schemas.openxmlformats.org/officeDocument/2006/relationships/hyperlink" Target="http://www.gep.msess.gov.pt/" TargetMode="External"/><Relationship Id="rId130" Type="http://schemas.openxmlformats.org/officeDocument/2006/relationships/image" Target="media/image103.emf"/><Relationship Id="rId135" Type="http://schemas.openxmlformats.org/officeDocument/2006/relationships/image" Target="media/image108.emf"/><Relationship Id="rId143" Type="http://schemas.openxmlformats.org/officeDocument/2006/relationships/image" Target="media/image116.emf"/><Relationship Id="rId148" Type="http://schemas.openxmlformats.org/officeDocument/2006/relationships/image" Target="media/image121.emf"/><Relationship Id="rId15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6.emf"/><Relationship Id="rId39" Type="http://schemas.openxmlformats.org/officeDocument/2006/relationships/image" Target="media/image27.emf"/><Relationship Id="rId109" Type="http://schemas.openxmlformats.org/officeDocument/2006/relationships/image" Target="media/image97.emf"/><Relationship Id="rId34" Type="http://schemas.openxmlformats.org/officeDocument/2006/relationships/image" Target="media/image22.emf"/><Relationship Id="rId50" Type="http://schemas.openxmlformats.org/officeDocument/2006/relationships/image" Target="media/image38.png"/><Relationship Id="rId55" Type="http://schemas.openxmlformats.org/officeDocument/2006/relationships/image" Target="media/image43.emf"/><Relationship Id="rId76" Type="http://schemas.openxmlformats.org/officeDocument/2006/relationships/image" Target="media/image64.emf"/><Relationship Id="rId97" Type="http://schemas.openxmlformats.org/officeDocument/2006/relationships/image" Target="media/image85.emf"/><Relationship Id="rId104" Type="http://schemas.openxmlformats.org/officeDocument/2006/relationships/image" Target="media/image92.emf"/><Relationship Id="rId120" Type="http://schemas.openxmlformats.org/officeDocument/2006/relationships/hyperlink" Target="http://www.dgtf.pt" TargetMode="External"/><Relationship Id="rId125" Type="http://schemas.openxmlformats.org/officeDocument/2006/relationships/hyperlink" Target="https://www.relatoriounico.pt/" TargetMode="External"/><Relationship Id="rId141" Type="http://schemas.openxmlformats.org/officeDocument/2006/relationships/image" Target="media/image114.emf"/><Relationship Id="rId146" Type="http://schemas.openxmlformats.org/officeDocument/2006/relationships/image" Target="media/image119.emf"/><Relationship Id="rId7" Type="http://schemas.openxmlformats.org/officeDocument/2006/relationships/footnotes" Target="footnotes.xml"/><Relationship Id="rId71" Type="http://schemas.openxmlformats.org/officeDocument/2006/relationships/image" Target="media/image59.emf"/><Relationship Id="rId92" Type="http://schemas.openxmlformats.org/officeDocument/2006/relationships/image" Target="media/image80.emf"/><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emf"/><Relationship Id="rId87" Type="http://schemas.openxmlformats.org/officeDocument/2006/relationships/image" Target="media/image75.emf"/><Relationship Id="rId110" Type="http://schemas.openxmlformats.org/officeDocument/2006/relationships/image" Target="media/image98.emf"/><Relationship Id="rId115" Type="http://schemas.openxmlformats.org/officeDocument/2006/relationships/hyperlink" Target="http://www.cite.gov.pt/" TargetMode="External"/><Relationship Id="rId131" Type="http://schemas.openxmlformats.org/officeDocument/2006/relationships/image" Target="media/image104.emf"/><Relationship Id="rId136" Type="http://schemas.openxmlformats.org/officeDocument/2006/relationships/image" Target="media/image109.emf"/><Relationship Id="rId61" Type="http://schemas.openxmlformats.org/officeDocument/2006/relationships/image" Target="media/image49.emf"/><Relationship Id="rId82" Type="http://schemas.openxmlformats.org/officeDocument/2006/relationships/image" Target="media/image70.emf"/><Relationship Id="rId19" Type="http://schemas.openxmlformats.org/officeDocument/2006/relationships/image" Target="media/image7.emf"/><Relationship Id="rId14" Type="http://schemas.openxmlformats.org/officeDocument/2006/relationships/footer" Target="footer2.xml"/><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emf"/><Relationship Id="rId77" Type="http://schemas.openxmlformats.org/officeDocument/2006/relationships/image" Target="media/image65.emf"/><Relationship Id="rId100" Type="http://schemas.openxmlformats.org/officeDocument/2006/relationships/image" Target="media/image88.emf"/><Relationship Id="rId105" Type="http://schemas.openxmlformats.org/officeDocument/2006/relationships/image" Target="media/image93.emf"/><Relationship Id="rId126" Type="http://schemas.openxmlformats.org/officeDocument/2006/relationships/image" Target="media/image99.emf"/><Relationship Id="rId147" Type="http://schemas.openxmlformats.org/officeDocument/2006/relationships/image" Target="media/image120.emf"/><Relationship Id="rId8" Type="http://schemas.openxmlformats.org/officeDocument/2006/relationships/endnotes" Target="endnotes.xml"/><Relationship Id="rId51" Type="http://schemas.openxmlformats.org/officeDocument/2006/relationships/image" Target="media/image39.emf"/><Relationship Id="rId72" Type="http://schemas.openxmlformats.org/officeDocument/2006/relationships/image" Target="media/image60.emf"/><Relationship Id="rId93" Type="http://schemas.openxmlformats.org/officeDocument/2006/relationships/image" Target="media/image81.emf"/><Relationship Id="rId98" Type="http://schemas.openxmlformats.org/officeDocument/2006/relationships/image" Target="media/image86.emf"/><Relationship Id="rId121" Type="http://schemas.openxmlformats.org/officeDocument/2006/relationships/hyperlink" Target="http://ec.europa.eu/eurostat" TargetMode="External"/><Relationship Id="rId142" Type="http://schemas.openxmlformats.org/officeDocument/2006/relationships/image" Target="media/image115.em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ces.pt/" TargetMode="External"/><Relationship Id="rId13" Type="http://schemas.openxmlformats.org/officeDocument/2006/relationships/hyperlink" Target="https://www.crlaborais.pt" TargetMode="External"/><Relationship Id="rId18" Type="http://schemas.openxmlformats.org/officeDocument/2006/relationships/hyperlink" Target="http://www.seg-social.pt/" TargetMode="External"/><Relationship Id="rId3" Type="http://schemas.openxmlformats.org/officeDocument/2006/relationships/hyperlink" Target="http://www.dgert.gov.pt" TargetMode="External"/><Relationship Id="rId7" Type="http://schemas.openxmlformats.org/officeDocument/2006/relationships/hyperlink" Target="https://www.crlaborais.pt" TargetMode="External"/><Relationship Id="rId12" Type="http://schemas.openxmlformats.org/officeDocument/2006/relationships/hyperlink" Target="https://www.ine.pt" TargetMode="External"/><Relationship Id="rId17" Type="http://schemas.openxmlformats.org/officeDocument/2006/relationships/hyperlink" Target="https://www.crlaborais.pt" TargetMode="External"/><Relationship Id="rId2" Type="http://schemas.openxmlformats.org/officeDocument/2006/relationships/hyperlink" Target="http://www.gep.mtsss.gov.pt/" TargetMode="External"/><Relationship Id="rId16" Type="http://schemas.openxmlformats.org/officeDocument/2006/relationships/hyperlink" Target="https://www.crlaborais.pt/" TargetMode="External"/><Relationship Id="rId1" Type="http://schemas.openxmlformats.org/officeDocument/2006/relationships/hyperlink" Target="http://www.gep.msess.gov.pt/" TargetMode="External"/><Relationship Id="rId6" Type="http://schemas.openxmlformats.org/officeDocument/2006/relationships/hyperlink" Target="http://www.dgert.gov.pt/" TargetMode="External"/><Relationship Id="rId11" Type="http://schemas.openxmlformats.org/officeDocument/2006/relationships/hyperlink" Target="https://www.dgaep.gov.pt/" TargetMode="External"/><Relationship Id="rId5" Type="http://schemas.openxmlformats.org/officeDocument/2006/relationships/hyperlink" Target="https://www.crlaborais.pt" TargetMode="External"/><Relationship Id="rId15" Type="http://schemas.openxmlformats.org/officeDocument/2006/relationships/hyperlink" Target="https://www.crlaborais.pt/" TargetMode="External"/><Relationship Id="rId10" Type="http://schemas.openxmlformats.org/officeDocument/2006/relationships/hyperlink" Target="http://www.dgtf.pt" TargetMode="External"/><Relationship Id="rId19" Type="http://schemas.openxmlformats.org/officeDocument/2006/relationships/hyperlink" Target="http://www.dgaep.gov.pt/" TargetMode="External"/><Relationship Id="rId4" Type="http://schemas.openxmlformats.org/officeDocument/2006/relationships/hyperlink" Target="http://www.dgert.gov.pt/" TargetMode="External"/><Relationship Id="rId9" Type="http://schemas.openxmlformats.org/officeDocument/2006/relationships/hyperlink" Target="http://www.dgert.gov.pt/" TargetMode="External"/><Relationship Id="rId14" Type="http://schemas.openxmlformats.org/officeDocument/2006/relationships/hyperlink" Target="https://www.crlaborais.p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3E5F1-F6C9-4C09-B4BD-315A3945F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227</Pages>
  <Words>51257</Words>
  <Characters>276789</Characters>
  <Application>Microsoft Office Word</Application>
  <DocSecurity>0</DocSecurity>
  <Lines>2306</Lines>
  <Paragraphs>654</Paragraphs>
  <ScaleCrop>false</ScaleCrop>
  <HeadingPairs>
    <vt:vector size="2" baseType="variant">
      <vt:variant>
        <vt:lpstr>Título</vt:lpstr>
      </vt:variant>
      <vt:variant>
        <vt:i4>1</vt:i4>
      </vt:variant>
    </vt:vector>
  </HeadingPairs>
  <TitlesOfParts>
    <vt:vector size="1" baseType="lpstr">
      <vt:lpstr/>
    </vt:vector>
  </TitlesOfParts>
  <Company>II, IP - MTSS</Company>
  <LinksUpToDate>false</LinksUpToDate>
  <CharactersWithSpaces>327392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 Luis</dc:creator>
  <cp:lastModifiedBy>Rosa Luis</cp:lastModifiedBy>
  <cp:revision>40</cp:revision>
  <cp:lastPrinted>2020-07-14T16:08:00Z</cp:lastPrinted>
  <dcterms:created xsi:type="dcterms:W3CDTF">2020-07-14T14:59:00Z</dcterms:created>
  <dcterms:modified xsi:type="dcterms:W3CDTF">2020-07-15T13:43:00Z</dcterms:modified>
</cp:coreProperties>
</file>